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4B" w:rsidRDefault="0090371B">
      <w:pPr>
        <w:jc w:val="center"/>
        <w:rPr>
          <w:rFonts w:ascii="Times New Roman" w:hAnsi="Times New Roman" w:cs="Times New Roman"/>
          <w:sz w:val="30"/>
          <w:szCs w:val="30"/>
        </w:rPr>
      </w:pPr>
      <w:bookmarkStart w:id="0" w:name="_GoBack"/>
      <w:bookmarkEnd w:id="0"/>
      <w:r>
        <w:rPr>
          <w:rFonts w:ascii="Times New Roman" w:hAnsi="Times New Roman" w:cs="Times New Roman" w:hint="eastAsia"/>
          <w:sz w:val="30"/>
          <w:szCs w:val="30"/>
        </w:rPr>
        <w:t>华安基金管理有限公司</w:t>
      </w:r>
    </w:p>
    <w:p w:rsidR="000D634B" w:rsidRDefault="0090371B">
      <w:pPr>
        <w:jc w:val="center"/>
        <w:rPr>
          <w:rFonts w:ascii="Times New Roman" w:hAnsi="Times New Roman" w:cs="Times New Roman"/>
          <w:sz w:val="30"/>
          <w:szCs w:val="30"/>
        </w:rPr>
      </w:pPr>
      <w:r>
        <w:rPr>
          <w:rFonts w:ascii="Times New Roman" w:hAnsi="Times New Roman" w:cs="Times New Roman" w:hint="eastAsia"/>
          <w:sz w:val="30"/>
          <w:szCs w:val="30"/>
        </w:rPr>
        <w:t>关于以通讯方式召开华安新动力灵活配置混合型证券投资基金</w:t>
      </w:r>
    </w:p>
    <w:p w:rsidR="000D634B" w:rsidRDefault="0090371B">
      <w:pPr>
        <w:jc w:val="center"/>
        <w:rPr>
          <w:rFonts w:ascii="Times New Roman" w:hAnsi="Times New Roman" w:cs="Times New Roman"/>
          <w:sz w:val="30"/>
          <w:szCs w:val="30"/>
        </w:rPr>
      </w:pPr>
      <w:r>
        <w:rPr>
          <w:rFonts w:ascii="Times New Roman" w:hAnsi="Times New Roman" w:cs="Times New Roman" w:hint="eastAsia"/>
          <w:sz w:val="30"/>
          <w:szCs w:val="30"/>
        </w:rPr>
        <w:t>基金份额持有人大会的第二次提示性公告</w:t>
      </w:r>
    </w:p>
    <w:p w:rsidR="000D634B" w:rsidRDefault="000D634B">
      <w:pPr>
        <w:spacing w:line="360" w:lineRule="auto"/>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华安基金管理有限公司决定以通讯开会方式召开华安新动力灵活配置混合型证券投资基金基金份额持有人大会，并于</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hint="eastAsia"/>
          <w:sz w:val="24"/>
          <w:szCs w:val="24"/>
        </w:rPr>
        <w:t>10</w:t>
      </w:r>
      <w:r>
        <w:rPr>
          <w:rFonts w:ascii="Times New Roman" w:hAnsi="Times New Roman" w:cs="Times New Roman" w:hint="eastAsia"/>
          <w:sz w:val="24"/>
          <w:szCs w:val="24"/>
        </w:rPr>
        <w:t>日在中国证监会基金电子披露网站（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）、《上海证券报》及本公司网站（</w:t>
      </w:r>
      <w:r>
        <w:rPr>
          <w:rFonts w:ascii="Times New Roman" w:hAnsi="Times New Roman" w:cs="Times New Roman" w:hint="eastAsia"/>
          <w:sz w:val="24"/>
          <w:szCs w:val="24"/>
        </w:rPr>
        <w:t>www.huaan.com.cn</w:t>
      </w:r>
      <w:r>
        <w:rPr>
          <w:rFonts w:ascii="Times New Roman" w:hAnsi="Times New Roman" w:cs="Times New Roman" w:hint="eastAsia"/>
          <w:sz w:val="24"/>
          <w:szCs w:val="24"/>
        </w:rPr>
        <w:t>）发布了《华安基金管理有限公司关于以通讯方式召开华安新动力灵活配置混合型证券投资基金基金份额持有人大会的公告》，并于</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11</w:t>
      </w:r>
      <w:r>
        <w:rPr>
          <w:rFonts w:ascii="Times New Roman" w:hAnsi="Times New Roman" w:cs="Times New Roman" w:hint="eastAsia"/>
          <w:sz w:val="24"/>
          <w:szCs w:val="24"/>
        </w:rPr>
        <w:t>日在上述报纸和网站发布了《华安基金管理有限公司关于以通讯方式召开华安新动力灵活配置混合型证券投资基金基金份额持有人大会的第一次提示性公告》。为使本次基金份额持有人大会顺利召开，现发布本次基金份额持有人大会的第二次提示性公告。</w:t>
      </w:r>
    </w:p>
    <w:p w:rsidR="000D634B" w:rsidRDefault="000D634B">
      <w:pPr>
        <w:spacing w:line="360" w:lineRule="auto"/>
        <w:ind w:firstLineChars="200" w:firstLine="480"/>
        <w:outlineLvl w:val="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一、召开会议基本情况</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根据《中华人民共和国证券投资基金法》（以下简称</w:t>
      </w:r>
      <w:r>
        <w:rPr>
          <w:rFonts w:ascii="Times New Roman" w:hAnsi="Times New Roman" w:cs="Times New Roman"/>
          <w:sz w:val="24"/>
          <w:szCs w:val="24"/>
        </w:rPr>
        <w:t>“</w:t>
      </w:r>
      <w:r>
        <w:rPr>
          <w:rFonts w:ascii="Times New Roman" w:hAnsi="Times New Roman" w:cs="Times New Roman"/>
          <w:sz w:val="24"/>
          <w:szCs w:val="24"/>
        </w:rPr>
        <w:t>《基金法》</w:t>
      </w:r>
      <w:r>
        <w:rPr>
          <w:rFonts w:ascii="Times New Roman" w:hAnsi="Times New Roman" w:cs="Times New Roman"/>
          <w:sz w:val="24"/>
          <w:szCs w:val="24"/>
        </w:rPr>
        <w:t>”</w:t>
      </w:r>
      <w:r>
        <w:rPr>
          <w:rFonts w:ascii="Times New Roman" w:hAnsi="Times New Roman" w:cs="Times New Roman"/>
          <w:sz w:val="24"/>
          <w:szCs w:val="24"/>
        </w:rPr>
        <w:t>）、《公开募集证券投资基金运作管理办法》和《华安新动力灵活配置混合型证券投资基金基金合同》的有关规定，华安新动力灵活配置混合型证券投资基金（以下简称</w:t>
      </w:r>
      <w:r>
        <w:rPr>
          <w:rFonts w:ascii="Times New Roman" w:hAnsi="Times New Roman" w:cs="Times New Roman"/>
          <w:sz w:val="24"/>
          <w:szCs w:val="24"/>
        </w:rPr>
        <w:t>“</w:t>
      </w:r>
      <w:r>
        <w:rPr>
          <w:rFonts w:ascii="Times New Roman" w:hAnsi="Times New Roman" w:cs="Times New Roman"/>
          <w:sz w:val="24"/>
          <w:szCs w:val="24"/>
        </w:rPr>
        <w:t>华安新动力</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本基金</w:t>
      </w:r>
      <w:r>
        <w:rPr>
          <w:rFonts w:ascii="Times New Roman" w:hAnsi="Times New Roman" w:cs="Times New Roman"/>
          <w:sz w:val="24"/>
          <w:szCs w:val="24"/>
        </w:rPr>
        <w:t>”</w:t>
      </w:r>
      <w:r>
        <w:rPr>
          <w:rFonts w:ascii="Times New Roman" w:hAnsi="Times New Roman" w:cs="Times New Roman"/>
          <w:sz w:val="24"/>
          <w:szCs w:val="24"/>
        </w:rPr>
        <w:t>）的基金管理人华安基金管理有限公司（以下简称</w:t>
      </w:r>
      <w:r>
        <w:rPr>
          <w:rFonts w:ascii="Times New Roman" w:hAnsi="Times New Roman" w:cs="Times New Roman"/>
          <w:sz w:val="24"/>
          <w:szCs w:val="24"/>
        </w:rPr>
        <w:t>“</w:t>
      </w:r>
      <w:r>
        <w:rPr>
          <w:rFonts w:ascii="Times New Roman" w:hAnsi="Times New Roman" w:cs="Times New Roman"/>
          <w:sz w:val="24"/>
          <w:szCs w:val="24"/>
        </w:rPr>
        <w:t>本基金管理人</w:t>
      </w:r>
      <w:r>
        <w:rPr>
          <w:rFonts w:ascii="Times New Roman" w:hAnsi="Times New Roman" w:cs="Times New Roman"/>
          <w:sz w:val="24"/>
          <w:szCs w:val="24"/>
        </w:rPr>
        <w:t>”</w:t>
      </w:r>
      <w:r>
        <w:rPr>
          <w:rFonts w:ascii="Times New Roman" w:hAnsi="Times New Roman" w:cs="Times New Roman"/>
          <w:sz w:val="24"/>
          <w:szCs w:val="24"/>
        </w:rPr>
        <w:t>）经与基金托管人中国建设银行股份有限公司（以下简称</w:t>
      </w:r>
      <w:r>
        <w:rPr>
          <w:rFonts w:ascii="Times New Roman" w:hAnsi="Times New Roman" w:cs="Times New Roman"/>
          <w:sz w:val="24"/>
          <w:szCs w:val="24"/>
        </w:rPr>
        <w:t>“</w:t>
      </w:r>
      <w:r>
        <w:rPr>
          <w:rFonts w:ascii="Times New Roman" w:hAnsi="Times New Roman" w:cs="Times New Roman"/>
          <w:sz w:val="24"/>
          <w:szCs w:val="24"/>
        </w:rPr>
        <w:t>本基金托管人</w:t>
      </w:r>
      <w:r>
        <w:rPr>
          <w:rFonts w:ascii="Times New Roman" w:hAnsi="Times New Roman" w:cs="Times New Roman"/>
          <w:sz w:val="24"/>
          <w:szCs w:val="24"/>
        </w:rPr>
        <w:t>”</w:t>
      </w:r>
      <w:r>
        <w:rPr>
          <w:rFonts w:ascii="Times New Roman" w:hAnsi="Times New Roman" w:cs="Times New Roman"/>
          <w:sz w:val="24"/>
          <w:szCs w:val="24"/>
        </w:rPr>
        <w:t>）协商一致，决定以通讯方式召开本基金的基金份额持有人大会，审议《关于华安新动力灵活配置混合型证券投资基金调整赎回费率的议案》。会议的具体安排如下：</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、会议召开方式：通讯方式。</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、会议投票表决起止时间：自</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2B268B">
        <w:rPr>
          <w:rFonts w:ascii="Times New Roman" w:hAnsi="Times New Roman" w:cs="Times New Roman"/>
          <w:sz w:val="24"/>
          <w:szCs w:val="24"/>
        </w:rPr>
        <w:t>12</w:t>
      </w:r>
      <w:r>
        <w:rPr>
          <w:rFonts w:ascii="Times New Roman" w:hAnsi="Times New Roman" w:cs="Times New Roman" w:hint="eastAsia"/>
          <w:sz w:val="24"/>
          <w:szCs w:val="24"/>
        </w:rPr>
        <w:t>日起，至</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sidRPr="002B268B">
        <w:rPr>
          <w:rFonts w:ascii="Times New Roman" w:hAnsi="Times New Roman" w:cs="Times New Roman"/>
          <w:sz w:val="24"/>
          <w:szCs w:val="24"/>
        </w:rPr>
        <w:t>9</w:t>
      </w:r>
      <w:r>
        <w:rPr>
          <w:rFonts w:ascii="Times New Roman" w:hAnsi="Times New Roman" w:cs="Times New Roman" w:hint="eastAsia"/>
          <w:sz w:val="24"/>
          <w:szCs w:val="24"/>
        </w:rPr>
        <w:t>日</w:t>
      </w:r>
      <w:r>
        <w:rPr>
          <w:rFonts w:ascii="Times New Roman" w:hAnsi="Times New Roman" w:cs="Times New Roman"/>
          <w:sz w:val="24"/>
          <w:szCs w:val="24"/>
        </w:rPr>
        <w:t>17</w:t>
      </w:r>
      <w:r>
        <w:rPr>
          <w:rFonts w:ascii="Times New Roman" w:hAnsi="Times New Roman" w:cs="Times New Roman" w:hint="eastAsia"/>
          <w:sz w:val="24"/>
          <w:szCs w:val="24"/>
        </w:rPr>
        <w:t>:</w:t>
      </w:r>
      <w:r>
        <w:rPr>
          <w:rFonts w:ascii="Times New Roman" w:hAnsi="Times New Roman" w:cs="Times New Roman"/>
          <w:sz w:val="24"/>
          <w:szCs w:val="24"/>
        </w:rPr>
        <w:t>00</w:t>
      </w:r>
      <w:r>
        <w:rPr>
          <w:rFonts w:ascii="Times New Roman" w:hAnsi="Times New Roman" w:cs="Times New Roman" w:hint="eastAsia"/>
          <w:sz w:val="24"/>
          <w:szCs w:val="24"/>
        </w:rPr>
        <w:t>止（以本基金管理人收到表决票时间为准）。</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、会议通讯表决票的寄达地点：</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收件人：华安基金管理有限公司华安新动力基金份额持有人大会投票处</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lastRenderedPageBreak/>
        <w:t>地址：上海市浦东新区世纪大道</w:t>
      </w:r>
      <w:r>
        <w:rPr>
          <w:rFonts w:ascii="Times New Roman" w:hAnsi="Times New Roman" w:cs="Times New Roman"/>
          <w:sz w:val="24"/>
          <w:szCs w:val="24"/>
        </w:rPr>
        <w:t>8</w:t>
      </w:r>
      <w:r>
        <w:rPr>
          <w:rFonts w:ascii="Times New Roman" w:hAnsi="Times New Roman" w:cs="Times New Roman" w:hint="eastAsia"/>
          <w:sz w:val="24"/>
          <w:szCs w:val="24"/>
        </w:rPr>
        <w:t>号上海国金中心二期</w:t>
      </w:r>
      <w:r>
        <w:rPr>
          <w:rFonts w:ascii="Times New Roman" w:hAnsi="Times New Roman" w:cs="Times New Roman"/>
          <w:sz w:val="24"/>
          <w:szCs w:val="24"/>
        </w:rPr>
        <w:t>31</w:t>
      </w:r>
      <w:r>
        <w:rPr>
          <w:rFonts w:ascii="Times New Roman" w:hAnsi="Times New Roman" w:cs="Times New Roman" w:hint="eastAsia"/>
          <w:sz w:val="24"/>
          <w:szCs w:val="24"/>
        </w:rPr>
        <w:t>、</w:t>
      </w:r>
      <w:r>
        <w:rPr>
          <w:rFonts w:ascii="Times New Roman" w:hAnsi="Times New Roman" w:cs="Times New Roman"/>
          <w:sz w:val="24"/>
          <w:szCs w:val="24"/>
        </w:rPr>
        <w:t>32</w:t>
      </w:r>
      <w:r>
        <w:rPr>
          <w:rFonts w:ascii="Times New Roman" w:hAnsi="Times New Roman" w:cs="Times New Roman" w:hint="eastAsia"/>
          <w:sz w:val="24"/>
          <w:szCs w:val="24"/>
        </w:rPr>
        <w:t>层</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200120</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联系人：谈媛</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021-38969931</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 xml:space="preserve">　　</w:t>
      </w: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二、会议审议事项</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本次基金份额持有人大会拟审议的事项为《关于华安新动力灵活配置混合型证券投资基金调整赎回费率的议案》（以下简称</w:t>
      </w:r>
      <w:r>
        <w:rPr>
          <w:rFonts w:ascii="Times New Roman" w:hAnsi="Times New Roman" w:cs="Times New Roman"/>
          <w:sz w:val="24"/>
          <w:szCs w:val="24"/>
        </w:rPr>
        <w:t>“</w:t>
      </w:r>
      <w:r>
        <w:rPr>
          <w:rFonts w:ascii="Times New Roman" w:hAnsi="Times New Roman" w:cs="Times New Roman" w:hint="eastAsia"/>
          <w:sz w:val="24"/>
          <w:szCs w:val="24"/>
        </w:rPr>
        <w:t>《议案》</w:t>
      </w:r>
      <w:r>
        <w:rPr>
          <w:rFonts w:ascii="Times New Roman" w:hAnsi="Times New Roman" w:cs="Times New Roman"/>
          <w:sz w:val="24"/>
          <w:szCs w:val="24"/>
        </w:rPr>
        <w:t>”</w:t>
      </w:r>
      <w:r>
        <w:rPr>
          <w:rFonts w:ascii="Times New Roman" w:hAnsi="Times New Roman" w:cs="Times New Roman" w:hint="eastAsia"/>
          <w:sz w:val="24"/>
          <w:szCs w:val="24"/>
        </w:rPr>
        <w:t>，详见附件一）。</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上述议案的内容说明详见《</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的说明》（详见附件四）。</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三、基金份额持有人大会的权益登记日</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本次大会的权益登记日为</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2B268B">
        <w:rPr>
          <w:rFonts w:ascii="Times New Roman" w:hAnsi="Times New Roman" w:cs="Times New Roman"/>
          <w:sz w:val="24"/>
          <w:szCs w:val="24"/>
        </w:rPr>
        <w:t>11</w:t>
      </w:r>
      <w:r>
        <w:rPr>
          <w:rFonts w:ascii="Times New Roman" w:hAnsi="Times New Roman" w:cs="Times New Roman" w:hint="eastAsia"/>
          <w:sz w:val="24"/>
          <w:szCs w:val="24"/>
        </w:rPr>
        <w:t>日，即</w:t>
      </w:r>
      <w:r>
        <w:rPr>
          <w:rFonts w:ascii="Times New Roman" w:hAnsi="Times New Roman" w:cs="Times New Roman"/>
          <w:sz w:val="24"/>
          <w:szCs w:val="24"/>
        </w:rPr>
        <w:t>2024</w:t>
      </w:r>
      <w:r>
        <w:rPr>
          <w:rFonts w:ascii="Times New Roman" w:hAnsi="Times New Roman" w:cs="Times New Roman" w:hint="eastAsia"/>
          <w:sz w:val="24"/>
          <w:szCs w:val="24"/>
        </w:rPr>
        <w:t>年</w:t>
      </w:r>
      <w:r w:rsidRPr="002B268B">
        <w:rPr>
          <w:rFonts w:ascii="Times New Roman" w:hAnsi="Times New Roman" w:cs="Times New Roman"/>
          <w:sz w:val="24"/>
          <w:szCs w:val="24"/>
        </w:rPr>
        <w:t>9</w:t>
      </w:r>
      <w:r w:rsidRPr="002B268B">
        <w:rPr>
          <w:rFonts w:ascii="Times New Roman" w:hAnsi="Times New Roman" w:cs="Times New Roman" w:hint="eastAsia"/>
          <w:sz w:val="24"/>
          <w:szCs w:val="24"/>
        </w:rPr>
        <w:t>月</w:t>
      </w:r>
      <w:r w:rsidRPr="002B268B">
        <w:rPr>
          <w:rFonts w:ascii="Times New Roman" w:hAnsi="Times New Roman" w:cs="Times New Roman"/>
          <w:sz w:val="24"/>
          <w:szCs w:val="24"/>
        </w:rPr>
        <w:t>11</w:t>
      </w:r>
      <w:r w:rsidRPr="002B268B">
        <w:rPr>
          <w:rFonts w:ascii="Times New Roman" w:hAnsi="Times New Roman" w:cs="Times New Roman" w:hint="eastAsia"/>
          <w:sz w:val="24"/>
          <w:szCs w:val="24"/>
        </w:rPr>
        <w:t>日</w:t>
      </w:r>
      <w:r>
        <w:rPr>
          <w:rFonts w:ascii="Times New Roman" w:hAnsi="Times New Roman" w:cs="Times New Roman" w:hint="eastAsia"/>
          <w:sz w:val="24"/>
          <w:szCs w:val="24"/>
        </w:rPr>
        <w:t>下午交易时间结束后，在本基金登记机构登记在册的本基金全体基金份额持有人均有权参加本次基金份额持有人大会。</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四、表决票的填写和寄交方式</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、本次会议表决票详见附件二。基金份额持有人可从相关报纸上剪裁、复印附件二或登录本基金管理人网站（</w:t>
      </w:r>
      <w:r>
        <w:rPr>
          <w:rFonts w:ascii="Times New Roman" w:hAnsi="Times New Roman" w:cs="Times New Roman"/>
          <w:sz w:val="24"/>
          <w:szCs w:val="24"/>
        </w:rPr>
        <w:t>www.huaan.com.cn</w:t>
      </w:r>
      <w:r>
        <w:rPr>
          <w:rFonts w:ascii="Times New Roman" w:hAnsi="Times New Roman" w:cs="Times New Roman" w:hint="eastAsia"/>
          <w:sz w:val="24"/>
          <w:szCs w:val="24"/>
        </w:rPr>
        <w:t>）、中国证监会基金电子披露网站（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）下载并打印表决票。</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、基金份额持有人应当按照表决票的要求填写相关内容，其中：</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）个人投资者自行投票的，需在表决票上签字，并提供本人有效身份证件复印件。</w:t>
      </w:r>
    </w:p>
    <w:p w:rsidR="000D634B" w:rsidRDefault="0090371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）机构投资者自行投票的，需在表决票上加盖本单位公章或相关的业务专用章等（以下统称</w:t>
      </w:r>
      <w:r>
        <w:rPr>
          <w:rFonts w:ascii="Times New Roman" w:hAnsi="Times New Roman" w:cs="Times New Roman"/>
          <w:sz w:val="24"/>
          <w:szCs w:val="24"/>
        </w:rPr>
        <w:t>“</w:t>
      </w:r>
      <w:r>
        <w:rPr>
          <w:rFonts w:ascii="Times New Roman" w:hAnsi="Times New Roman" w:cs="Times New Roman" w:hint="eastAsia"/>
          <w:sz w:val="24"/>
          <w:szCs w:val="24"/>
        </w:rPr>
        <w:t>公章</w:t>
      </w:r>
      <w:r>
        <w:rPr>
          <w:rFonts w:ascii="Times New Roman" w:hAnsi="Times New Roman" w:cs="Times New Roman"/>
          <w:sz w:val="24"/>
          <w:szCs w:val="24"/>
        </w:rPr>
        <w:t>”</w:t>
      </w:r>
      <w:r>
        <w:rPr>
          <w:rFonts w:ascii="Times New Roman" w:hAnsi="Times New Roman" w:cs="Times New Roman" w:hint="eastAsia"/>
          <w:sz w:val="24"/>
          <w:szCs w:val="24"/>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w:t>
      </w:r>
      <w:r>
        <w:rPr>
          <w:rFonts w:ascii="Times New Roman" w:hAnsi="Times New Roman" w:cs="Times New Roman" w:hint="eastAsia"/>
          <w:sz w:val="24"/>
          <w:szCs w:val="24"/>
        </w:rPr>
        <w:lastRenderedPageBreak/>
        <w:t>权代表该合格境外机构投资者签署表决票的其他证明文件，以及该合格境外机构投资者加盖公章（如有）的营业执照、商业登记证或者其他有效注册登记证明复印件和证券账户卡复印件和取得合格境外机构投资者资格的证明文件的复印件。</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个人投资者委托他人投票的，应由代理人在表决票上签字或盖章，并提供个人投资者有效身份证件复印件，以及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机构投资者委托他人投票的，应由代理人在表决票上签字或盖章，并提供机构投资者的加盖公章的营业执照复印件（事业单位、社会团体或其他单位可使用加盖公章的有权部门的批文、开户证明或登记证书复印件等），以及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加盖公章（如有）的营业执照、商业登记证或者其他有效注册登记证明复印件和证券账户卡复印件，以及取得合格境外机构投资者资格的证明文件的复印件和填妥的授权委托书原件（可参见附件三）。如代理人为个人，还需提供代理人的有效身份证件复印件；如代理人为机构，还需提供代理人的加盖公章的营业执照复印件（事业单位、社会团体或其他单位可使用加盖公章的有权部门的批文、开户证明或登记证书复印件等）。</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5</w:t>
      </w:r>
      <w:r>
        <w:rPr>
          <w:rFonts w:ascii="Times New Roman" w:hAnsi="Times New Roman" w:cs="Times New Roman" w:hint="eastAsia"/>
          <w:sz w:val="24"/>
          <w:szCs w:val="24"/>
        </w:rPr>
        <w:t>）以上各项中的公章、批文、开户证明及登记证书等，以本基金管理人的认可为准。</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、基金份额持有人或其代理人需将填妥的表决票和所需的相关文件自</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sidRPr="002B268B">
        <w:rPr>
          <w:rFonts w:ascii="Times New Roman" w:hAnsi="Times New Roman" w:cs="Times New Roman"/>
          <w:sz w:val="24"/>
          <w:szCs w:val="24"/>
        </w:rPr>
        <w:t>12</w:t>
      </w:r>
      <w:r>
        <w:rPr>
          <w:rFonts w:ascii="Times New Roman" w:hAnsi="Times New Roman" w:cs="Times New Roman" w:hint="eastAsia"/>
          <w:sz w:val="24"/>
          <w:szCs w:val="24"/>
        </w:rPr>
        <w:t>日起，至</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sidRPr="002B268B">
        <w:rPr>
          <w:rFonts w:ascii="Times New Roman" w:hAnsi="Times New Roman" w:cs="Times New Roman"/>
          <w:sz w:val="24"/>
          <w:szCs w:val="24"/>
        </w:rPr>
        <w:t>9</w:t>
      </w:r>
      <w:r>
        <w:rPr>
          <w:rFonts w:ascii="Times New Roman" w:hAnsi="Times New Roman" w:cs="Times New Roman" w:hint="eastAsia"/>
          <w:sz w:val="24"/>
          <w:szCs w:val="24"/>
        </w:rPr>
        <w:t>日</w:t>
      </w:r>
      <w:r>
        <w:rPr>
          <w:rFonts w:ascii="Times New Roman" w:hAnsi="Times New Roman" w:cs="Times New Roman"/>
          <w:sz w:val="24"/>
          <w:szCs w:val="24"/>
        </w:rPr>
        <w:t>17:00</w:t>
      </w:r>
      <w:r>
        <w:rPr>
          <w:rFonts w:ascii="Times New Roman" w:hAnsi="Times New Roman" w:cs="Times New Roman" w:hint="eastAsia"/>
          <w:sz w:val="24"/>
          <w:szCs w:val="24"/>
        </w:rPr>
        <w:t>止（以本基金管理人收到表决票时间为准）</w:t>
      </w:r>
      <w:r>
        <w:rPr>
          <w:rFonts w:ascii="Times New Roman" w:hAnsi="Times New Roman" w:cs="Times New Roman"/>
          <w:sz w:val="24"/>
          <w:szCs w:val="24"/>
        </w:rPr>
        <w:t>通过专人送交或邮寄的方式送达至本基金管理人的办公地址，并请在信封表面注明：</w:t>
      </w:r>
      <w:r>
        <w:rPr>
          <w:rFonts w:ascii="Times New Roman" w:hAnsi="Times New Roman" w:cs="Times New Roman"/>
          <w:sz w:val="24"/>
          <w:szCs w:val="24"/>
        </w:rPr>
        <w:t>“</w:t>
      </w:r>
      <w:r>
        <w:rPr>
          <w:rFonts w:ascii="Times New Roman" w:hAnsi="Times New Roman" w:cs="Times New Roman" w:hint="eastAsia"/>
          <w:sz w:val="24"/>
          <w:szCs w:val="24"/>
        </w:rPr>
        <w:t>华安新动力基金份额持有人大会表决专用</w:t>
      </w:r>
      <w:r>
        <w:rPr>
          <w:rFonts w:ascii="Times New Roman" w:hAnsi="Times New Roman" w:cs="Times New Roman"/>
          <w:sz w:val="24"/>
          <w:szCs w:val="24"/>
        </w:rPr>
        <w:t>”</w:t>
      </w:r>
      <w:r>
        <w:rPr>
          <w:rFonts w:ascii="Times New Roman" w:hAnsi="Times New Roman" w:cs="Times New Roman" w:hint="eastAsia"/>
          <w:sz w:val="24"/>
          <w:szCs w:val="24"/>
        </w:rPr>
        <w:t>。</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本基金管理人的办公地址及联系办法如下：</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收件人：华安基金管理有限公司华安新动力基金份额持有人大会投票处</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地址：上海市浦东新区世纪大道</w:t>
      </w:r>
      <w:r>
        <w:rPr>
          <w:rFonts w:ascii="Times New Roman" w:hAnsi="Times New Roman" w:cs="Times New Roman"/>
          <w:sz w:val="24"/>
          <w:szCs w:val="24"/>
        </w:rPr>
        <w:t>8</w:t>
      </w:r>
      <w:r>
        <w:rPr>
          <w:rFonts w:ascii="Times New Roman" w:hAnsi="Times New Roman" w:cs="Times New Roman" w:hint="eastAsia"/>
          <w:sz w:val="24"/>
          <w:szCs w:val="24"/>
        </w:rPr>
        <w:t>号上海国金中心二期</w:t>
      </w:r>
      <w:r>
        <w:rPr>
          <w:rFonts w:ascii="Times New Roman" w:hAnsi="Times New Roman" w:cs="Times New Roman"/>
          <w:sz w:val="24"/>
          <w:szCs w:val="24"/>
        </w:rPr>
        <w:t>31</w:t>
      </w:r>
      <w:r>
        <w:rPr>
          <w:rFonts w:ascii="Times New Roman" w:hAnsi="Times New Roman" w:cs="Times New Roman" w:hint="eastAsia"/>
          <w:sz w:val="24"/>
          <w:szCs w:val="24"/>
        </w:rPr>
        <w:t>、</w:t>
      </w:r>
      <w:r>
        <w:rPr>
          <w:rFonts w:ascii="Times New Roman" w:hAnsi="Times New Roman" w:cs="Times New Roman"/>
          <w:sz w:val="24"/>
          <w:szCs w:val="24"/>
        </w:rPr>
        <w:t>32</w:t>
      </w:r>
      <w:r>
        <w:rPr>
          <w:rFonts w:ascii="Times New Roman" w:hAnsi="Times New Roman" w:cs="Times New Roman" w:hint="eastAsia"/>
          <w:sz w:val="24"/>
          <w:szCs w:val="24"/>
        </w:rPr>
        <w:t>层</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邮政编码：</w:t>
      </w:r>
      <w:r>
        <w:rPr>
          <w:rFonts w:ascii="Times New Roman" w:hAnsi="Times New Roman" w:cs="Times New Roman"/>
          <w:sz w:val="24"/>
          <w:szCs w:val="24"/>
        </w:rPr>
        <w:t>200120</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联系人：谈媛</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sz w:val="24"/>
          <w:szCs w:val="24"/>
        </w:rPr>
        <w:t>021-38969931</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、投资者如有任何疑问，可致电本基金管理人客户服务电话</w:t>
      </w:r>
      <w:r>
        <w:rPr>
          <w:rFonts w:ascii="Times New Roman" w:hAnsi="Times New Roman" w:cs="Times New Roman"/>
          <w:sz w:val="24"/>
          <w:szCs w:val="24"/>
        </w:rPr>
        <w:t>40088-50099</w:t>
      </w:r>
      <w:r>
        <w:rPr>
          <w:rFonts w:ascii="Times New Roman" w:hAnsi="Times New Roman" w:cs="Times New Roman" w:hint="eastAsia"/>
          <w:sz w:val="24"/>
          <w:szCs w:val="24"/>
        </w:rPr>
        <w:t>（免长途话费）咨询。</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五、计票</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、本次通讯会议的计票方式为：由本基金管理人授权的两名监督员在本基金托管人（中国建设银行股份有限公司）授权代表的监督下，在所通知的表决截止日期后</w:t>
      </w:r>
      <w:r>
        <w:rPr>
          <w:rFonts w:ascii="Times New Roman" w:hAnsi="Times New Roman" w:cs="Times New Roman"/>
          <w:sz w:val="24"/>
          <w:szCs w:val="24"/>
        </w:rPr>
        <w:t>2</w:t>
      </w:r>
      <w:r>
        <w:rPr>
          <w:rFonts w:ascii="Times New Roman" w:hAnsi="Times New Roman" w:cs="Times New Roman" w:hint="eastAsia"/>
          <w:sz w:val="24"/>
          <w:szCs w:val="24"/>
        </w:rPr>
        <w:t>个工作日内进行计票，并由公证机关对其计票过程予以公证。</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、本基金基金份额持有人的表决权</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除法律法规另有规定或基金合同另有约定外，基金份额持有人持有的每一基金份额拥有平等的投票权。</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、表决票效力的认定如下：</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）如表决票上的表决意见未选、多选、模糊不清或相互矛盾的，但其他各项符合会议通知规定的，视为弃权表决，计入有效表决票；并按</w:t>
      </w:r>
      <w:r>
        <w:rPr>
          <w:rFonts w:ascii="Times New Roman" w:hAnsi="Times New Roman" w:cs="Times New Roman"/>
          <w:sz w:val="24"/>
          <w:szCs w:val="24"/>
        </w:rPr>
        <w:t>“</w:t>
      </w:r>
      <w:r>
        <w:rPr>
          <w:rFonts w:ascii="Times New Roman" w:hAnsi="Times New Roman" w:cs="Times New Roman" w:hint="eastAsia"/>
          <w:sz w:val="24"/>
          <w:szCs w:val="24"/>
        </w:rPr>
        <w:t>弃权</w:t>
      </w:r>
      <w:r>
        <w:rPr>
          <w:rFonts w:ascii="Times New Roman" w:hAnsi="Times New Roman" w:cs="Times New Roman"/>
          <w:sz w:val="24"/>
          <w:szCs w:val="24"/>
        </w:rPr>
        <w:t>”</w:t>
      </w:r>
      <w:r>
        <w:rPr>
          <w:rFonts w:ascii="Times New Roman" w:hAnsi="Times New Roman" w:cs="Times New Roman" w:hint="eastAsia"/>
          <w:sz w:val="24"/>
          <w:szCs w:val="24"/>
        </w:rPr>
        <w:t>计入对应的表决结果，其所代表的基金份额计入参加本次基金份额持有人大会表决的基金份额总数。</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）基金份额持有人重复提交表决票的，如各表决票表决意见相同，则视为同一表决票；如各表决票表决意见不相同，则按如下原则处理：</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）送达时间不是同一天的，以最后送达的填写有效的表决票为准，先送达的表决票视为被撤回；</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）送达时间为同一天的，</w:t>
      </w:r>
      <w:r>
        <w:rPr>
          <w:rFonts w:ascii="Times New Roman" w:hAnsi="Times New Roman" w:cs="Times New Roman" w:hint="eastAsia"/>
          <w:bCs/>
          <w:sz w:val="24"/>
          <w:szCs w:val="24"/>
        </w:rPr>
        <w:t>如果能判断收到时间先后的，以最后送达的填写有效的表决票为准，先送达的表决票视为被撤回；若无法判断收到时间先后的，则</w:t>
      </w:r>
      <w:r>
        <w:rPr>
          <w:rFonts w:ascii="Times New Roman" w:hAnsi="Times New Roman" w:cs="Times New Roman" w:hint="eastAsia"/>
          <w:sz w:val="24"/>
          <w:szCs w:val="24"/>
        </w:rPr>
        <w:t>视为在同一表决票上做出了不同表决意见，计入弃权表决票；</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）送达时间按如下原则确定：专人送达的以实际递交时间为准，邮寄的以基金管理人收到的时间为准。</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六、决议生效条件</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、本人直接出具表决意见或授权他人代表出具表决意见的，基金份额持有人所持有的基金份额不小于在权益登记日基金总份额的二分之一（含二分之一）；</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、本次《议案》</w:t>
      </w:r>
      <w:r>
        <w:rPr>
          <w:rFonts w:ascii="Times New Roman" w:hAnsi="Times New Roman" w:cs="Times New Roman"/>
          <w:sz w:val="24"/>
          <w:szCs w:val="24"/>
        </w:rPr>
        <w:t>须经参加大会的基金份额持有人或其代理人所持表决权的二分之一以上（含二分之一）通过方为有效；</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、本次基金份额持有人大会的决议，本基金管理人应当自通过之日起</w:t>
      </w:r>
      <w:r>
        <w:rPr>
          <w:rFonts w:ascii="Times New Roman" w:hAnsi="Times New Roman" w:cs="Times New Roman"/>
          <w:sz w:val="24"/>
          <w:szCs w:val="24"/>
        </w:rPr>
        <w:t>5</w:t>
      </w:r>
      <w:r>
        <w:rPr>
          <w:rFonts w:ascii="Times New Roman" w:hAnsi="Times New Roman" w:cs="Times New Roman" w:hint="eastAsia"/>
          <w:sz w:val="24"/>
          <w:szCs w:val="24"/>
        </w:rPr>
        <w:t>日内报中国证监会备案。基金份额持有人大会的决议自表决通过之日起生效。</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七、二次召集基金份额持有人大会及二次授权</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根据《基金法》及《华安新动力灵活配置混合型证券投资基金基金合同》的规定，本次持有人大会需要本人直接出具表决意见或授权他人代表出具表决意见的，基金份额持有人所持有的基金份额不小于在权益登记日基金总份额的二分之一（含二分之一）方可召开。如果本次基金份额持有人大会不符合前述要求而不能够成功召开，本基金管理人可在规定时间内就原定审议事项重新召集基金份额持有人大会。重新召集的基金份额持有人大会到会者在权益登记日代表的有效的基金份额应不少于本基金在权益登记日基金总份额的三分之一（含三分之一）。</w:t>
      </w:r>
      <w:r>
        <w:rPr>
          <w:rFonts w:ascii="Times New Roman" w:hAnsi="Times New Roman" w:cs="Times New Roman"/>
          <w:sz w:val="24"/>
          <w:szCs w:val="24"/>
        </w:rPr>
        <w:t>重新</w:t>
      </w:r>
      <w:r>
        <w:rPr>
          <w:rFonts w:ascii="Times New Roman" w:hAnsi="Times New Roman" w:cs="Times New Roman" w:hint="eastAsia"/>
          <w:sz w:val="24"/>
          <w:szCs w:val="24"/>
        </w:rPr>
        <w:t>召集基金份额持有人大会时，</w:t>
      </w:r>
      <w:bookmarkStart w:id="1" w:name="_Hlk176170315"/>
      <w:r>
        <w:rPr>
          <w:rFonts w:ascii="Times New Roman" w:hAnsi="Times New Roman" w:cs="Times New Roman" w:hint="eastAsia"/>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bookmarkEnd w:id="1"/>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八、本次大会相关机构</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、召集人（基金管理人）：华安基金管理有限公司</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、基金托管人：中国建设银行股份有限公司</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、公证机关：上海市东方公证处</w:t>
      </w:r>
    </w:p>
    <w:p w:rsidR="000D634B" w:rsidRDefault="0090371B">
      <w:pPr>
        <w:spacing w:line="360" w:lineRule="auto"/>
        <w:ind w:firstLineChars="413" w:firstLine="991"/>
        <w:rPr>
          <w:rFonts w:ascii="Times New Roman" w:hAnsi="Times New Roman" w:cs="Times New Roman"/>
          <w:bCs/>
          <w:sz w:val="24"/>
        </w:rPr>
      </w:pPr>
      <w:r>
        <w:rPr>
          <w:rFonts w:ascii="Times New Roman" w:hAnsi="Times New Roman" w:cs="Times New Roman" w:hint="eastAsia"/>
          <w:bCs/>
          <w:sz w:val="24"/>
        </w:rPr>
        <w:t>联系人：傅匀</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bCs/>
          <w:sz w:val="24"/>
        </w:rPr>
        <w:tab/>
        <w:t xml:space="preserve"> </w:t>
      </w:r>
      <w:r>
        <w:rPr>
          <w:rFonts w:ascii="Times New Roman" w:hAnsi="Times New Roman" w:cs="Times New Roman" w:hint="eastAsia"/>
          <w:bCs/>
          <w:sz w:val="24"/>
        </w:rPr>
        <w:t>联系方式：</w:t>
      </w:r>
      <w:r>
        <w:rPr>
          <w:rFonts w:ascii="Times New Roman" w:hAnsi="Times New Roman" w:cs="Times New Roman"/>
          <w:bCs/>
          <w:sz w:val="24"/>
        </w:rPr>
        <w:t>021-62154848</w:t>
      </w:r>
    </w:p>
    <w:p w:rsidR="000D634B" w:rsidRDefault="0090371B">
      <w:pPr>
        <w:spacing w:line="360" w:lineRule="auto"/>
        <w:ind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、律师事务所：上海源泰律师事务所</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Chars="200" w:firstLine="480"/>
        <w:outlineLvl w:val="0"/>
        <w:rPr>
          <w:rFonts w:ascii="Times New Roman" w:hAnsi="Times New Roman" w:cs="Times New Roman"/>
          <w:sz w:val="24"/>
          <w:szCs w:val="24"/>
        </w:rPr>
      </w:pPr>
      <w:r>
        <w:rPr>
          <w:rFonts w:ascii="Times New Roman" w:hAnsi="Times New Roman" w:cs="Times New Roman" w:hint="eastAsia"/>
          <w:sz w:val="24"/>
          <w:szCs w:val="24"/>
        </w:rPr>
        <w:t>九、重要提示</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、请基金份额持有人在提交表决票时，充分考虑邮寄在途时间，提前寄出表决票。</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、上述基金份额持有人大会有关公告及《华安新动力灵活配置混合型证券投资基金基金合同》可通过本基金管理人网站（</w:t>
      </w:r>
      <w:r>
        <w:rPr>
          <w:rFonts w:ascii="Times New Roman" w:hAnsi="Times New Roman" w:cs="Times New Roman"/>
          <w:sz w:val="24"/>
          <w:szCs w:val="24"/>
        </w:rPr>
        <w:t>www.huaan.com.cn</w:t>
      </w:r>
      <w:r>
        <w:rPr>
          <w:rFonts w:ascii="Times New Roman" w:hAnsi="Times New Roman" w:cs="Times New Roman" w:hint="eastAsia"/>
          <w:sz w:val="24"/>
          <w:szCs w:val="24"/>
        </w:rPr>
        <w:t>）或中国证监会基金电子披露网站（</w:t>
      </w:r>
      <w:r>
        <w:rPr>
          <w:rFonts w:ascii="Times New Roman" w:hAnsi="Times New Roman" w:cs="Times New Roman"/>
          <w:sz w:val="24"/>
          <w:szCs w:val="24"/>
        </w:rPr>
        <w:t>http://eid.csrc.gov.cn/fund</w:t>
      </w:r>
      <w:r>
        <w:rPr>
          <w:rFonts w:ascii="Times New Roman" w:hAnsi="Times New Roman" w:cs="Times New Roman" w:hint="eastAsia"/>
          <w:sz w:val="24"/>
          <w:szCs w:val="24"/>
        </w:rPr>
        <w:t>）查阅，投资者如有任何疑问，可致电本基金管理人客户服务电话</w:t>
      </w:r>
      <w:r>
        <w:rPr>
          <w:rFonts w:ascii="Times New Roman" w:hAnsi="Times New Roman" w:cs="Times New Roman"/>
          <w:sz w:val="24"/>
          <w:szCs w:val="24"/>
        </w:rPr>
        <w:t>40088-50099</w:t>
      </w:r>
      <w:r>
        <w:rPr>
          <w:rFonts w:ascii="Times New Roman" w:hAnsi="Times New Roman" w:cs="Times New Roman" w:hint="eastAsia"/>
          <w:sz w:val="24"/>
          <w:szCs w:val="24"/>
        </w:rPr>
        <w:t>（免长途话费）咨询。</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、本公告的有关内容由华安基金管理有限公司负责解释。</w:t>
      </w:r>
    </w:p>
    <w:p w:rsidR="000D634B" w:rsidRDefault="000D634B">
      <w:pPr>
        <w:spacing w:line="360" w:lineRule="auto"/>
        <w:ind w:firstLine="480"/>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附件一：《关于华安新动力灵活配置混合型证券投资基金调整赎回费率的议案》</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附件二：《华安新动力灵活配置混合型证券投资基金基金份额持有人大会表决票》</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附件三：《授权委托书》</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附件四：《</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w:t>
      </w: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right"/>
        <w:rPr>
          <w:rFonts w:ascii="Times New Roman" w:hAnsi="Times New Roman" w:cs="Times New Roman"/>
          <w:sz w:val="24"/>
          <w:szCs w:val="24"/>
        </w:rPr>
      </w:pPr>
      <w:r>
        <w:rPr>
          <w:rFonts w:ascii="Times New Roman" w:hAnsi="Times New Roman" w:cs="Times New Roman" w:hint="eastAsia"/>
          <w:sz w:val="24"/>
          <w:szCs w:val="24"/>
        </w:rPr>
        <w:t>华安基金管理有限公司</w:t>
      </w:r>
    </w:p>
    <w:p w:rsidR="000D634B" w:rsidRDefault="0090371B">
      <w:pPr>
        <w:spacing w:line="360" w:lineRule="auto"/>
        <w:ind w:firstLine="480"/>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hint="eastAsia"/>
          <w:sz w:val="24"/>
          <w:szCs w:val="24"/>
        </w:rPr>
        <w:t>12</w:t>
      </w:r>
      <w:r>
        <w:rPr>
          <w:rFonts w:ascii="Times New Roman" w:hAnsi="Times New Roman" w:cs="Times New Roman" w:hint="eastAsia"/>
          <w:sz w:val="24"/>
          <w:szCs w:val="24"/>
        </w:rPr>
        <w:t>日</w:t>
      </w:r>
    </w:p>
    <w:p w:rsidR="000D634B" w:rsidRDefault="0090371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D634B" w:rsidRDefault="0090371B">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附件一：《关于华安新动力灵活配置混合型证券投资基金调整赎回费率的议案》</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华安新动力灵活配置混合型证券投资基金基金份额持有人：</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根据市场环境变化，为更好地满足投资者理财需求，保护基金份额持有人的利益，根据《中华人民共和国证券投资基金法》《公开募集证券投资基金运作管理办法》和《华安新动力灵活配置混合型证券投资基金基金合同》的有关规定，本基金管理人经与本基金托管人中国建设银行股份有限公司协商一致，提议调整本基金赎回费率，并相应修改招募说明书等相关法律文件。</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调整本基金赎回费率并修改招募说明书等相关法律文件</w:t>
      </w:r>
      <w:bookmarkStart w:id="2" w:name="_Hlk50044603"/>
      <w:r>
        <w:rPr>
          <w:rFonts w:ascii="Times New Roman" w:hAnsi="Times New Roman" w:cs="Times New Roman" w:hint="eastAsia"/>
          <w:sz w:val="24"/>
          <w:szCs w:val="24"/>
        </w:rPr>
        <w:t>的具体方案和程序可参见附件四《</w:t>
      </w:r>
      <w:r>
        <w:rPr>
          <w:rFonts w:ascii="Times New Roman" w:hAnsi="Times New Roman" w:cs="Times New Roman"/>
          <w:sz w:val="24"/>
          <w:szCs w:val="24"/>
        </w:rPr>
        <w:t>&lt;</w:t>
      </w:r>
      <w:r>
        <w:rPr>
          <w:rFonts w:ascii="Times New Roman" w:hAnsi="Times New Roman" w:cs="Times New Roman" w:hint="eastAsia"/>
          <w:sz w:val="24"/>
          <w:szCs w:val="24"/>
        </w:rPr>
        <w:t>关于华安新动力灵活配置混合型证券投资基金调整赎回费率的议案</w:t>
      </w:r>
      <w:r>
        <w:rPr>
          <w:rFonts w:ascii="Times New Roman" w:hAnsi="Times New Roman" w:cs="Times New Roman"/>
          <w:sz w:val="24"/>
          <w:szCs w:val="24"/>
        </w:rPr>
        <w:t>&gt;</w:t>
      </w:r>
      <w:r>
        <w:rPr>
          <w:rFonts w:ascii="Times New Roman" w:hAnsi="Times New Roman" w:cs="Times New Roman" w:hint="eastAsia"/>
          <w:sz w:val="24"/>
          <w:szCs w:val="24"/>
        </w:rPr>
        <w:t>的说明》。</w:t>
      </w:r>
    </w:p>
    <w:bookmarkEnd w:id="2"/>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以上议案，请予审议。</w:t>
      </w: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right"/>
        <w:rPr>
          <w:rFonts w:ascii="Times New Roman" w:hAnsi="Times New Roman" w:cs="Times New Roman"/>
          <w:sz w:val="24"/>
          <w:szCs w:val="24"/>
        </w:rPr>
      </w:pPr>
      <w:r>
        <w:rPr>
          <w:rFonts w:ascii="Times New Roman" w:hAnsi="Times New Roman" w:cs="Times New Roman" w:hint="eastAsia"/>
          <w:sz w:val="24"/>
          <w:szCs w:val="24"/>
        </w:rPr>
        <w:t>华安基金管理有限公司</w:t>
      </w:r>
    </w:p>
    <w:p w:rsidR="000D634B" w:rsidRDefault="0090371B">
      <w:pPr>
        <w:spacing w:line="360" w:lineRule="auto"/>
        <w:ind w:firstLine="480"/>
        <w:jc w:val="right"/>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10</w:t>
      </w:r>
      <w:r>
        <w:rPr>
          <w:rFonts w:ascii="Times New Roman" w:hAnsi="Times New Roman" w:cs="Times New Roman" w:hint="eastAsia"/>
          <w:sz w:val="24"/>
          <w:szCs w:val="24"/>
        </w:rPr>
        <w:t>日</w:t>
      </w:r>
    </w:p>
    <w:p w:rsidR="000D634B" w:rsidRDefault="0090371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D634B" w:rsidRDefault="0090371B">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附件二：《华安新动力灵活配置混合型证券投资基金基金份额持有人大会表决票》</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w:t>
      </w:r>
    </w:p>
    <w:p w:rsidR="000D634B" w:rsidRDefault="0090371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基金份额持有人大会表决票</w:t>
      </w:r>
    </w:p>
    <w:tbl>
      <w:tblPr>
        <w:tblW w:w="8721" w:type="dxa"/>
        <w:jc w:val="center"/>
        <w:tblLook w:val="04A0"/>
      </w:tblPr>
      <w:tblGrid>
        <w:gridCol w:w="4551"/>
        <w:gridCol w:w="1418"/>
        <w:gridCol w:w="1417"/>
        <w:gridCol w:w="1335"/>
      </w:tblGrid>
      <w:tr w:rsidR="000D634B">
        <w:trPr>
          <w:trHeight w:val="10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基金份额持有人姓名或名称：</w:t>
            </w:r>
          </w:p>
        </w:tc>
      </w:tr>
      <w:tr w:rsidR="000D634B">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证件号码（身份证件号</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统一社会信用代码）</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tcPr>
          <w:p w:rsidR="000D634B" w:rsidRDefault="0090371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基金账户号</w:t>
            </w:r>
          </w:p>
        </w:tc>
      </w:tr>
      <w:tr w:rsidR="000D634B">
        <w:trPr>
          <w:trHeight w:val="66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tcPr>
          <w:p w:rsidR="000D634B" w:rsidRDefault="0090371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0D634B">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弃权</w:t>
            </w:r>
          </w:p>
        </w:tc>
      </w:tr>
      <w:tr w:rsidR="000D634B">
        <w:trPr>
          <w:trHeight w:val="1999"/>
          <w:jc w:val="center"/>
        </w:trPr>
        <w:tc>
          <w:tcPr>
            <w:tcW w:w="4551" w:type="dxa"/>
            <w:tcBorders>
              <w:top w:val="nil"/>
              <w:left w:val="single" w:sz="4" w:space="0" w:color="auto"/>
              <w:bottom w:val="single" w:sz="4" w:space="0" w:color="auto"/>
              <w:right w:val="single" w:sz="4" w:space="0" w:color="auto"/>
            </w:tcBorders>
            <w:shd w:val="clear" w:color="auto" w:fill="auto"/>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w:t>
            </w:r>
            <w:r>
              <w:rPr>
                <w:rFonts w:ascii="Times New Roman" w:hAnsi="Times New Roman" w:cs="Times New Roman" w:hint="eastAsia"/>
                <w:sz w:val="22"/>
              </w:rPr>
              <w:t>关于华安新动力灵活配置混合型证券投资基金调整赎回费率的议案</w:t>
            </w:r>
            <w:r>
              <w:rPr>
                <w:rFonts w:ascii="Times New Roman" w:eastAsia="宋体" w:hAnsi="Times New Roman" w:cs="Times New Roman"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 xml:space="preserve">　</w:t>
            </w:r>
          </w:p>
        </w:tc>
      </w:tr>
      <w:tr w:rsidR="000D634B">
        <w:trPr>
          <w:trHeight w:val="1999"/>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基金份额持有人</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（受托人）代理人签名或盖章</w:t>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color w:val="000000"/>
                <w:kern w:val="0"/>
                <w:sz w:val="22"/>
              </w:rPr>
              <w:br/>
            </w:r>
            <w:r>
              <w:rPr>
                <w:rFonts w:ascii="Times New Roman" w:eastAsia="宋体" w:hAnsi="Times New Roman" w:cs="Times New Roman" w:hint="eastAsia"/>
                <w:color w:val="000000"/>
                <w:kern w:val="0"/>
                <w:sz w:val="22"/>
              </w:rPr>
              <w:t>年</w:t>
            </w:r>
            <w:r>
              <w:rPr>
                <w:rFonts w:ascii="Times New Roman" w:eastAsia="宋体" w:hAnsi="Times New Roman" w:cs="Times New Roman"/>
                <w:color w:val="000000"/>
                <w:kern w:val="0"/>
                <w:sz w:val="22"/>
              </w:rPr>
              <w:t xml:space="preserve">   </w:t>
            </w:r>
            <w:r>
              <w:rPr>
                <w:rFonts w:ascii="Times New Roman" w:eastAsia="宋体" w:hAnsi="Times New Roman" w:cs="Times New Roman" w:hint="eastAsia"/>
                <w:color w:val="000000"/>
                <w:kern w:val="0"/>
                <w:sz w:val="22"/>
              </w:rPr>
              <w:t>月</w:t>
            </w:r>
            <w:r>
              <w:rPr>
                <w:rFonts w:ascii="Times New Roman" w:eastAsia="宋体" w:hAnsi="Times New Roman" w:cs="Times New Roman"/>
                <w:color w:val="000000"/>
                <w:kern w:val="0"/>
                <w:sz w:val="22"/>
              </w:rPr>
              <w:t xml:space="preserve">    </w:t>
            </w:r>
            <w:r>
              <w:rPr>
                <w:rFonts w:ascii="Times New Roman" w:eastAsia="宋体" w:hAnsi="Times New Roman" w:cs="Times New Roman" w:hint="eastAsia"/>
                <w:color w:val="000000"/>
                <w:kern w:val="0"/>
                <w:sz w:val="22"/>
              </w:rPr>
              <w:t>日</w:t>
            </w:r>
          </w:p>
        </w:tc>
      </w:tr>
      <w:tr w:rsidR="000D634B">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说明：</w:t>
            </w:r>
            <w:r>
              <w:rPr>
                <w:rFonts w:ascii="Times New Roman" w:eastAsia="宋体" w:hAnsi="Times New Roman" w:cs="Times New Roman"/>
                <w:color w:val="000000"/>
                <w:kern w:val="0"/>
                <w:sz w:val="22"/>
              </w:rPr>
              <w:br/>
              <w:t>1</w:t>
            </w:r>
            <w:r>
              <w:rPr>
                <w:rFonts w:ascii="Times New Roman" w:eastAsia="宋体" w:hAnsi="Times New Roman" w:cs="Times New Roman" w:hint="eastAsia"/>
                <w:color w:val="000000"/>
                <w:kern w:val="0"/>
                <w:sz w:val="22"/>
              </w:rPr>
              <w:t>、请以打“√”方式在审议事项后注明表决意见。基金份额持有人必须选择一种且只能选择一种表决意见。表决意见代表基金份额持有人所填基金账户号的全部基金份额（以权益登记日所登记的基金份额为准）的表决意见。</w:t>
            </w:r>
          </w:p>
          <w:p w:rsidR="000D634B" w:rsidRDefault="0090371B">
            <w:pPr>
              <w:widowControl/>
              <w:jc w:val="left"/>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w:t>
            </w:r>
            <w:r>
              <w:rPr>
                <w:rFonts w:ascii="Times New Roman" w:eastAsia="宋体" w:hAnsi="Times New Roman" w:cs="Times New Roman" w:hint="eastAsia"/>
                <w:color w:val="000000"/>
                <w:kern w:val="0"/>
                <w:sz w:val="22"/>
              </w:rPr>
              <w:t>、表决意见未选、多选、模糊不清或相互矛盾的（且其他各项符合会议通知规定）的表决票均视为投票人放弃表决权利，其所持全部基金份额的表决结果均计为</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弃权</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，计入有效表决票。签字</w:t>
            </w:r>
            <w:r>
              <w:rPr>
                <w:rFonts w:ascii="Times New Roman" w:eastAsia="宋体" w:hAnsi="Times New Roman" w:cs="Times New Roman"/>
                <w:color w:val="000000"/>
                <w:kern w:val="0"/>
                <w:sz w:val="22"/>
              </w:rPr>
              <w:t>/</w:t>
            </w:r>
            <w:r>
              <w:rPr>
                <w:rFonts w:ascii="Times New Roman" w:eastAsia="宋体" w:hAnsi="Times New Roman" w:cs="Times New Roman" w:hint="eastAsia"/>
                <w:color w:val="000000"/>
                <w:kern w:val="0"/>
                <w:sz w:val="22"/>
              </w:rPr>
              <w:t>盖章部分不完整、不清晰的，将视为无效表决。</w:t>
            </w:r>
          </w:p>
          <w:p w:rsidR="000D634B" w:rsidRDefault="0090371B">
            <w:pPr>
              <w:pStyle w:val="Default"/>
              <w:jc w:val="both"/>
              <w:rPr>
                <w:rFonts w:ascii="Times New Roman" w:hAnsi="Times New Roman" w:cs="Times New Roman"/>
                <w:sz w:val="21"/>
                <w:szCs w:val="21"/>
              </w:rPr>
            </w:pPr>
            <w:r>
              <w:rPr>
                <w:rFonts w:ascii="Times New Roman" w:hAnsi="Times New Roman" w:cs="Times New Roman"/>
                <w:sz w:val="22"/>
                <w:szCs w:val="22"/>
              </w:rPr>
              <w:t>3</w:t>
            </w:r>
            <w:r>
              <w:rPr>
                <w:rFonts w:ascii="Times New Roman" w:hAnsi="Times New Roman" w:cs="Times New Roman" w:hint="eastAsia"/>
                <w:sz w:val="22"/>
                <w:szCs w:val="22"/>
              </w:rPr>
              <w:t>、</w:t>
            </w:r>
            <w:bookmarkStart w:id="3" w:name="_Hlk50044293"/>
            <w:r>
              <w:rPr>
                <w:rFonts w:ascii="Times New Roman" w:hAnsi="Times New Roman" w:cs="Times New Roman" w:hint="eastAsia"/>
                <w:sz w:val="22"/>
                <w:szCs w:val="22"/>
              </w:rPr>
              <w:t>本表决票中</w:t>
            </w:r>
            <w:r>
              <w:rPr>
                <w:rFonts w:ascii="Times New Roman" w:hAnsi="Times New Roman" w:cs="Times New Roman"/>
                <w:sz w:val="22"/>
                <w:szCs w:val="22"/>
              </w:rPr>
              <w:t>“</w:t>
            </w:r>
            <w:r>
              <w:rPr>
                <w:rFonts w:ascii="Times New Roman" w:hAnsi="Times New Roman" w:cs="Times New Roman" w:hint="eastAsia"/>
                <w:sz w:val="22"/>
                <w:szCs w:val="22"/>
              </w:rPr>
              <w:t>基金账户号</w:t>
            </w:r>
            <w:r>
              <w:rPr>
                <w:rFonts w:ascii="Times New Roman" w:hAnsi="Times New Roman" w:cs="Times New Roman"/>
                <w:sz w:val="22"/>
                <w:szCs w:val="22"/>
              </w:rPr>
              <w:t>”</w:t>
            </w:r>
            <w:r>
              <w:rPr>
                <w:rFonts w:ascii="Times New Roman" w:hAnsi="Times New Roman" w:cs="Times New Roman" w:hint="eastAsia"/>
                <w:sz w:val="22"/>
                <w:szCs w:val="22"/>
              </w:rPr>
              <w:t>，指持有华安新动力灵活配置混合型证券投资基金基金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华安新动力灵活配置混合型证券投资基金所有份额。</w:t>
            </w:r>
            <w:bookmarkEnd w:id="3"/>
          </w:p>
        </w:tc>
      </w:tr>
    </w:tbl>
    <w:p w:rsidR="000D634B" w:rsidRDefault="0090371B">
      <w:pPr>
        <w:widowControl/>
        <w:jc w:val="left"/>
        <w:rPr>
          <w:rFonts w:ascii="Times New Roman" w:hAnsi="Times New Roman" w:cs="Times New Roman"/>
          <w:szCs w:val="24"/>
        </w:rPr>
      </w:pPr>
      <w:r>
        <w:rPr>
          <w:rFonts w:ascii="Times New Roman" w:hAnsi="Times New Roman" w:cs="Times New Roman" w:hint="eastAsia"/>
          <w:szCs w:val="24"/>
        </w:rPr>
        <w:t>（本表决票可剪报、复印或登录基金管理人网站（</w:t>
      </w:r>
      <w:r>
        <w:rPr>
          <w:rFonts w:ascii="Times New Roman" w:hAnsi="Times New Roman" w:cs="Times New Roman"/>
          <w:szCs w:val="24"/>
        </w:rPr>
        <w:t>www.huaan.com.cn</w:t>
      </w:r>
      <w:r>
        <w:rPr>
          <w:rFonts w:ascii="Times New Roman" w:hAnsi="Times New Roman" w:cs="Times New Roman" w:hint="eastAsia"/>
          <w:szCs w:val="24"/>
        </w:rPr>
        <w:t>）、中国证监会基金电子披露网站（</w:t>
      </w:r>
      <w:r>
        <w:rPr>
          <w:rFonts w:ascii="Times New Roman" w:hAnsi="Times New Roman" w:cs="Times New Roman"/>
          <w:szCs w:val="24"/>
        </w:rPr>
        <w:t>http://eid.csrc.gov.cn/fund</w:t>
      </w:r>
      <w:r>
        <w:rPr>
          <w:rFonts w:ascii="Times New Roman" w:hAnsi="Times New Roman" w:cs="Times New Roman" w:hint="eastAsia"/>
          <w:szCs w:val="24"/>
        </w:rPr>
        <w:t>）下载并打印，在填写完整并签字或盖章后均为有效。）</w:t>
      </w:r>
      <w:r>
        <w:rPr>
          <w:rFonts w:ascii="Times New Roman" w:hAnsi="Times New Roman" w:cs="Times New Roman"/>
          <w:szCs w:val="24"/>
        </w:rPr>
        <w:br w:type="page"/>
      </w:r>
    </w:p>
    <w:p w:rsidR="000D634B" w:rsidRDefault="0090371B">
      <w:pPr>
        <w:spacing w:line="360" w:lineRule="auto"/>
        <w:jc w:val="left"/>
        <w:rPr>
          <w:rFonts w:ascii="Times New Roman" w:hAnsi="Times New Roman" w:cs="Times New Roman"/>
          <w:b/>
          <w:sz w:val="24"/>
          <w:szCs w:val="24"/>
        </w:rPr>
      </w:pPr>
      <w:r>
        <w:rPr>
          <w:rFonts w:ascii="Times New Roman" w:hAnsi="Times New Roman" w:cs="Times New Roman" w:hint="eastAsia"/>
          <w:b/>
          <w:sz w:val="24"/>
          <w:szCs w:val="24"/>
        </w:rPr>
        <w:t>附件三：《授权委托书》</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兹授权</w:t>
      </w:r>
      <w:r>
        <w:rPr>
          <w:rFonts w:ascii="Times New Roman" w:hAnsi="Times New Roman" w:cs="Times New Roman"/>
          <w:sz w:val="24"/>
          <w:szCs w:val="24"/>
        </w:rPr>
        <w:t xml:space="preserve">            </w:t>
      </w:r>
      <w:r>
        <w:rPr>
          <w:rFonts w:ascii="Times New Roman" w:hAnsi="Times New Roman" w:cs="Times New Roman" w:hint="eastAsia"/>
          <w:sz w:val="24"/>
          <w:szCs w:val="24"/>
        </w:rPr>
        <w:t>代表本人（或本机构）参加投票截止日为</w:t>
      </w:r>
      <w:r>
        <w:rPr>
          <w:rFonts w:ascii="Times New Roman" w:hAnsi="Times New Roman" w:cs="Times New Roman"/>
          <w:sz w:val="24"/>
          <w:szCs w:val="24"/>
        </w:rPr>
        <w:t>2024</w:t>
      </w:r>
      <w:r>
        <w:rPr>
          <w:rFonts w:ascii="Times New Roman" w:hAnsi="Times New Roman" w:cs="Times New Roman" w:hint="eastAsia"/>
          <w:sz w:val="24"/>
          <w:szCs w:val="24"/>
        </w:rPr>
        <w:t>年</w:t>
      </w:r>
      <w:r>
        <w:rPr>
          <w:rFonts w:ascii="Times New Roman" w:hAnsi="Times New Roman" w:cs="Times New Roman"/>
          <w:sz w:val="24"/>
          <w:szCs w:val="24"/>
        </w:rPr>
        <w:t>10</w:t>
      </w:r>
      <w:r>
        <w:rPr>
          <w:rFonts w:ascii="Times New Roman" w:hAnsi="Times New Roman" w:cs="Times New Roman" w:hint="eastAsia"/>
          <w:sz w:val="24"/>
          <w:szCs w:val="24"/>
        </w:rPr>
        <w:t>月</w:t>
      </w:r>
      <w:r>
        <w:rPr>
          <w:rFonts w:ascii="Times New Roman" w:hAnsi="Times New Roman" w:cs="Times New Roman"/>
          <w:sz w:val="24"/>
          <w:szCs w:val="24"/>
        </w:rPr>
        <w:t>9</w:t>
      </w:r>
      <w:r>
        <w:rPr>
          <w:rFonts w:ascii="Times New Roman" w:hAnsi="Times New Roman" w:cs="Times New Roman" w:hint="eastAsia"/>
          <w:sz w:val="24"/>
          <w:szCs w:val="24"/>
        </w:rPr>
        <w:t>日的以通讯方式召开的华安新动力灵活配置混合型证券投资基金（以下简称</w:t>
      </w:r>
      <w:r>
        <w:rPr>
          <w:rFonts w:ascii="Times New Roman" w:hAnsi="Times New Roman" w:cs="Times New Roman"/>
          <w:sz w:val="24"/>
          <w:szCs w:val="24"/>
        </w:rPr>
        <w:t>“</w:t>
      </w:r>
      <w:r>
        <w:rPr>
          <w:rFonts w:ascii="Times New Roman" w:hAnsi="Times New Roman" w:cs="Times New Roman" w:hint="eastAsia"/>
          <w:sz w:val="24"/>
          <w:szCs w:val="24"/>
        </w:rPr>
        <w:t>本基金</w:t>
      </w:r>
      <w:r>
        <w:rPr>
          <w:rFonts w:ascii="Times New Roman" w:hAnsi="Times New Roman" w:cs="Times New Roman"/>
          <w:sz w:val="24"/>
          <w:szCs w:val="24"/>
        </w:rPr>
        <w:t>”</w:t>
      </w:r>
      <w:r>
        <w:rPr>
          <w:rFonts w:ascii="Times New Roman" w:hAnsi="Times New Roman" w:cs="Times New Roman" w:hint="eastAsia"/>
          <w:sz w:val="24"/>
          <w:szCs w:val="24"/>
        </w:rPr>
        <w:t>）基金份额持有人大会，并代为全权行使对所有议案的表决权。</w:t>
      </w: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上述授权有效期自签署日起至审议上述事项的基金份额持有人大会会议结束之日止。若本基金重新召开审议相同议案的基金份额持有人大会的，本授权继续有效。</w:t>
      </w: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委托人（签字</w:t>
      </w:r>
      <w:r>
        <w:rPr>
          <w:rFonts w:ascii="Times New Roman" w:hAnsi="Times New Roman" w:cs="Times New Roman"/>
          <w:sz w:val="24"/>
          <w:szCs w:val="24"/>
        </w:rPr>
        <w:t>/</w:t>
      </w:r>
      <w:r>
        <w:rPr>
          <w:rFonts w:ascii="Times New Roman" w:hAnsi="Times New Roman" w:cs="Times New Roman" w:hint="eastAsia"/>
          <w:sz w:val="24"/>
          <w:szCs w:val="24"/>
        </w:rPr>
        <w:t>盖章）：</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委托人身份证件号或</w:t>
      </w:r>
      <w:r>
        <w:rPr>
          <w:rFonts w:ascii="Times New Roman" w:eastAsia="宋体" w:hAnsi="Times New Roman" w:cs="Times New Roman" w:hint="eastAsia"/>
          <w:color w:val="000000"/>
          <w:kern w:val="0"/>
          <w:sz w:val="22"/>
        </w:rPr>
        <w:t>统一社会信用代码</w:t>
      </w:r>
      <w:r>
        <w:rPr>
          <w:rFonts w:ascii="Times New Roman" w:hAnsi="Times New Roman" w:cs="Times New Roman" w:hint="eastAsia"/>
          <w:sz w:val="24"/>
          <w:szCs w:val="24"/>
        </w:rPr>
        <w:t>：</w:t>
      </w: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firstLine="480"/>
        <w:jc w:val="left"/>
        <w:rPr>
          <w:rFonts w:ascii="Times New Roman" w:hAnsi="Times New Roman" w:cs="Times New Roman"/>
          <w:sz w:val="24"/>
          <w:szCs w:val="24"/>
          <w:u w:val="single"/>
        </w:rPr>
      </w:pPr>
      <w:r>
        <w:rPr>
          <w:rFonts w:ascii="Times New Roman" w:hAnsi="Times New Roman" w:cs="Times New Roman" w:hint="eastAsia"/>
          <w:sz w:val="24"/>
          <w:szCs w:val="24"/>
        </w:rPr>
        <w:t>委托人基金账户号：</w:t>
      </w:r>
    </w:p>
    <w:p w:rsidR="000D634B" w:rsidRDefault="000D634B">
      <w:pPr>
        <w:spacing w:line="360" w:lineRule="auto"/>
        <w:ind w:firstLine="480"/>
        <w:jc w:val="left"/>
        <w:rPr>
          <w:rFonts w:ascii="Times New Roman" w:hAnsi="Times New Roman" w:cs="Times New Roman"/>
          <w:sz w:val="24"/>
          <w:szCs w:val="24"/>
          <w:u w:val="single"/>
        </w:rPr>
      </w:pPr>
    </w:p>
    <w:p w:rsidR="000D634B" w:rsidRDefault="000D634B">
      <w:pPr>
        <w:spacing w:line="360" w:lineRule="auto"/>
        <w:ind w:firstLine="480"/>
        <w:jc w:val="left"/>
        <w:rPr>
          <w:rFonts w:ascii="Times New Roman" w:hAnsi="Times New Roman" w:cs="Times New Roman"/>
          <w:sz w:val="24"/>
          <w:szCs w:val="24"/>
          <w:u w:val="single"/>
        </w:rPr>
      </w:pPr>
    </w:p>
    <w:p w:rsidR="000D634B" w:rsidRDefault="000D634B">
      <w:pPr>
        <w:spacing w:line="360" w:lineRule="auto"/>
        <w:ind w:firstLine="480"/>
        <w:jc w:val="left"/>
        <w:rPr>
          <w:rFonts w:ascii="Times New Roman" w:hAnsi="Times New Roman" w:cs="Times New Roman"/>
          <w:sz w:val="24"/>
          <w:szCs w:val="24"/>
          <w:u w:val="single"/>
        </w:rPr>
      </w:pPr>
    </w:p>
    <w:p w:rsidR="000D634B" w:rsidRDefault="0090371B">
      <w:pPr>
        <w:spacing w:line="360" w:lineRule="auto"/>
        <w:ind w:firstLine="480"/>
        <w:jc w:val="left"/>
        <w:rPr>
          <w:rFonts w:ascii="Times New Roman" w:hAnsi="Times New Roman" w:cs="Times New Roman"/>
          <w:sz w:val="24"/>
          <w:szCs w:val="24"/>
          <w:u w:val="single"/>
        </w:rPr>
      </w:pPr>
      <w:r>
        <w:rPr>
          <w:rFonts w:ascii="Times New Roman" w:hAnsi="Times New Roman" w:cs="Times New Roman" w:hint="eastAsia"/>
          <w:sz w:val="24"/>
          <w:szCs w:val="24"/>
        </w:rPr>
        <w:t>代理人（签字</w:t>
      </w:r>
      <w:r>
        <w:rPr>
          <w:rFonts w:ascii="Times New Roman" w:hAnsi="Times New Roman" w:cs="Times New Roman"/>
          <w:sz w:val="24"/>
          <w:szCs w:val="24"/>
        </w:rPr>
        <w:t>/</w:t>
      </w:r>
      <w:r>
        <w:rPr>
          <w:rFonts w:ascii="Times New Roman" w:hAnsi="Times New Roman" w:cs="Times New Roman" w:hint="eastAsia"/>
          <w:sz w:val="24"/>
          <w:szCs w:val="24"/>
        </w:rPr>
        <w:t>盖章）：</w:t>
      </w:r>
    </w:p>
    <w:p w:rsidR="000D634B" w:rsidRDefault="000D634B">
      <w:pPr>
        <w:spacing w:line="360" w:lineRule="auto"/>
        <w:ind w:firstLine="480"/>
        <w:jc w:val="left"/>
        <w:rPr>
          <w:rFonts w:ascii="Times New Roman" w:hAnsi="Times New Roman" w:cs="Times New Roman"/>
          <w:sz w:val="24"/>
          <w:szCs w:val="24"/>
          <w:u w:val="single"/>
        </w:rPr>
      </w:pPr>
    </w:p>
    <w:p w:rsidR="000D634B" w:rsidRDefault="0090371B">
      <w:pPr>
        <w:spacing w:line="360" w:lineRule="auto"/>
        <w:ind w:firstLine="480"/>
        <w:jc w:val="left"/>
        <w:rPr>
          <w:rFonts w:ascii="Times New Roman" w:hAnsi="Times New Roman" w:cs="Times New Roman"/>
          <w:sz w:val="24"/>
          <w:szCs w:val="24"/>
        </w:rPr>
      </w:pPr>
      <w:r>
        <w:rPr>
          <w:rFonts w:ascii="Times New Roman" w:hAnsi="Times New Roman" w:cs="Times New Roman" w:hint="eastAsia"/>
          <w:sz w:val="24"/>
          <w:szCs w:val="24"/>
        </w:rPr>
        <w:t>代理人身份证件号或</w:t>
      </w:r>
      <w:r>
        <w:rPr>
          <w:rFonts w:ascii="Times New Roman" w:eastAsia="宋体" w:hAnsi="Times New Roman" w:cs="Times New Roman" w:hint="eastAsia"/>
          <w:color w:val="000000"/>
          <w:kern w:val="0"/>
          <w:sz w:val="22"/>
        </w:rPr>
        <w:t>统一社会信用代码</w:t>
      </w:r>
      <w:r>
        <w:rPr>
          <w:rFonts w:ascii="Times New Roman" w:hAnsi="Times New Roman" w:cs="Times New Roman" w:hint="eastAsia"/>
          <w:sz w:val="24"/>
          <w:szCs w:val="24"/>
        </w:rPr>
        <w:t>：</w:t>
      </w: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0D634B">
      <w:pPr>
        <w:spacing w:line="360" w:lineRule="auto"/>
        <w:ind w:firstLine="480"/>
        <w:jc w:val="left"/>
        <w:rPr>
          <w:rFonts w:ascii="Times New Roman" w:hAnsi="Times New Roman" w:cs="Times New Roman"/>
          <w:sz w:val="24"/>
          <w:szCs w:val="24"/>
        </w:rPr>
      </w:pPr>
    </w:p>
    <w:p w:rsidR="000D634B" w:rsidRDefault="0090371B">
      <w:pPr>
        <w:spacing w:line="360" w:lineRule="auto"/>
        <w:ind w:right="480" w:firstLine="480"/>
        <w:jc w:val="right"/>
        <w:rPr>
          <w:rFonts w:ascii="Times New Roman" w:hAnsi="Times New Roman" w:cs="Times New Roman"/>
          <w:sz w:val="24"/>
          <w:szCs w:val="24"/>
        </w:rPr>
      </w:pPr>
      <w:r>
        <w:rPr>
          <w:rFonts w:ascii="Times New Roman" w:hAnsi="Times New Roman" w:cs="Times New Roman" w:hint="eastAsia"/>
          <w:sz w:val="24"/>
          <w:szCs w:val="24"/>
        </w:rPr>
        <w:t>委托日期：年</w:t>
      </w:r>
      <w:r>
        <w:rPr>
          <w:rFonts w:ascii="Times New Roman" w:hAnsi="Times New Roman" w:cs="Times New Roman"/>
          <w:sz w:val="24"/>
          <w:szCs w:val="24"/>
        </w:rPr>
        <w:t xml:space="preserve">  </w:t>
      </w:r>
      <w:r>
        <w:rPr>
          <w:rFonts w:ascii="Times New Roman" w:hAnsi="Times New Roman" w:cs="Times New Roman" w:hint="eastAsia"/>
          <w:sz w:val="24"/>
          <w:szCs w:val="24"/>
        </w:rPr>
        <w:t>月</w:t>
      </w:r>
      <w:r>
        <w:rPr>
          <w:rFonts w:ascii="Times New Roman" w:hAnsi="Times New Roman" w:cs="Times New Roman"/>
          <w:sz w:val="24"/>
          <w:szCs w:val="24"/>
        </w:rPr>
        <w:t xml:space="preserve">  </w:t>
      </w:r>
      <w:r>
        <w:rPr>
          <w:rFonts w:ascii="Times New Roman" w:hAnsi="Times New Roman" w:cs="Times New Roman" w:hint="eastAsia"/>
          <w:sz w:val="24"/>
          <w:szCs w:val="24"/>
        </w:rPr>
        <w:t>日</w:t>
      </w:r>
    </w:p>
    <w:p w:rsidR="000D634B" w:rsidRDefault="000D634B">
      <w:pPr>
        <w:spacing w:line="360" w:lineRule="auto"/>
        <w:ind w:right="480" w:firstLine="480"/>
        <w:jc w:val="center"/>
        <w:rPr>
          <w:rFonts w:ascii="Times New Roman" w:hAnsi="Times New Roman" w:cs="Times New Roman"/>
          <w:sz w:val="24"/>
          <w:szCs w:val="24"/>
        </w:rPr>
      </w:pPr>
    </w:p>
    <w:p w:rsidR="000D634B" w:rsidRDefault="000D634B">
      <w:pPr>
        <w:spacing w:line="360" w:lineRule="auto"/>
        <w:ind w:right="480" w:firstLine="480"/>
        <w:jc w:val="center"/>
        <w:rPr>
          <w:rFonts w:ascii="Times New Roman" w:hAnsi="Times New Roman" w:cs="Times New Roman"/>
          <w:sz w:val="24"/>
          <w:szCs w:val="24"/>
        </w:rPr>
      </w:pPr>
    </w:p>
    <w:p w:rsidR="000D634B" w:rsidRDefault="000D634B">
      <w:pPr>
        <w:spacing w:line="360" w:lineRule="auto"/>
        <w:ind w:right="480" w:firstLine="480"/>
        <w:jc w:val="center"/>
        <w:rPr>
          <w:rFonts w:ascii="Times New Roman" w:hAnsi="Times New Roman" w:cs="Times New Roman"/>
          <w:sz w:val="24"/>
          <w:szCs w:val="24"/>
        </w:rPr>
      </w:pPr>
    </w:p>
    <w:p w:rsidR="000D634B" w:rsidRDefault="000D634B">
      <w:pPr>
        <w:spacing w:line="360" w:lineRule="auto"/>
        <w:ind w:right="480" w:firstLine="480"/>
        <w:jc w:val="left"/>
        <w:rPr>
          <w:rFonts w:ascii="Times New Roman" w:hAnsi="Times New Roman" w:cs="Times New Roman"/>
          <w:sz w:val="24"/>
          <w:szCs w:val="24"/>
        </w:rPr>
      </w:pP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hint="eastAsia"/>
          <w:sz w:val="24"/>
          <w:szCs w:val="24"/>
        </w:rPr>
        <w:t>授权委托书填写注意事项</w:t>
      </w:r>
      <w:r>
        <w:rPr>
          <w:rFonts w:ascii="Times New Roman" w:hAnsi="Times New Roman" w:cs="Times New Roman"/>
          <w:sz w:val="24"/>
          <w:szCs w:val="24"/>
        </w:rPr>
        <w:t>:</w:t>
      </w: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、授权委托书可剪报、复印或按以上格式自制，在填写完整并签字</w:t>
      </w:r>
      <w:r>
        <w:rPr>
          <w:rFonts w:ascii="Times New Roman" w:hAnsi="Times New Roman" w:cs="Times New Roman"/>
          <w:sz w:val="24"/>
          <w:szCs w:val="24"/>
        </w:rPr>
        <w:t>/</w:t>
      </w:r>
      <w:r>
        <w:rPr>
          <w:rFonts w:ascii="Times New Roman" w:hAnsi="Times New Roman" w:cs="Times New Roman" w:hint="eastAsia"/>
          <w:sz w:val="24"/>
          <w:szCs w:val="24"/>
        </w:rPr>
        <w:t>盖章后均为有效；</w:t>
      </w: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、委托人为机构的应当于名称后加盖公章，个人则为本人签字；</w:t>
      </w: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w:t>
      </w:r>
      <w:bookmarkStart w:id="4" w:name="_Hlk50044284"/>
      <w:r>
        <w:rPr>
          <w:rFonts w:ascii="Times New Roman" w:hAnsi="Times New Roman" w:cs="Times New Roman" w:hint="eastAsia"/>
          <w:sz w:val="24"/>
          <w:szCs w:val="24"/>
        </w:rPr>
        <w:t>本授权委托书中的</w:t>
      </w:r>
      <w:r>
        <w:rPr>
          <w:rFonts w:ascii="Times New Roman" w:hAnsi="Times New Roman" w:cs="Times New Roman"/>
          <w:sz w:val="24"/>
          <w:szCs w:val="24"/>
        </w:rPr>
        <w:t>“</w:t>
      </w:r>
      <w:r>
        <w:rPr>
          <w:rFonts w:ascii="Times New Roman" w:hAnsi="Times New Roman" w:cs="Times New Roman" w:hint="eastAsia"/>
          <w:sz w:val="24"/>
          <w:szCs w:val="24"/>
        </w:rPr>
        <w:t>基金账户号</w:t>
      </w:r>
      <w:r>
        <w:rPr>
          <w:rFonts w:ascii="Times New Roman" w:hAnsi="Times New Roman" w:cs="Times New Roman"/>
          <w:sz w:val="24"/>
          <w:szCs w:val="24"/>
        </w:rPr>
        <w:t>”</w:t>
      </w:r>
      <w:r>
        <w:rPr>
          <w:rFonts w:ascii="Times New Roman" w:hAnsi="Times New Roman" w:cs="Times New Roman" w:hint="eastAsia"/>
          <w:sz w:val="24"/>
          <w:szCs w:val="24"/>
        </w:rPr>
        <w:t>，指持有华安新动力灵活配置混合型证券投资基金基金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华安新动力灵活配置混合型证券投资基金所有份额</w:t>
      </w:r>
      <w:bookmarkEnd w:id="4"/>
      <w:r>
        <w:rPr>
          <w:rFonts w:ascii="Times New Roman" w:hAnsi="Times New Roman" w:cs="Times New Roman" w:hint="eastAsia"/>
          <w:sz w:val="24"/>
          <w:szCs w:val="24"/>
        </w:rPr>
        <w:t>；</w:t>
      </w: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、以上授权是基金份额持有人就其持有的本基金全部份额（含截至权益登记日的未付累计收益）向代理人所做授权；</w:t>
      </w:r>
    </w:p>
    <w:p w:rsidR="000D634B" w:rsidRDefault="0090371B">
      <w:pPr>
        <w:spacing w:line="360" w:lineRule="auto"/>
        <w:ind w:right="480" w:firstLine="480"/>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、如本次基金份额持有人大会权益登记日，投资者未持有本基金的基金份额，则其授权无效。</w:t>
      </w:r>
    </w:p>
    <w:p w:rsidR="000D634B" w:rsidRDefault="0090371B">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0D634B" w:rsidRDefault="0090371B">
      <w:pPr>
        <w:spacing w:line="360" w:lineRule="auto"/>
        <w:ind w:right="480"/>
        <w:jc w:val="left"/>
        <w:rPr>
          <w:rFonts w:ascii="Times New Roman" w:hAnsi="Times New Roman" w:cs="Times New Roman"/>
          <w:b/>
          <w:sz w:val="24"/>
          <w:szCs w:val="24"/>
        </w:rPr>
      </w:pPr>
      <w:r>
        <w:rPr>
          <w:rFonts w:ascii="Times New Roman" w:hAnsi="Times New Roman" w:cs="Times New Roman" w:hint="eastAsia"/>
          <w:b/>
          <w:sz w:val="24"/>
          <w:szCs w:val="24"/>
        </w:rPr>
        <w:t>附件四：《关于华安新动力灵活配置混合型证券投资基金调整赎回费率的议案》的说明</w:t>
      </w:r>
    </w:p>
    <w:p w:rsidR="000D634B" w:rsidRDefault="000D634B">
      <w:pPr>
        <w:spacing w:line="360" w:lineRule="auto"/>
        <w:ind w:right="480" w:firstLine="480"/>
        <w:jc w:val="left"/>
        <w:rPr>
          <w:rFonts w:ascii="Times New Roman" w:hAnsi="Times New Roman" w:cs="Times New Roman"/>
          <w:sz w:val="24"/>
          <w:szCs w:val="24"/>
        </w:rPr>
      </w:pP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华安新动力灵活配置混合型证券投资基金（以下简称</w:t>
      </w:r>
      <w:r>
        <w:rPr>
          <w:rFonts w:ascii="Times New Roman" w:hAnsi="Times New Roman" w:cs="Times New Roman"/>
          <w:sz w:val="24"/>
          <w:szCs w:val="24"/>
        </w:rPr>
        <w:t>“</w:t>
      </w:r>
      <w:r>
        <w:rPr>
          <w:rFonts w:ascii="Times New Roman" w:hAnsi="Times New Roman" w:cs="Times New Roman" w:hint="eastAsia"/>
          <w:sz w:val="24"/>
          <w:szCs w:val="24"/>
        </w:rPr>
        <w:t>华安新动力</w:t>
      </w:r>
      <w:r>
        <w:rPr>
          <w:rFonts w:ascii="Times New Roman" w:hAnsi="Times New Roman" w:cs="Times New Roman"/>
          <w:sz w:val="24"/>
          <w:szCs w:val="24"/>
        </w:rPr>
        <w:t>”</w:t>
      </w:r>
      <w:r>
        <w:rPr>
          <w:rFonts w:ascii="Times New Roman" w:hAnsi="Times New Roman" w:cs="Times New Roman" w:hint="eastAsia"/>
          <w:sz w:val="24"/>
          <w:szCs w:val="24"/>
        </w:rPr>
        <w:t>或</w:t>
      </w:r>
      <w:r>
        <w:rPr>
          <w:rFonts w:ascii="Times New Roman" w:hAnsi="Times New Roman" w:cs="Times New Roman"/>
          <w:sz w:val="24"/>
          <w:szCs w:val="24"/>
        </w:rPr>
        <w:t>“</w:t>
      </w:r>
      <w:r>
        <w:rPr>
          <w:rFonts w:ascii="Times New Roman" w:hAnsi="Times New Roman" w:cs="Times New Roman" w:hint="eastAsia"/>
          <w:sz w:val="24"/>
          <w:szCs w:val="24"/>
        </w:rPr>
        <w:t>本基金</w:t>
      </w:r>
      <w:r>
        <w:rPr>
          <w:rFonts w:ascii="Times New Roman" w:hAnsi="Times New Roman" w:cs="Times New Roman"/>
          <w:sz w:val="24"/>
          <w:szCs w:val="24"/>
        </w:rPr>
        <w:t>”</w:t>
      </w:r>
      <w:r>
        <w:rPr>
          <w:rFonts w:ascii="Times New Roman" w:hAnsi="Times New Roman" w:cs="Times New Roman" w:hint="eastAsia"/>
          <w:sz w:val="24"/>
          <w:szCs w:val="24"/>
        </w:rPr>
        <w:t>）于</w:t>
      </w:r>
      <w:r>
        <w:rPr>
          <w:rFonts w:ascii="Times New Roman" w:hAnsi="Times New Roman" w:cs="Times New Roman"/>
          <w:sz w:val="24"/>
          <w:szCs w:val="24"/>
        </w:rPr>
        <w:t>2015</w:t>
      </w:r>
      <w:r>
        <w:rPr>
          <w:rFonts w:ascii="Times New Roman" w:hAnsi="Times New Roman" w:cs="Times New Roman" w:hint="eastAsia"/>
          <w:sz w:val="24"/>
          <w:szCs w:val="24"/>
        </w:rPr>
        <w:t>年</w:t>
      </w:r>
      <w:r>
        <w:rPr>
          <w:rFonts w:ascii="Times New Roman" w:hAnsi="Times New Roman" w:cs="Times New Roman"/>
          <w:sz w:val="24"/>
          <w:szCs w:val="24"/>
        </w:rPr>
        <w:t>3</w:t>
      </w:r>
      <w:r>
        <w:rPr>
          <w:rFonts w:ascii="Times New Roman" w:hAnsi="Times New Roman" w:cs="Times New Roman" w:hint="eastAsia"/>
          <w:sz w:val="24"/>
          <w:szCs w:val="24"/>
        </w:rPr>
        <w:t>月</w:t>
      </w:r>
      <w:r>
        <w:rPr>
          <w:rFonts w:ascii="Times New Roman" w:hAnsi="Times New Roman" w:cs="Times New Roman"/>
          <w:sz w:val="24"/>
          <w:szCs w:val="24"/>
        </w:rPr>
        <w:t>24</w:t>
      </w:r>
      <w:r>
        <w:rPr>
          <w:rFonts w:ascii="Times New Roman" w:hAnsi="Times New Roman" w:cs="Times New Roman" w:hint="eastAsia"/>
          <w:sz w:val="24"/>
          <w:szCs w:val="24"/>
        </w:rPr>
        <w:t>日</w:t>
      </w:r>
      <w:r>
        <w:rPr>
          <w:rFonts w:ascii="Times New Roman" w:hAnsi="Times New Roman" w:cs="Times New Roman"/>
          <w:sz w:val="24"/>
          <w:szCs w:val="24"/>
        </w:rPr>
        <w:t>成立，基金托管人为中国建设银行</w:t>
      </w:r>
      <w:r>
        <w:rPr>
          <w:rFonts w:ascii="Times New Roman" w:hAnsi="Times New Roman" w:cs="Times New Roman" w:hint="eastAsia"/>
          <w:sz w:val="24"/>
          <w:szCs w:val="24"/>
        </w:rPr>
        <w:t>股份有限公司。根据市场环境变化，为更好地满足投资者理财需求，保护基金份额持有人的利益，基金管理人根据《中华人民共和国证券投资基金法》（以下简称</w:t>
      </w:r>
      <w:r>
        <w:rPr>
          <w:rFonts w:ascii="Times New Roman" w:hAnsi="Times New Roman" w:cs="Times New Roman"/>
          <w:sz w:val="24"/>
          <w:szCs w:val="24"/>
        </w:rPr>
        <w:t>“</w:t>
      </w:r>
      <w:r>
        <w:rPr>
          <w:rFonts w:ascii="Times New Roman" w:hAnsi="Times New Roman" w:cs="Times New Roman" w:hint="eastAsia"/>
          <w:sz w:val="24"/>
          <w:szCs w:val="24"/>
        </w:rPr>
        <w:t>《基金法》</w:t>
      </w:r>
      <w:r>
        <w:rPr>
          <w:rFonts w:ascii="Times New Roman" w:hAnsi="Times New Roman" w:cs="Times New Roman"/>
          <w:sz w:val="24"/>
          <w:szCs w:val="24"/>
        </w:rPr>
        <w:t>”</w:t>
      </w:r>
      <w:r>
        <w:rPr>
          <w:rFonts w:ascii="Times New Roman" w:hAnsi="Times New Roman" w:cs="Times New Roman" w:hint="eastAsia"/>
          <w:sz w:val="24"/>
          <w:szCs w:val="24"/>
        </w:rPr>
        <w:t>）、《公开募集证券投资基金运作管理办法》和《华安新动力灵活配置混合型证券投资基金基金合同》的有关规定，经与基金托管人协商一致，决定以通讯方式召开基金份额持有人大会，审议调低本基金赎回费率并根据前述变更修订招募说明书等法律文件的相关事项。</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华安新动力灵活配置混合型证券投资基金调整赎回费率的方案需经参加大会的基金份额持有人或其代理人所持表决权的二分之一以上（含二分之一）通过方为有效，因此调整赎回费率的方案存在无法获得相关基金份额持有人大会表决通过的可能。参加基金份额持有人大会表决的基金份额持有人为权益登记日登记在册的华安新动力灵活配置混合型证券投资基金基金份额持有人，本人直接出具表决意见或授权他人代表出具表决意见的基金份额持有人所持有的基金份额不小于在权益登记日基金总份额的二分之一（含二分之一）。</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份额持有人大会表决通过的事项须报中国证监会备案，且自本次基金份额持有人大会表决通过之日起生效。法律法规另有规定的，从其规定。中国证监会对本次华安新动力调整赎回费率的方案所作的任何决定或意见，均不表明其对本次修改方案或本基金的价值或投资者的收益做出实质性判断或保证。</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具体方案如下：</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一、方案要点</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、本基金调整</w:t>
      </w:r>
      <w:r>
        <w:rPr>
          <w:rFonts w:ascii="Times New Roman" w:hAnsi="Times New Roman" w:cs="Times New Roman"/>
          <w:sz w:val="24"/>
          <w:szCs w:val="24"/>
        </w:rPr>
        <w:t>A</w:t>
      </w:r>
      <w:r>
        <w:rPr>
          <w:rFonts w:ascii="Times New Roman" w:hAnsi="Times New Roman" w:cs="Times New Roman" w:hint="eastAsia"/>
          <w:sz w:val="24"/>
          <w:szCs w:val="24"/>
        </w:rPr>
        <w:t>类基金份额的赎回费率，</w:t>
      </w:r>
      <w:r>
        <w:rPr>
          <w:rFonts w:ascii="Times New Roman" w:hAnsi="Times New Roman" w:cs="Times New Roman"/>
          <w:sz w:val="24"/>
          <w:szCs w:val="24"/>
        </w:rPr>
        <w:t>C</w:t>
      </w:r>
      <w:r>
        <w:rPr>
          <w:rFonts w:ascii="Times New Roman" w:hAnsi="Times New Roman" w:cs="Times New Roman" w:hint="eastAsia"/>
          <w:sz w:val="24"/>
          <w:szCs w:val="24"/>
        </w:rPr>
        <w:t>类基金份额赎回费率不变，具体调整如下：</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类基金份额赎回费率调整前：</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3046"/>
      </w:tblGrid>
      <w:tr w:rsidR="000D634B">
        <w:trPr>
          <w:trHeight w:val="185"/>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hint="eastAsia"/>
                <w:b/>
                <w:sz w:val="24"/>
                <w:szCs w:val="28"/>
              </w:rPr>
              <w:t>持有时间（</w:t>
            </w:r>
            <w:r>
              <w:rPr>
                <w:rFonts w:ascii="Times New Roman" w:hAnsi="Times New Roman" w:cs="Times New Roman"/>
                <w:b/>
                <w:sz w:val="24"/>
                <w:szCs w:val="28"/>
              </w:rPr>
              <w:t>Y</w:t>
            </w:r>
            <w:r>
              <w:rPr>
                <w:rFonts w:ascii="Times New Roman" w:hAnsi="Times New Roman" w:cs="Times New Roman" w:hint="eastAsia"/>
                <w:b/>
                <w:sz w:val="24"/>
                <w:szCs w:val="28"/>
              </w:rPr>
              <w:t>）</w:t>
            </w:r>
          </w:p>
        </w:tc>
        <w:tc>
          <w:tcPr>
            <w:tcW w:w="3046" w:type="dxa"/>
            <w:vAlign w:val="center"/>
          </w:tcPr>
          <w:p w:rsidR="000D634B" w:rsidRDefault="0090371B">
            <w:pPr>
              <w:adjustRightInd w:val="0"/>
              <w:snapToGrid w:val="0"/>
              <w:jc w:val="center"/>
              <w:rPr>
                <w:rFonts w:ascii="Times New Roman" w:hAnsi="Times New Roman" w:cs="Times New Roman"/>
                <w:b/>
                <w:sz w:val="24"/>
                <w:szCs w:val="28"/>
              </w:rPr>
            </w:pPr>
            <w:r>
              <w:rPr>
                <w:rFonts w:ascii="Times New Roman" w:hAnsi="Times New Roman" w:cs="Times New Roman" w:hint="eastAsia"/>
                <w:b/>
                <w:sz w:val="24"/>
                <w:szCs w:val="28"/>
              </w:rPr>
              <w:t>赎回费率</w:t>
            </w:r>
          </w:p>
        </w:tc>
      </w:tr>
      <w:tr w:rsidR="000D634B">
        <w:trPr>
          <w:trHeight w:val="185"/>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Y&lt;7</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1.50%</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hint="eastAsia"/>
                <w:sz w:val="24"/>
                <w:szCs w:val="28"/>
              </w:rPr>
              <w:t>天≤</w:t>
            </w:r>
            <w:r>
              <w:rPr>
                <w:rFonts w:ascii="Times New Roman" w:hAnsi="Times New Roman" w:cs="Times New Roman" w:hint="eastAsia"/>
                <w:sz w:val="24"/>
                <w:szCs w:val="28"/>
              </w:rPr>
              <w:t>Y&lt;30</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0.75%</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30</w:t>
            </w:r>
            <w:r>
              <w:rPr>
                <w:rFonts w:ascii="Times New Roman" w:hAnsi="Times New Roman" w:cs="Times New Roman" w:hint="eastAsia"/>
                <w:sz w:val="24"/>
                <w:szCs w:val="28"/>
              </w:rPr>
              <w:t>天≤</w:t>
            </w:r>
            <w:r>
              <w:rPr>
                <w:rFonts w:ascii="Times New Roman" w:hAnsi="Times New Roman" w:cs="Times New Roman" w:hint="eastAsia"/>
                <w:sz w:val="24"/>
                <w:szCs w:val="28"/>
              </w:rPr>
              <w:t>Y&lt;1</w:t>
            </w:r>
            <w:r>
              <w:rPr>
                <w:rFonts w:ascii="Times New Roman" w:hAnsi="Times New Roman" w:cs="Times New Roman" w:hint="eastAsia"/>
                <w:sz w:val="24"/>
                <w:szCs w:val="28"/>
              </w:rPr>
              <w:t>年</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0.50%</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hint="eastAsia"/>
                <w:sz w:val="24"/>
                <w:szCs w:val="28"/>
              </w:rPr>
              <w:t>年≤</w:t>
            </w:r>
            <w:r>
              <w:rPr>
                <w:rFonts w:ascii="Times New Roman" w:hAnsi="Times New Roman" w:cs="Times New Roman" w:hint="eastAsia"/>
                <w:sz w:val="24"/>
                <w:szCs w:val="28"/>
              </w:rPr>
              <w:t>Y&lt;2</w:t>
            </w:r>
            <w:r>
              <w:rPr>
                <w:rFonts w:ascii="Times New Roman" w:hAnsi="Times New Roman" w:cs="Times New Roman" w:hint="eastAsia"/>
                <w:sz w:val="24"/>
                <w:szCs w:val="28"/>
              </w:rPr>
              <w:t>年</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0.25%</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hint="eastAsia"/>
                <w:sz w:val="24"/>
                <w:szCs w:val="28"/>
              </w:rPr>
              <w:t>Y</w:t>
            </w:r>
            <w:r>
              <w:rPr>
                <w:rFonts w:ascii="Times New Roman" w:hAnsi="Times New Roman" w:cs="Times New Roman" w:hint="eastAsia"/>
                <w:sz w:val="24"/>
                <w:szCs w:val="28"/>
              </w:rPr>
              <w:t>≥</w:t>
            </w:r>
            <w:r>
              <w:rPr>
                <w:rFonts w:ascii="Times New Roman" w:hAnsi="Times New Roman" w:cs="Times New Roman" w:hint="eastAsia"/>
                <w:sz w:val="24"/>
                <w:szCs w:val="28"/>
              </w:rPr>
              <w:t>2</w:t>
            </w:r>
            <w:r>
              <w:rPr>
                <w:rFonts w:ascii="Times New Roman" w:hAnsi="Times New Roman" w:cs="Times New Roman" w:hint="eastAsia"/>
                <w:sz w:val="24"/>
                <w:szCs w:val="28"/>
              </w:rPr>
              <w:t>年</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w:t>
            </w:r>
          </w:p>
        </w:tc>
      </w:tr>
    </w:tbl>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关于</w:t>
      </w:r>
      <w:r>
        <w:rPr>
          <w:rFonts w:ascii="Times New Roman" w:hAnsi="Times New Roman" w:cs="Times New Roman"/>
          <w:sz w:val="24"/>
          <w:szCs w:val="24"/>
        </w:rPr>
        <w:t>A</w:t>
      </w:r>
      <w:r>
        <w:rPr>
          <w:rFonts w:ascii="Times New Roman" w:hAnsi="Times New Roman" w:cs="Times New Roman" w:hint="eastAsia"/>
          <w:sz w:val="24"/>
          <w:szCs w:val="24"/>
        </w:rPr>
        <w:t>类基金份额的赎回费，对持续持有期少于</w:t>
      </w:r>
      <w:r>
        <w:rPr>
          <w:rFonts w:ascii="Times New Roman" w:hAnsi="Times New Roman" w:cs="Times New Roman"/>
          <w:sz w:val="24"/>
          <w:szCs w:val="24"/>
        </w:rPr>
        <w:t>30</w:t>
      </w:r>
      <w:r>
        <w:rPr>
          <w:rFonts w:ascii="Times New Roman" w:hAnsi="Times New Roman" w:cs="Times New Roman" w:hint="eastAsia"/>
          <w:sz w:val="24"/>
          <w:szCs w:val="24"/>
        </w:rPr>
        <w:t>日的投资人收取的赎回费全额计入基金财产；对持续持有期长于</w:t>
      </w:r>
      <w:r>
        <w:rPr>
          <w:rFonts w:ascii="Times New Roman" w:hAnsi="Times New Roman" w:cs="Times New Roman"/>
          <w:sz w:val="24"/>
          <w:szCs w:val="24"/>
        </w:rPr>
        <w:t>30</w:t>
      </w:r>
      <w:r>
        <w:rPr>
          <w:rFonts w:ascii="Times New Roman" w:hAnsi="Times New Roman" w:cs="Times New Roman" w:hint="eastAsia"/>
          <w:sz w:val="24"/>
          <w:szCs w:val="24"/>
        </w:rPr>
        <w:t>日但少于</w:t>
      </w:r>
      <w:r>
        <w:rPr>
          <w:rFonts w:ascii="Times New Roman" w:hAnsi="Times New Roman" w:cs="Times New Roman"/>
          <w:sz w:val="24"/>
          <w:szCs w:val="24"/>
        </w:rPr>
        <w:t>3</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75%</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3</w:t>
      </w:r>
      <w:r>
        <w:rPr>
          <w:rFonts w:ascii="Times New Roman" w:hAnsi="Times New Roman" w:cs="Times New Roman" w:hint="eastAsia"/>
          <w:sz w:val="24"/>
          <w:szCs w:val="24"/>
        </w:rPr>
        <w:t>个月但少于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50%</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25%</w:t>
      </w:r>
      <w:r>
        <w:rPr>
          <w:rFonts w:ascii="Times New Roman" w:hAnsi="Times New Roman" w:cs="Times New Roman" w:hint="eastAsia"/>
          <w:sz w:val="24"/>
          <w:szCs w:val="24"/>
        </w:rPr>
        <w:t>计入基金财产。</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类基金份额赎回费率调整后：</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5"/>
        <w:gridCol w:w="3046"/>
      </w:tblGrid>
      <w:tr w:rsidR="000D634B">
        <w:trPr>
          <w:trHeight w:val="185"/>
          <w:tblHeader/>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hint="eastAsia"/>
                <w:b/>
                <w:sz w:val="24"/>
                <w:szCs w:val="28"/>
              </w:rPr>
              <w:t>持有时间（</w:t>
            </w:r>
            <w:r>
              <w:rPr>
                <w:rFonts w:ascii="Times New Roman" w:hAnsi="Times New Roman" w:cs="Times New Roman"/>
                <w:b/>
                <w:sz w:val="24"/>
                <w:szCs w:val="28"/>
              </w:rPr>
              <w:t>Y</w:t>
            </w:r>
            <w:r>
              <w:rPr>
                <w:rFonts w:ascii="Times New Roman" w:hAnsi="Times New Roman" w:cs="Times New Roman" w:hint="eastAsia"/>
                <w:b/>
                <w:sz w:val="24"/>
                <w:szCs w:val="28"/>
              </w:rPr>
              <w:t>）</w:t>
            </w:r>
          </w:p>
        </w:tc>
        <w:tc>
          <w:tcPr>
            <w:tcW w:w="3046" w:type="dxa"/>
            <w:vAlign w:val="center"/>
          </w:tcPr>
          <w:p w:rsidR="000D634B" w:rsidRDefault="0090371B">
            <w:pPr>
              <w:adjustRightInd w:val="0"/>
              <w:snapToGrid w:val="0"/>
              <w:jc w:val="center"/>
              <w:rPr>
                <w:rFonts w:ascii="Times New Roman" w:hAnsi="Times New Roman" w:cs="Times New Roman"/>
                <w:b/>
                <w:sz w:val="24"/>
                <w:szCs w:val="28"/>
              </w:rPr>
            </w:pPr>
            <w:r>
              <w:rPr>
                <w:rFonts w:ascii="Times New Roman" w:hAnsi="Times New Roman" w:cs="Times New Roman" w:hint="eastAsia"/>
                <w:b/>
                <w:sz w:val="24"/>
                <w:szCs w:val="28"/>
              </w:rPr>
              <w:t>赎回费率</w:t>
            </w:r>
          </w:p>
        </w:tc>
      </w:tr>
      <w:tr w:rsidR="000D634B">
        <w:trPr>
          <w:trHeight w:val="185"/>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Y&lt;7</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1.50%</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hint="eastAsia"/>
                <w:sz w:val="24"/>
                <w:szCs w:val="28"/>
              </w:rPr>
              <w:t>天≤</w:t>
            </w:r>
            <w:r>
              <w:rPr>
                <w:rFonts w:ascii="Times New Roman" w:hAnsi="Times New Roman" w:cs="Times New Roman" w:hint="eastAsia"/>
                <w:sz w:val="24"/>
                <w:szCs w:val="28"/>
              </w:rPr>
              <w:t>Y&lt;30</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0.75%</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30</w:t>
            </w:r>
            <w:r>
              <w:rPr>
                <w:rFonts w:ascii="Times New Roman" w:hAnsi="Times New Roman" w:cs="Times New Roman" w:hint="eastAsia"/>
                <w:sz w:val="24"/>
                <w:szCs w:val="28"/>
              </w:rPr>
              <w:t>天≤</w:t>
            </w:r>
            <w:r>
              <w:rPr>
                <w:rFonts w:ascii="Times New Roman" w:hAnsi="Times New Roman" w:cs="Times New Roman" w:hint="eastAsia"/>
                <w:sz w:val="24"/>
                <w:szCs w:val="28"/>
              </w:rPr>
              <w:t>Y&lt;180</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0.50%</w:t>
            </w:r>
          </w:p>
        </w:tc>
      </w:tr>
      <w:tr w:rsidR="000D634B">
        <w:trPr>
          <w:trHeight w:val="182"/>
          <w:jc w:val="center"/>
        </w:trPr>
        <w:tc>
          <w:tcPr>
            <w:tcW w:w="3045"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hint="eastAsia"/>
                <w:sz w:val="24"/>
                <w:szCs w:val="28"/>
              </w:rPr>
              <w:t>Y</w:t>
            </w:r>
            <w:r>
              <w:rPr>
                <w:rFonts w:ascii="Times New Roman" w:hAnsi="Times New Roman" w:cs="Times New Roman" w:hint="eastAsia"/>
                <w:sz w:val="24"/>
                <w:szCs w:val="28"/>
              </w:rPr>
              <w:t>≥</w:t>
            </w:r>
            <w:r>
              <w:rPr>
                <w:rFonts w:ascii="Times New Roman" w:hAnsi="Times New Roman" w:cs="Times New Roman" w:hint="eastAsia"/>
                <w:sz w:val="24"/>
                <w:szCs w:val="28"/>
              </w:rPr>
              <w:t>180</w:t>
            </w:r>
            <w:r>
              <w:rPr>
                <w:rFonts w:ascii="Times New Roman" w:hAnsi="Times New Roman" w:cs="Times New Roman" w:hint="eastAsia"/>
                <w:sz w:val="24"/>
                <w:szCs w:val="28"/>
              </w:rPr>
              <w:t>天</w:t>
            </w:r>
          </w:p>
        </w:tc>
        <w:tc>
          <w:tcPr>
            <w:tcW w:w="3046" w:type="dxa"/>
            <w:vAlign w:val="center"/>
          </w:tcPr>
          <w:p w:rsidR="000D634B" w:rsidRDefault="0090371B">
            <w:pPr>
              <w:adjustRightInd w:val="0"/>
              <w:snapToGrid w:val="0"/>
              <w:jc w:val="center"/>
              <w:rPr>
                <w:rFonts w:ascii="Times New Roman" w:hAnsi="Times New Roman" w:cs="Times New Roman"/>
                <w:sz w:val="24"/>
                <w:szCs w:val="28"/>
              </w:rPr>
            </w:pPr>
            <w:r>
              <w:rPr>
                <w:rFonts w:ascii="Times New Roman" w:hAnsi="Times New Roman" w:cs="Times New Roman"/>
                <w:sz w:val="24"/>
                <w:szCs w:val="28"/>
              </w:rPr>
              <w:t>0</w:t>
            </w:r>
          </w:p>
        </w:tc>
      </w:tr>
    </w:tbl>
    <w:p w:rsidR="000D634B" w:rsidRDefault="0090371B" w:rsidP="002B268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关于</w:t>
      </w:r>
      <w:r>
        <w:rPr>
          <w:rFonts w:ascii="Times New Roman" w:hAnsi="Times New Roman" w:cs="Times New Roman"/>
          <w:sz w:val="24"/>
          <w:szCs w:val="24"/>
        </w:rPr>
        <w:t>A</w:t>
      </w:r>
      <w:r>
        <w:rPr>
          <w:rFonts w:ascii="Times New Roman" w:hAnsi="Times New Roman" w:cs="Times New Roman" w:hint="eastAsia"/>
          <w:sz w:val="24"/>
          <w:szCs w:val="24"/>
        </w:rPr>
        <w:t>类基金份额的赎回费，对持续持有期少于</w:t>
      </w:r>
      <w:r>
        <w:rPr>
          <w:rFonts w:ascii="Times New Roman" w:hAnsi="Times New Roman" w:cs="Times New Roman"/>
          <w:sz w:val="24"/>
          <w:szCs w:val="24"/>
        </w:rPr>
        <w:t>30</w:t>
      </w:r>
      <w:r>
        <w:rPr>
          <w:rFonts w:ascii="Times New Roman" w:hAnsi="Times New Roman" w:cs="Times New Roman" w:hint="eastAsia"/>
          <w:sz w:val="24"/>
          <w:szCs w:val="24"/>
        </w:rPr>
        <w:t>日的投资人收取的赎回费全额计入基金财产；对持续持有期长于</w:t>
      </w:r>
      <w:r>
        <w:rPr>
          <w:rFonts w:ascii="Times New Roman" w:hAnsi="Times New Roman" w:cs="Times New Roman"/>
          <w:sz w:val="24"/>
          <w:szCs w:val="24"/>
        </w:rPr>
        <w:t>30</w:t>
      </w:r>
      <w:r>
        <w:rPr>
          <w:rFonts w:ascii="Times New Roman" w:hAnsi="Times New Roman" w:cs="Times New Roman" w:hint="eastAsia"/>
          <w:sz w:val="24"/>
          <w:szCs w:val="24"/>
        </w:rPr>
        <w:t>日但少于</w:t>
      </w:r>
      <w:r>
        <w:rPr>
          <w:rFonts w:ascii="Times New Roman" w:hAnsi="Times New Roman" w:cs="Times New Roman"/>
          <w:sz w:val="24"/>
          <w:szCs w:val="24"/>
        </w:rPr>
        <w:t>3</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75%</w:t>
      </w:r>
      <w:r>
        <w:rPr>
          <w:rFonts w:ascii="Times New Roman" w:hAnsi="Times New Roman" w:cs="Times New Roman" w:hint="eastAsia"/>
          <w:sz w:val="24"/>
          <w:szCs w:val="24"/>
        </w:rPr>
        <w:t>计入基金财产；对持续持有期长于</w:t>
      </w:r>
      <w:r>
        <w:rPr>
          <w:rFonts w:ascii="Times New Roman" w:hAnsi="Times New Roman" w:cs="Times New Roman"/>
          <w:sz w:val="24"/>
          <w:szCs w:val="24"/>
        </w:rPr>
        <w:t>3</w:t>
      </w:r>
      <w:r>
        <w:rPr>
          <w:rFonts w:ascii="Times New Roman" w:hAnsi="Times New Roman" w:cs="Times New Roman" w:hint="eastAsia"/>
          <w:sz w:val="24"/>
          <w:szCs w:val="24"/>
        </w:rPr>
        <w:t>个月但少于</w:t>
      </w:r>
      <w:r>
        <w:rPr>
          <w:rFonts w:ascii="Times New Roman" w:hAnsi="Times New Roman" w:cs="Times New Roman"/>
          <w:sz w:val="24"/>
          <w:szCs w:val="24"/>
        </w:rPr>
        <w:t>6</w:t>
      </w:r>
      <w:r>
        <w:rPr>
          <w:rFonts w:ascii="Times New Roman" w:hAnsi="Times New Roman" w:cs="Times New Roman" w:hint="eastAsia"/>
          <w:sz w:val="24"/>
          <w:szCs w:val="24"/>
        </w:rPr>
        <w:t>个月的投资人收取的赎回费中不低于总额的</w:t>
      </w:r>
      <w:r>
        <w:rPr>
          <w:rFonts w:ascii="Times New Roman" w:hAnsi="Times New Roman" w:cs="Times New Roman"/>
          <w:sz w:val="24"/>
          <w:szCs w:val="24"/>
        </w:rPr>
        <w:t>50%</w:t>
      </w:r>
      <w:r>
        <w:rPr>
          <w:rFonts w:ascii="Times New Roman" w:hAnsi="Times New Roman" w:cs="Times New Roman" w:hint="eastAsia"/>
          <w:sz w:val="24"/>
          <w:szCs w:val="24"/>
        </w:rPr>
        <w:t>计入基金财产。</w:t>
      </w:r>
    </w:p>
    <w:p w:rsidR="000D634B" w:rsidRDefault="0090371B">
      <w:pPr>
        <w:spacing w:line="360" w:lineRule="auto"/>
        <w:ind w:firstLine="4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、授权基金管理人修订招募说明书等法律文件</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基金管理人提请基金份额持有人大会授权，根据上述调整相应修改招募说明书等法律文件。</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、基金份额持有人大会决议的生效以及议案的实施</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本次基金份额持有人大会决议自本次基金份额持有人大会表决通过之日起生效。法律法规另有规定的，从其规定。</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基金管理人将自决议生效之日起依照《公开募集证券投资基金信息披露管理办法》的有关规定在规定媒介上公告本次大会的生效以及相关事项的实施</w:t>
      </w:r>
      <w:r>
        <w:rPr>
          <w:rFonts w:ascii="Times New Roman" w:hAnsi="Times New Roman" w:cs="Times New Roman"/>
          <w:sz w:val="24"/>
          <w:szCs w:val="24"/>
        </w:rPr>
        <w:t>。</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二、</w:t>
      </w:r>
      <w:r>
        <w:rPr>
          <w:rFonts w:ascii="Times New Roman" w:hAnsi="Times New Roman" w:cs="Times New Roman"/>
          <w:sz w:val="24"/>
          <w:szCs w:val="24"/>
        </w:rPr>
        <w:t>调整本基金赎回费率的可行性</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、法律可行性</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《基金法》第八十三条到第八十六条对基金份额持有人大会的召集人、召开形式以及其相关事宜都作了规定与说明，这为基金份额持有人大会的召开流程提供了法律依据。</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本次基金份额持有人大会决议属于一般决议，经参加大会的基金份额持有人或其代理人所持表决权的二分之一以上（含二分之一）通过方为有效。</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因此，调整本基金赎回费率不存在法律方面的障碍。</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、技术可行性</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为了保障华安新动力灵活配置混合型证券投资基金基金份额持有人大会的顺利召开，基金管理人成立了工作小组，筹备、执行基金份额持有人大会相关事宜。基金管理人与基金托管人、律师事务所、公证机关、投资者进行了充分沟通，保证基金份额持有人大会可以顺利召开。</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本次基金份额持有人大会决议生效并公告后，本基金将公告修订后的《华安新动力灵活配置混合型证券投资基金招募说明书》。</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本基金的基金管理人、基金托管人已就调整本基金赎回费率事项进行了充分沟通和细致准备，技术可行。</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因此，调整本基金赎回费率不存在运营技术层面的障碍。</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三、调整本基金赎回费率的主要风险及预备措施</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本次调整本基金赎回费率的主要风险是议案被基金份额持有人大会否决的风险。</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在提议调整本基金赎回费率并确定具体方案之前，基金管理人已同部分基金份额持有人进行了沟通，认真听取了基金份额持有人意见，拟定议案综合考虑了基金份额持有人的要求。议案公告后，基金管理人还将再次征询基金份额持有人意见。如有必要，基金管理人将根据持有人意见，对调整本基金赎回费率方案进行适当的修订，并重新公告。基金管理人可在必要情况下，预留出足够的时间，以做二次召开或推迟基金份额持有人大会的召开的充分准备。</w:t>
      </w:r>
    </w:p>
    <w:p w:rsidR="000D634B" w:rsidRDefault="0090371B">
      <w:pPr>
        <w:spacing w:line="360" w:lineRule="auto"/>
        <w:ind w:right="480" w:firstLine="420"/>
        <w:jc w:val="left"/>
        <w:rPr>
          <w:rFonts w:ascii="Times New Roman" w:hAnsi="Times New Roman" w:cs="Times New Roman"/>
          <w:sz w:val="24"/>
          <w:szCs w:val="24"/>
        </w:rPr>
      </w:pPr>
      <w:r>
        <w:rPr>
          <w:rFonts w:ascii="Times New Roman" w:hAnsi="Times New Roman" w:cs="Times New Roman" w:hint="eastAsia"/>
          <w:sz w:val="24"/>
          <w:szCs w:val="24"/>
        </w:rPr>
        <w:t>如果调整本基金赎回费率方案未获得基金份额持有人大会批准，基金管理人计划在规定时间内，按照有关规定重新向基金份额持有人大会提交调整本基金赎回费率的议案。</w:t>
      </w:r>
    </w:p>
    <w:sectPr w:rsidR="000D634B" w:rsidSect="00F360DE">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1B" w:rsidRDefault="0090371B">
      <w:r>
        <w:separator/>
      </w:r>
    </w:p>
  </w:endnote>
  <w:endnote w:type="continuationSeparator" w:id="0">
    <w:p w:rsidR="0090371B" w:rsidRDefault="00903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sdtPr>
    <w:sdtContent>
      <w:p w:rsidR="000D634B" w:rsidRDefault="00F360DE">
        <w:pPr>
          <w:pStyle w:val="a8"/>
          <w:jc w:val="center"/>
        </w:pPr>
        <w:r>
          <w:fldChar w:fldCharType="begin"/>
        </w:r>
        <w:r w:rsidR="0090371B">
          <w:instrText xml:space="preserve"> PAGE   \* MERGEFORMAT </w:instrText>
        </w:r>
        <w:r>
          <w:fldChar w:fldCharType="separate"/>
        </w:r>
        <w:r w:rsidR="0073737A" w:rsidRPr="0073737A">
          <w:rPr>
            <w:noProof/>
            <w:lang w:val="zh-CN"/>
          </w:rPr>
          <w:t>1</w:t>
        </w:r>
        <w:r>
          <w:fldChar w:fldCharType="end"/>
        </w:r>
      </w:p>
    </w:sdtContent>
  </w:sdt>
  <w:p w:rsidR="000D634B" w:rsidRDefault="000D63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1B" w:rsidRDefault="0090371B">
      <w:r>
        <w:separator/>
      </w:r>
    </w:p>
  </w:footnote>
  <w:footnote w:type="continuationSeparator" w:id="0">
    <w:p w:rsidR="0090371B" w:rsidRDefault="00903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4B" w:rsidRDefault="000D634B">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4B" w:rsidRDefault="000D634B">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0E20"/>
    <w:rsid w:val="00002E94"/>
    <w:rsid w:val="0000586A"/>
    <w:rsid w:val="00006A76"/>
    <w:rsid w:val="000071CA"/>
    <w:rsid w:val="000110BF"/>
    <w:rsid w:val="0001178C"/>
    <w:rsid w:val="00014CD5"/>
    <w:rsid w:val="000154B3"/>
    <w:rsid w:val="000174F4"/>
    <w:rsid w:val="000225FA"/>
    <w:rsid w:val="00023F16"/>
    <w:rsid w:val="00023F86"/>
    <w:rsid w:val="00024161"/>
    <w:rsid w:val="00025BCA"/>
    <w:rsid w:val="00025D99"/>
    <w:rsid w:val="000308B6"/>
    <w:rsid w:val="00031730"/>
    <w:rsid w:val="00032B6E"/>
    <w:rsid w:val="00033367"/>
    <w:rsid w:val="0003451C"/>
    <w:rsid w:val="00040F19"/>
    <w:rsid w:val="00045C8C"/>
    <w:rsid w:val="00047070"/>
    <w:rsid w:val="000476D0"/>
    <w:rsid w:val="00050171"/>
    <w:rsid w:val="00050EEC"/>
    <w:rsid w:val="00057721"/>
    <w:rsid w:val="00061DC5"/>
    <w:rsid w:val="00062EE2"/>
    <w:rsid w:val="00064B21"/>
    <w:rsid w:val="00065A0C"/>
    <w:rsid w:val="00067758"/>
    <w:rsid w:val="00071205"/>
    <w:rsid w:val="000742D2"/>
    <w:rsid w:val="00075875"/>
    <w:rsid w:val="00081194"/>
    <w:rsid w:val="000841DE"/>
    <w:rsid w:val="0008505C"/>
    <w:rsid w:val="000852C1"/>
    <w:rsid w:val="000867B4"/>
    <w:rsid w:val="00091055"/>
    <w:rsid w:val="0009220D"/>
    <w:rsid w:val="00093BDA"/>
    <w:rsid w:val="00093C36"/>
    <w:rsid w:val="00097689"/>
    <w:rsid w:val="000A01C6"/>
    <w:rsid w:val="000A0926"/>
    <w:rsid w:val="000A1784"/>
    <w:rsid w:val="000A20F3"/>
    <w:rsid w:val="000A364A"/>
    <w:rsid w:val="000A5D4D"/>
    <w:rsid w:val="000A67D5"/>
    <w:rsid w:val="000A781D"/>
    <w:rsid w:val="000B009A"/>
    <w:rsid w:val="000B5DDB"/>
    <w:rsid w:val="000B6593"/>
    <w:rsid w:val="000B7E49"/>
    <w:rsid w:val="000C0433"/>
    <w:rsid w:val="000C732B"/>
    <w:rsid w:val="000D634B"/>
    <w:rsid w:val="000D788C"/>
    <w:rsid w:val="000E190B"/>
    <w:rsid w:val="000E3B09"/>
    <w:rsid w:val="000E406E"/>
    <w:rsid w:val="000E6368"/>
    <w:rsid w:val="000E7382"/>
    <w:rsid w:val="000F0B27"/>
    <w:rsid w:val="000F10D4"/>
    <w:rsid w:val="000F2B3E"/>
    <w:rsid w:val="000F37D4"/>
    <w:rsid w:val="000F4007"/>
    <w:rsid w:val="000F4B62"/>
    <w:rsid w:val="000F54B6"/>
    <w:rsid w:val="00100709"/>
    <w:rsid w:val="00100A0B"/>
    <w:rsid w:val="00101482"/>
    <w:rsid w:val="00104746"/>
    <w:rsid w:val="001073D1"/>
    <w:rsid w:val="0011118F"/>
    <w:rsid w:val="00114771"/>
    <w:rsid w:val="00115038"/>
    <w:rsid w:val="00116F18"/>
    <w:rsid w:val="00117018"/>
    <w:rsid w:val="0012009F"/>
    <w:rsid w:val="00120743"/>
    <w:rsid w:val="00124435"/>
    <w:rsid w:val="00125D36"/>
    <w:rsid w:val="0012651E"/>
    <w:rsid w:val="00131392"/>
    <w:rsid w:val="0013280E"/>
    <w:rsid w:val="00133B8B"/>
    <w:rsid w:val="00134C62"/>
    <w:rsid w:val="00135551"/>
    <w:rsid w:val="001360D1"/>
    <w:rsid w:val="00136443"/>
    <w:rsid w:val="00136E5A"/>
    <w:rsid w:val="00140FAD"/>
    <w:rsid w:val="00144A33"/>
    <w:rsid w:val="00146EB2"/>
    <w:rsid w:val="0015084A"/>
    <w:rsid w:val="00160BE3"/>
    <w:rsid w:val="00160F13"/>
    <w:rsid w:val="00161A5A"/>
    <w:rsid w:val="00164979"/>
    <w:rsid w:val="00166A43"/>
    <w:rsid w:val="0017344C"/>
    <w:rsid w:val="001771F5"/>
    <w:rsid w:val="00182477"/>
    <w:rsid w:val="0018559E"/>
    <w:rsid w:val="00187BDC"/>
    <w:rsid w:val="001A1231"/>
    <w:rsid w:val="001A1C22"/>
    <w:rsid w:val="001A26F9"/>
    <w:rsid w:val="001A4708"/>
    <w:rsid w:val="001A6CA1"/>
    <w:rsid w:val="001B18DC"/>
    <w:rsid w:val="001B18DD"/>
    <w:rsid w:val="001B2C08"/>
    <w:rsid w:val="001C103C"/>
    <w:rsid w:val="001C2E24"/>
    <w:rsid w:val="001C7EBE"/>
    <w:rsid w:val="001D0DD3"/>
    <w:rsid w:val="001D5112"/>
    <w:rsid w:val="001D6171"/>
    <w:rsid w:val="001E17E3"/>
    <w:rsid w:val="001E19D5"/>
    <w:rsid w:val="001E3B74"/>
    <w:rsid w:val="001E4DD6"/>
    <w:rsid w:val="001E67DD"/>
    <w:rsid w:val="001F0390"/>
    <w:rsid w:val="001F3147"/>
    <w:rsid w:val="001F44AE"/>
    <w:rsid w:val="001F6E89"/>
    <w:rsid w:val="00200F05"/>
    <w:rsid w:val="00200FB4"/>
    <w:rsid w:val="002014C9"/>
    <w:rsid w:val="002054D5"/>
    <w:rsid w:val="002060AC"/>
    <w:rsid w:val="00215A09"/>
    <w:rsid w:val="00215A1D"/>
    <w:rsid w:val="002160D7"/>
    <w:rsid w:val="00221109"/>
    <w:rsid w:val="0022172D"/>
    <w:rsid w:val="00225B2E"/>
    <w:rsid w:val="00230D4E"/>
    <w:rsid w:val="00233F5A"/>
    <w:rsid w:val="00240D2F"/>
    <w:rsid w:val="002421F4"/>
    <w:rsid w:val="00243C15"/>
    <w:rsid w:val="00243F8E"/>
    <w:rsid w:val="00245356"/>
    <w:rsid w:val="00245E8A"/>
    <w:rsid w:val="00246190"/>
    <w:rsid w:val="002508C8"/>
    <w:rsid w:val="00252FC1"/>
    <w:rsid w:val="00254D02"/>
    <w:rsid w:val="002552E2"/>
    <w:rsid w:val="002553DC"/>
    <w:rsid w:val="00257A99"/>
    <w:rsid w:val="002603BE"/>
    <w:rsid w:val="0026274D"/>
    <w:rsid w:val="00264BA1"/>
    <w:rsid w:val="00265A1A"/>
    <w:rsid w:val="002735BC"/>
    <w:rsid w:val="00276DA4"/>
    <w:rsid w:val="002805D4"/>
    <w:rsid w:val="00280DA4"/>
    <w:rsid w:val="0028508C"/>
    <w:rsid w:val="002876A9"/>
    <w:rsid w:val="00294DF4"/>
    <w:rsid w:val="00296D43"/>
    <w:rsid w:val="002A0A74"/>
    <w:rsid w:val="002A0F92"/>
    <w:rsid w:val="002A28FB"/>
    <w:rsid w:val="002A6746"/>
    <w:rsid w:val="002A738E"/>
    <w:rsid w:val="002A75E7"/>
    <w:rsid w:val="002B268B"/>
    <w:rsid w:val="002B2B20"/>
    <w:rsid w:val="002B3FB7"/>
    <w:rsid w:val="002B469D"/>
    <w:rsid w:val="002B64C9"/>
    <w:rsid w:val="002B6B91"/>
    <w:rsid w:val="002C0182"/>
    <w:rsid w:val="002D191C"/>
    <w:rsid w:val="002D369B"/>
    <w:rsid w:val="002D75EA"/>
    <w:rsid w:val="002E1822"/>
    <w:rsid w:val="002E605E"/>
    <w:rsid w:val="002F144D"/>
    <w:rsid w:val="002F3C93"/>
    <w:rsid w:val="002F520C"/>
    <w:rsid w:val="002F5819"/>
    <w:rsid w:val="002F7516"/>
    <w:rsid w:val="0031064D"/>
    <w:rsid w:val="0031069C"/>
    <w:rsid w:val="003109B8"/>
    <w:rsid w:val="003135C4"/>
    <w:rsid w:val="003141C3"/>
    <w:rsid w:val="00316068"/>
    <w:rsid w:val="00316B49"/>
    <w:rsid w:val="00320759"/>
    <w:rsid w:val="00322EDD"/>
    <w:rsid w:val="003264DC"/>
    <w:rsid w:val="00327A2A"/>
    <w:rsid w:val="0033286E"/>
    <w:rsid w:val="00333773"/>
    <w:rsid w:val="00333B7F"/>
    <w:rsid w:val="0033711D"/>
    <w:rsid w:val="0033797A"/>
    <w:rsid w:val="00343156"/>
    <w:rsid w:val="00343906"/>
    <w:rsid w:val="00343A91"/>
    <w:rsid w:val="00343EB8"/>
    <w:rsid w:val="00350972"/>
    <w:rsid w:val="00351C4B"/>
    <w:rsid w:val="00353110"/>
    <w:rsid w:val="003531B1"/>
    <w:rsid w:val="0035335A"/>
    <w:rsid w:val="00353726"/>
    <w:rsid w:val="00354741"/>
    <w:rsid w:val="0035587D"/>
    <w:rsid w:val="0035777C"/>
    <w:rsid w:val="003608FD"/>
    <w:rsid w:val="0036197F"/>
    <w:rsid w:val="00364617"/>
    <w:rsid w:val="00364E51"/>
    <w:rsid w:val="00364F34"/>
    <w:rsid w:val="00364F89"/>
    <w:rsid w:val="003659B9"/>
    <w:rsid w:val="00370CA1"/>
    <w:rsid w:val="00375279"/>
    <w:rsid w:val="00375C33"/>
    <w:rsid w:val="0038044F"/>
    <w:rsid w:val="0038123D"/>
    <w:rsid w:val="00381ECE"/>
    <w:rsid w:val="00383250"/>
    <w:rsid w:val="00384353"/>
    <w:rsid w:val="00387C30"/>
    <w:rsid w:val="00391579"/>
    <w:rsid w:val="003948A7"/>
    <w:rsid w:val="003949FC"/>
    <w:rsid w:val="003968FB"/>
    <w:rsid w:val="003974FD"/>
    <w:rsid w:val="003A29F1"/>
    <w:rsid w:val="003B0181"/>
    <w:rsid w:val="003B1848"/>
    <w:rsid w:val="003B2500"/>
    <w:rsid w:val="003B785F"/>
    <w:rsid w:val="003C7201"/>
    <w:rsid w:val="003C7CFF"/>
    <w:rsid w:val="003D1E55"/>
    <w:rsid w:val="003D5BC7"/>
    <w:rsid w:val="003E0074"/>
    <w:rsid w:val="003E0B6C"/>
    <w:rsid w:val="003E1DAF"/>
    <w:rsid w:val="003E23E9"/>
    <w:rsid w:val="003E3288"/>
    <w:rsid w:val="003E7370"/>
    <w:rsid w:val="003E798E"/>
    <w:rsid w:val="003F0E50"/>
    <w:rsid w:val="003F442C"/>
    <w:rsid w:val="003F5B5E"/>
    <w:rsid w:val="00400E20"/>
    <w:rsid w:val="00406094"/>
    <w:rsid w:val="004119BF"/>
    <w:rsid w:val="0041234B"/>
    <w:rsid w:val="00413D9F"/>
    <w:rsid w:val="004141D8"/>
    <w:rsid w:val="004171EB"/>
    <w:rsid w:val="004173F0"/>
    <w:rsid w:val="00420435"/>
    <w:rsid w:val="00420753"/>
    <w:rsid w:val="00421C02"/>
    <w:rsid w:val="0042405E"/>
    <w:rsid w:val="0043388A"/>
    <w:rsid w:val="00436170"/>
    <w:rsid w:val="0044172C"/>
    <w:rsid w:val="00441B82"/>
    <w:rsid w:val="00442507"/>
    <w:rsid w:val="00442C2F"/>
    <w:rsid w:val="004431A1"/>
    <w:rsid w:val="0044450A"/>
    <w:rsid w:val="004474A2"/>
    <w:rsid w:val="00453441"/>
    <w:rsid w:val="004538C5"/>
    <w:rsid w:val="0045465E"/>
    <w:rsid w:val="00454B5F"/>
    <w:rsid w:val="004619D7"/>
    <w:rsid w:val="004619F2"/>
    <w:rsid w:val="00464A7C"/>
    <w:rsid w:val="00465AAB"/>
    <w:rsid w:val="00466CEF"/>
    <w:rsid w:val="004712D3"/>
    <w:rsid w:val="00473A55"/>
    <w:rsid w:val="00474007"/>
    <w:rsid w:val="00475C40"/>
    <w:rsid w:val="00476472"/>
    <w:rsid w:val="00480377"/>
    <w:rsid w:val="004805B3"/>
    <w:rsid w:val="004846A5"/>
    <w:rsid w:val="00486A03"/>
    <w:rsid w:val="00487CBA"/>
    <w:rsid w:val="004923A9"/>
    <w:rsid w:val="00493D20"/>
    <w:rsid w:val="00494744"/>
    <w:rsid w:val="004953A1"/>
    <w:rsid w:val="00495CA0"/>
    <w:rsid w:val="00495D9F"/>
    <w:rsid w:val="004970C4"/>
    <w:rsid w:val="004A338E"/>
    <w:rsid w:val="004A39F2"/>
    <w:rsid w:val="004A5108"/>
    <w:rsid w:val="004A51B0"/>
    <w:rsid w:val="004A5B24"/>
    <w:rsid w:val="004B22B3"/>
    <w:rsid w:val="004B2F60"/>
    <w:rsid w:val="004B354C"/>
    <w:rsid w:val="004B4686"/>
    <w:rsid w:val="004B4E7F"/>
    <w:rsid w:val="004C28E8"/>
    <w:rsid w:val="004D251C"/>
    <w:rsid w:val="004D285A"/>
    <w:rsid w:val="004D54B0"/>
    <w:rsid w:val="004E2445"/>
    <w:rsid w:val="004E3732"/>
    <w:rsid w:val="004E43DD"/>
    <w:rsid w:val="004E4E37"/>
    <w:rsid w:val="004E6580"/>
    <w:rsid w:val="004E7767"/>
    <w:rsid w:val="004F0C7A"/>
    <w:rsid w:val="004F3635"/>
    <w:rsid w:val="004F5D41"/>
    <w:rsid w:val="004F5D55"/>
    <w:rsid w:val="004F7789"/>
    <w:rsid w:val="00501214"/>
    <w:rsid w:val="0050234B"/>
    <w:rsid w:val="00510E11"/>
    <w:rsid w:val="00511B11"/>
    <w:rsid w:val="00513E82"/>
    <w:rsid w:val="0051443B"/>
    <w:rsid w:val="005160A3"/>
    <w:rsid w:val="0051649E"/>
    <w:rsid w:val="0051777B"/>
    <w:rsid w:val="00517F8E"/>
    <w:rsid w:val="0052111B"/>
    <w:rsid w:val="0052766F"/>
    <w:rsid w:val="00527EAF"/>
    <w:rsid w:val="00535E67"/>
    <w:rsid w:val="0053620C"/>
    <w:rsid w:val="005368C5"/>
    <w:rsid w:val="005377C0"/>
    <w:rsid w:val="00537ADF"/>
    <w:rsid w:val="0054293E"/>
    <w:rsid w:val="00544938"/>
    <w:rsid w:val="00551D57"/>
    <w:rsid w:val="0055397F"/>
    <w:rsid w:val="0055481B"/>
    <w:rsid w:val="00554977"/>
    <w:rsid w:val="00557063"/>
    <w:rsid w:val="00562764"/>
    <w:rsid w:val="00565761"/>
    <w:rsid w:val="0057109C"/>
    <w:rsid w:val="00572269"/>
    <w:rsid w:val="0057284A"/>
    <w:rsid w:val="00573F2F"/>
    <w:rsid w:val="005745DF"/>
    <w:rsid w:val="00574874"/>
    <w:rsid w:val="00576179"/>
    <w:rsid w:val="005774F7"/>
    <w:rsid w:val="005809C4"/>
    <w:rsid w:val="00581747"/>
    <w:rsid w:val="0058346E"/>
    <w:rsid w:val="00583DA2"/>
    <w:rsid w:val="00585EE2"/>
    <w:rsid w:val="005906F1"/>
    <w:rsid w:val="0059098E"/>
    <w:rsid w:val="00591620"/>
    <w:rsid w:val="00591C2F"/>
    <w:rsid w:val="0059273A"/>
    <w:rsid w:val="005A12DA"/>
    <w:rsid w:val="005A1EF7"/>
    <w:rsid w:val="005A6AB4"/>
    <w:rsid w:val="005B2312"/>
    <w:rsid w:val="005B2B92"/>
    <w:rsid w:val="005B3113"/>
    <w:rsid w:val="005B3AAE"/>
    <w:rsid w:val="005B668F"/>
    <w:rsid w:val="005B7ABD"/>
    <w:rsid w:val="005B7BFF"/>
    <w:rsid w:val="005C3740"/>
    <w:rsid w:val="005C5C8F"/>
    <w:rsid w:val="005D15ED"/>
    <w:rsid w:val="005D3405"/>
    <w:rsid w:val="005D4FEF"/>
    <w:rsid w:val="005D6C6D"/>
    <w:rsid w:val="005E04B4"/>
    <w:rsid w:val="005E2DEE"/>
    <w:rsid w:val="005E2E5D"/>
    <w:rsid w:val="005E36CA"/>
    <w:rsid w:val="005E4CD8"/>
    <w:rsid w:val="005E5B7B"/>
    <w:rsid w:val="005E6425"/>
    <w:rsid w:val="005F1C12"/>
    <w:rsid w:val="005F3765"/>
    <w:rsid w:val="005F77F0"/>
    <w:rsid w:val="006017EC"/>
    <w:rsid w:val="0060185B"/>
    <w:rsid w:val="006027E3"/>
    <w:rsid w:val="006029C8"/>
    <w:rsid w:val="00602EEE"/>
    <w:rsid w:val="0060656C"/>
    <w:rsid w:val="00606CFD"/>
    <w:rsid w:val="00607638"/>
    <w:rsid w:val="0061361C"/>
    <w:rsid w:val="00621AFC"/>
    <w:rsid w:val="00622B4B"/>
    <w:rsid w:val="00634593"/>
    <w:rsid w:val="00634B76"/>
    <w:rsid w:val="00635785"/>
    <w:rsid w:val="00641596"/>
    <w:rsid w:val="00642B99"/>
    <w:rsid w:val="0064583E"/>
    <w:rsid w:val="006511B2"/>
    <w:rsid w:val="0065239D"/>
    <w:rsid w:val="00656DAC"/>
    <w:rsid w:val="00661712"/>
    <w:rsid w:val="00662C32"/>
    <w:rsid w:val="006661B2"/>
    <w:rsid w:val="006672EF"/>
    <w:rsid w:val="006744B9"/>
    <w:rsid w:val="006811A3"/>
    <w:rsid w:val="00681EE8"/>
    <w:rsid w:val="00686084"/>
    <w:rsid w:val="006900D3"/>
    <w:rsid w:val="00691580"/>
    <w:rsid w:val="006943A4"/>
    <w:rsid w:val="00694ACE"/>
    <w:rsid w:val="006963E2"/>
    <w:rsid w:val="006A6A4F"/>
    <w:rsid w:val="006B232F"/>
    <w:rsid w:val="006B3383"/>
    <w:rsid w:val="006B4E67"/>
    <w:rsid w:val="006B639E"/>
    <w:rsid w:val="006C054E"/>
    <w:rsid w:val="006C07CC"/>
    <w:rsid w:val="006C52CC"/>
    <w:rsid w:val="006C5950"/>
    <w:rsid w:val="006C7427"/>
    <w:rsid w:val="006D54D1"/>
    <w:rsid w:val="006E0166"/>
    <w:rsid w:val="006E10E8"/>
    <w:rsid w:val="006E3D9C"/>
    <w:rsid w:val="006E5460"/>
    <w:rsid w:val="006E76C7"/>
    <w:rsid w:val="006F034F"/>
    <w:rsid w:val="006F12BA"/>
    <w:rsid w:val="006F1965"/>
    <w:rsid w:val="006F5547"/>
    <w:rsid w:val="006F5BBE"/>
    <w:rsid w:val="006F60CA"/>
    <w:rsid w:val="006F6FF4"/>
    <w:rsid w:val="00700626"/>
    <w:rsid w:val="00702076"/>
    <w:rsid w:val="00704D86"/>
    <w:rsid w:val="00704ECA"/>
    <w:rsid w:val="00706830"/>
    <w:rsid w:val="0070683D"/>
    <w:rsid w:val="00707593"/>
    <w:rsid w:val="00710928"/>
    <w:rsid w:val="00713439"/>
    <w:rsid w:val="00713D63"/>
    <w:rsid w:val="00715343"/>
    <w:rsid w:val="00717DC9"/>
    <w:rsid w:val="00721CA9"/>
    <w:rsid w:val="00725EE9"/>
    <w:rsid w:val="00732953"/>
    <w:rsid w:val="00732CD7"/>
    <w:rsid w:val="0073450B"/>
    <w:rsid w:val="00736DF4"/>
    <w:rsid w:val="007371E3"/>
    <w:rsid w:val="0073737A"/>
    <w:rsid w:val="00737BAA"/>
    <w:rsid w:val="007509D1"/>
    <w:rsid w:val="00752FDB"/>
    <w:rsid w:val="00753008"/>
    <w:rsid w:val="0075407C"/>
    <w:rsid w:val="00754B65"/>
    <w:rsid w:val="00770EC6"/>
    <w:rsid w:val="007719BE"/>
    <w:rsid w:val="00771BA0"/>
    <w:rsid w:val="007769BA"/>
    <w:rsid w:val="00781CF7"/>
    <w:rsid w:val="00782EB3"/>
    <w:rsid w:val="0078662B"/>
    <w:rsid w:val="00786B58"/>
    <w:rsid w:val="0078725C"/>
    <w:rsid w:val="00790897"/>
    <w:rsid w:val="0079163B"/>
    <w:rsid w:val="00793E22"/>
    <w:rsid w:val="00795195"/>
    <w:rsid w:val="00796692"/>
    <w:rsid w:val="007A2D35"/>
    <w:rsid w:val="007A4304"/>
    <w:rsid w:val="007A4575"/>
    <w:rsid w:val="007A62D3"/>
    <w:rsid w:val="007A6649"/>
    <w:rsid w:val="007A68F2"/>
    <w:rsid w:val="007B7A25"/>
    <w:rsid w:val="007B7F84"/>
    <w:rsid w:val="007C2CD1"/>
    <w:rsid w:val="007C567E"/>
    <w:rsid w:val="007C6A3A"/>
    <w:rsid w:val="007C6E6E"/>
    <w:rsid w:val="007C78D7"/>
    <w:rsid w:val="007D1C5D"/>
    <w:rsid w:val="007D24AA"/>
    <w:rsid w:val="007D3506"/>
    <w:rsid w:val="007E0DE2"/>
    <w:rsid w:val="007E22D4"/>
    <w:rsid w:val="007E2394"/>
    <w:rsid w:val="007E4B3A"/>
    <w:rsid w:val="007E5311"/>
    <w:rsid w:val="007F236B"/>
    <w:rsid w:val="007F369E"/>
    <w:rsid w:val="007F3EBF"/>
    <w:rsid w:val="007F52F1"/>
    <w:rsid w:val="007F691D"/>
    <w:rsid w:val="00807A7E"/>
    <w:rsid w:val="0081088C"/>
    <w:rsid w:val="00811F03"/>
    <w:rsid w:val="00813E77"/>
    <w:rsid w:val="00815295"/>
    <w:rsid w:val="00816456"/>
    <w:rsid w:val="00820400"/>
    <w:rsid w:val="0082163D"/>
    <w:rsid w:val="008223B9"/>
    <w:rsid w:val="008251A6"/>
    <w:rsid w:val="008260AE"/>
    <w:rsid w:val="00832769"/>
    <w:rsid w:val="0083396E"/>
    <w:rsid w:val="0083478E"/>
    <w:rsid w:val="00835481"/>
    <w:rsid w:val="00835D9D"/>
    <w:rsid w:val="00836D30"/>
    <w:rsid w:val="00841C7B"/>
    <w:rsid w:val="00842794"/>
    <w:rsid w:val="00845C48"/>
    <w:rsid w:val="00846C44"/>
    <w:rsid w:val="00847246"/>
    <w:rsid w:val="008514BB"/>
    <w:rsid w:val="00852DCE"/>
    <w:rsid w:val="00852F4F"/>
    <w:rsid w:val="00862109"/>
    <w:rsid w:val="00863A08"/>
    <w:rsid w:val="00863B36"/>
    <w:rsid w:val="00865578"/>
    <w:rsid w:val="008658B7"/>
    <w:rsid w:val="00867114"/>
    <w:rsid w:val="008708EB"/>
    <w:rsid w:val="00872962"/>
    <w:rsid w:val="00873AC0"/>
    <w:rsid w:val="00875130"/>
    <w:rsid w:val="00875CC3"/>
    <w:rsid w:val="008816A4"/>
    <w:rsid w:val="00881825"/>
    <w:rsid w:val="00881DCC"/>
    <w:rsid w:val="008832C9"/>
    <w:rsid w:val="00886951"/>
    <w:rsid w:val="00887BE7"/>
    <w:rsid w:val="00890A83"/>
    <w:rsid w:val="00890DDD"/>
    <w:rsid w:val="00894863"/>
    <w:rsid w:val="008954CB"/>
    <w:rsid w:val="00895B05"/>
    <w:rsid w:val="008970BE"/>
    <w:rsid w:val="00897E5E"/>
    <w:rsid w:val="008A566B"/>
    <w:rsid w:val="008A6A1F"/>
    <w:rsid w:val="008B19EB"/>
    <w:rsid w:val="008B52B5"/>
    <w:rsid w:val="008B6E1E"/>
    <w:rsid w:val="008B7B3E"/>
    <w:rsid w:val="008C0E61"/>
    <w:rsid w:val="008C154F"/>
    <w:rsid w:val="008C3A3C"/>
    <w:rsid w:val="008C4693"/>
    <w:rsid w:val="008C76DE"/>
    <w:rsid w:val="008D3EF8"/>
    <w:rsid w:val="008D4BA2"/>
    <w:rsid w:val="008D4CE2"/>
    <w:rsid w:val="008D567D"/>
    <w:rsid w:val="008D76D9"/>
    <w:rsid w:val="008E4388"/>
    <w:rsid w:val="008F0581"/>
    <w:rsid w:val="008F1C94"/>
    <w:rsid w:val="008F22BB"/>
    <w:rsid w:val="008F2B9A"/>
    <w:rsid w:val="00901183"/>
    <w:rsid w:val="009017B0"/>
    <w:rsid w:val="00901E67"/>
    <w:rsid w:val="0090371B"/>
    <w:rsid w:val="00911247"/>
    <w:rsid w:val="009123D9"/>
    <w:rsid w:val="00914330"/>
    <w:rsid w:val="0091612F"/>
    <w:rsid w:val="0091696B"/>
    <w:rsid w:val="00917C4F"/>
    <w:rsid w:val="00917FEB"/>
    <w:rsid w:val="0092263B"/>
    <w:rsid w:val="009258EB"/>
    <w:rsid w:val="00926915"/>
    <w:rsid w:val="009277E3"/>
    <w:rsid w:val="00927E6D"/>
    <w:rsid w:val="00930057"/>
    <w:rsid w:val="00932098"/>
    <w:rsid w:val="00932D7B"/>
    <w:rsid w:val="00933E96"/>
    <w:rsid w:val="009365A4"/>
    <w:rsid w:val="0093716C"/>
    <w:rsid w:val="00944937"/>
    <w:rsid w:val="0094535D"/>
    <w:rsid w:val="00945E1B"/>
    <w:rsid w:val="00950276"/>
    <w:rsid w:val="00950554"/>
    <w:rsid w:val="00950D44"/>
    <w:rsid w:val="00951D96"/>
    <w:rsid w:val="00952CCE"/>
    <w:rsid w:val="00954719"/>
    <w:rsid w:val="00955C78"/>
    <w:rsid w:val="00956020"/>
    <w:rsid w:val="00961D9D"/>
    <w:rsid w:val="009621D9"/>
    <w:rsid w:val="0097200F"/>
    <w:rsid w:val="00972A91"/>
    <w:rsid w:val="00977B8A"/>
    <w:rsid w:val="009807D9"/>
    <w:rsid w:val="00980FF5"/>
    <w:rsid w:val="009814A4"/>
    <w:rsid w:val="00981D24"/>
    <w:rsid w:val="00981EA4"/>
    <w:rsid w:val="00982852"/>
    <w:rsid w:val="009859DE"/>
    <w:rsid w:val="00991F96"/>
    <w:rsid w:val="00992680"/>
    <w:rsid w:val="0099569A"/>
    <w:rsid w:val="009976E6"/>
    <w:rsid w:val="00997AC2"/>
    <w:rsid w:val="009A16F3"/>
    <w:rsid w:val="009A18F7"/>
    <w:rsid w:val="009A3B41"/>
    <w:rsid w:val="009A5301"/>
    <w:rsid w:val="009A746C"/>
    <w:rsid w:val="009B1486"/>
    <w:rsid w:val="009B3CB3"/>
    <w:rsid w:val="009B5AD4"/>
    <w:rsid w:val="009C07AF"/>
    <w:rsid w:val="009C2BF5"/>
    <w:rsid w:val="009C37E9"/>
    <w:rsid w:val="009C4B3D"/>
    <w:rsid w:val="009C6F77"/>
    <w:rsid w:val="009D1EC2"/>
    <w:rsid w:val="009D431C"/>
    <w:rsid w:val="009E0A15"/>
    <w:rsid w:val="009E0C11"/>
    <w:rsid w:val="009E0C6D"/>
    <w:rsid w:val="009E1CC6"/>
    <w:rsid w:val="009E2076"/>
    <w:rsid w:val="009E225D"/>
    <w:rsid w:val="009E3229"/>
    <w:rsid w:val="009E723C"/>
    <w:rsid w:val="009E7CE3"/>
    <w:rsid w:val="009E7DBE"/>
    <w:rsid w:val="009F0CDE"/>
    <w:rsid w:val="009F1130"/>
    <w:rsid w:val="009F33B8"/>
    <w:rsid w:val="009F4AB4"/>
    <w:rsid w:val="009F695D"/>
    <w:rsid w:val="00A0425A"/>
    <w:rsid w:val="00A04B29"/>
    <w:rsid w:val="00A1003F"/>
    <w:rsid w:val="00A1316A"/>
    <w:rsid w:val="00A14BC1"/>
    <w:rsid w:val="00A14DC5"/>
    <w:rsid w:val="00A175C9"/>
    <w:rsid w:val="00A17F2F"/>
    <w:rsid w:val="00A26B4E"/>
    <w:rsid w:val="00A26F9A"/>
    <w:rsid w:val="00A312EC"/>
    <w:rsid w:val="00A35237"/>
    <w:rsid w:val="00A40592"/>
    <w:rsid w:val="00A41298"/>
    <w:rsid w:val="00A41917"/>
    <w:rsid w:val="00A4528B"/>
    <w:rsid w:val="00A4610B"/>
    <w:rsid w:val="00A46672"/>
    <w:rsid w:val="00A467C0"/>
    <w:rsid w:val="00A514B8"/>
    <w:rsid w:val="00A51876"/>
    <w:rsid w:val="00A5218F"/>
    <w:rsid w:val="00A56D16"/>
    <w:rsid w:val="00A60306"/>
    <w:rsid w:val="00A63169"/>
    <w:rsid w:val="00A66E05"/>
    <w:rsid w:val="00A708A0"/>
    <w:rsid w:val="00A7268E"/>
    <w:rsid w:val="00A75787"/>
    <w:rsid w:val="00A759A5"/>
    <w:rsid w:val="00A764B0"/>
    <w:rsid w:val="00A76705"/>
    <w:rsid w:val="00A82DA2"/>
    <w:rsid w:val="00A838A0"/>
    <w:rsid w:val="00A843E2"/>
    <w:rsid w:val="00A85437"/>
    <w:rsid w:val="00A876B4"/>
    <w:rsid w:val="00A87EAE"/>
    <w:rsid w:val="00A91BED"/>
    <w:rsid w:val="00A923A4"/>
    <w:rsid w:val="00A9492F"/>
    <w:rsid w:val="00A97746"/>
    <w:rsid w:val="00AA1551"/>
    <w:rsid w:val="00AA2DA4"/>
    <w:rsid w:val="00AA4515"/>
    <w:rsid w:val="00AB1C7C"/>
    <w:rsid w:val="00AC4854"/>
    <w:rsid w:val="00AC77AC"/>
    <w:rsid w:val="00AC78F7"/>
    <w:rsid w:val="00AC7D62"/>
    <w:rsid w:val="00AD4CEE"/>
    <w:rsid w:val="00AD5DEF"/>
    <w:rsid w:val="00AD5EFA"/>
    <w:rsid w:val="00AD75EB"/>
    <w:rsid w:val="00AD7B9B"/>
    <w:rsid w:val="00AE0A49"/>
    <w:rsid w:val="00AE3CDE"/>
    <w:rsid w:val="00AE473B"/>
    <w:rsid w:val="00AE7F94"/>
    <w:rsid w:val="00AF19C5"/>
    <w:rsid w:val="00AF3CEA"/>
    <w:rsid w:val="00AF4BC3"/>
    <w:rsid w:val="00AF7C25"/>
    <w:rsid w:val="00AF7E7D"/>
    <w:rsid w:val="00B00623"/>
    <w:rsid w:val="00B00EE8"/>
    <w:rsid w:val="00B01F4D"/>
    <w:rsid w:val="00B109EF"/>
    <w:rsid w:val="00B1468E"/>
    <w:rsid w:val="00B14CE1"/>
    <w:rsid w:val="00B16642"/>
    <w:rsid w:val="00B16865"/>
    <w:rsid w:val="00B17177"/>
    <w:rsid w:val="00B20A66"/>
    <w:rsid w:val="00B24895"/>
    <w:rsid w:val="00B256F0"/>
    <w:rsid w:val="00B27ECC"/>
    <w:rsid w:val="00B32069"/>
    <w:rsid w:val="00B33C68"/>
    <w:rsid w:val="00B344C1"/>
    <w:rsid w:val="00B36551"/>
    <w:rsid w:val="00B36778"/>
    <w:rsid w:val="00B37D40"/>
    <w:rsid w:val="00B44059"/>
    <w:rsid w:val="00B440A2"/>
    <w:rsid w:val="00B44130"/>
    <w:rsid w:val="00B44D3E"/>
    <w:rsid w:val="00B46113"/>
    <w:rsid w:val="00B51B87"/>
    <w:rsid w:val="00B52562"/>
    <w:rsid w:val="00B5333B"/>
    <w:rsid w:val="00B550CB"/>
    <w:rsid w:val="00B61762"/>
    <w:rsid w:val="00B63D12"/>
    <w:rsid w:val="00B8537B"/>
    <w:rsid w:val="00B86850"/>
    <w:rsid w:val="00B86AAB"/>
    <w:rsid w:val="00B87D6B"/>
    <w:rsid w:val="00B912DB"/>
    <w:rsid w:val="00B91481"/>
    <w:rsid w:val="00B93848"/>
    <w:rsid w:val="00B96138"/>
    <w:rsid w:val="00BA35FB"/>
    <w:rsid w:val="00BB783C"/>
    <w:rsid w:val="00BC090E"/>
    <w:rsid w:val="00BC2181"/>
    <w:rsid w:val="00BC2BF1"/>
    <w:rsid w:val="00BC3199"/>
    <w:rsid w:val="00BC48AE"/>
    <w:rsid w:val="00BC6D49"/>
    <w:rsid w:val="00BC7E13"/>
    <w:rsid w:val="00BD0550"/>
    <w:rsid w:val="00BD454A"/>
    <w:rsid w:val="00BD4C7A"/>
    <w:rsid w:val="00BD5318"/>
    <w:rsid w:val="00BE361B"/>
    <w:rsid w:val="00BE4592"/>
    <w:rsid w:val="00BE4EF5"/>
    <w:rsid w:val="00BE6A7A"/>
    <w:rsid w:val="00BE6E50"/>
    <w:rsid w:val="00BE78E6"/>
    <w:rsid w:val="00BF3305"/>
    <w:rsid w:val="00BF33A6"/>
    <w:rsid w:val="00BF5263"/>
    <w:rsid w:val="00C00D50"/>
    <w:rsid w:val="00C029A5"/>
    <w:rsid w:val="00C03E85"/>
    <w:rsid w:val="00C06AE5"/>
    <w:rsid w:val="00C1144D"/>
    <w:rsid w:val="00C15055"/>
    <w:rsid w:val="00C154D2"/>
    <w:rsid w:val="00C176AC"/>
    <w:rsid w:val="00C21081"/>
    <w:rsid w:val="00C245C0"/>
    <w:rsid w:val="00C256E7"/>
    <w:rsid w:val="00C26611"/>
    <w:rsid w:val="00C26FBC"/>
    <w:rsid w:val="00C27227"/>
    <w:rsid w:val="00C30235"/>
    <w:rsid w:val="00C307DE"/>
    <w:rsid w:val="00C31354"/>
    <w:rsid w:val="00C3267D"/>
    <w:rsid w:val="00C34CC2"/>
    <w:rsid w:val="00C3595E"/>
    <w:rsid w:val="00C436A0"/>
    <w:rsid w:val="00C46417"/>
    <w:rsid w:val="00C501AC"/>
    <w:rsid w:val="00C506FD"/>
    <w:rsid w:val="00C54024"/>
    <w:rsid w:val="00C54607"/>
    <w:rsid w:val="00C55E44"/>
    <w:rsid w:val="00C578FF"/>
    <w:rsid w:val="00C609F3"/>
    <w:rsid w:val="00C613B7"/>
    <w:rsid w:val="00C64095"/>
    <w:rsid w:val="00C6416A"/>
    <w:rsid w:val="00C64407"/>
    <w:rsid w:val="00C6746A"/>
    <w:rsid w:val="00C71447"/>
    <w:rsid w:val="00C77560"/>
    <w:rsid w:val="00C809A2"/>
    <w:rsid w:val="00C83554"/>
    <w:rsid w:val="00C83770"/>
    <w:rsid w:val="00C83E75"/>
    <w:rsid w:val="00C865AC"/>
    <w:rsid w:val="00C91320"/>
    <w:rsid w:val="00C92B4C"/>
    <w:rsid w:val="00C94A81"/>
    <w:rsid w:val="00C953A9"/>
    <w:rsid w:val="00C97AA5"/>
    <w:rsid w:val="00CA1414"/>
    <w:rsid w:val="00CA5A0B"/>
    <w:rsid w:val="00CA5E18"/>
    <w:rsid w:val="00CA7304"/>
    <w:rsid w:val="00CA7D7B"/>
    <w:rsid w:val="00CB0117"/>
    <w:rsid w:val="00CB0560"/>
    <w:rsid w:val="00CB0E6A"/>
    <w:rsid w:val="00CB2DA9"/>
    <w:rsid w:val="00CC6A86"/>
    <w:rsid w:val="00CD0AC0"/>
    <w:rsid w:val="00CD2BCB"/>
    <w:rsid w:val="00CD5908"/>
    <w:rsid w:val="00CD73C4"/>
    <w:rsid w:val="00CE06D7"/>
    <w:rsid w:val="00CE1B5F"/>
    <w:rsid w:val="00CE3B9D"/>
    <w:rsid w:val="00CE4901"/>
    <w:rsid w:val="00CE4AAF"/>
    <w:rsid w:val="00CF0377"/>
    <w:rsid w:val="00CF0A93"/>
    <w:rsid w:val="00CF352B"/>
    <w:rsid w:val="00CF3B59"/>
    <w:rsid w:val="00CF414D"/>
    <w:rsid w:val="00D033FC"/>
    <w:rsid w:val="00D03F5A"/>
    <w:rsid w:val="00D11B05"/>
    <w:rsid w:val="00D11CB0"/>
    <w:rsid w:val="00D12376"/>
    <w:rsid w:val="00D131BD"/>
    <w:rsid w:val="00D1396E"/>
    <w:rsid w:val="00D13AE9"/>
    <w:rsid w:val="00D160B6"/>
    <w:rsid w:val="00D168CB"/>
    <w:rsid w:val="00D16C84"/>
    <w:rsid w:val="00D174A4"/>
    <w:rsid w:val="00D24710"/>
    <w:rsid w:val="00D3216C"/>
    <w:rsid w:val="00D34234"/>
    <w:rsid w:val="00D355F9"/>
    <w:rsid w:val="00D359D4"/>
    <w:rsid w:val="00D35BD4"/>
    <w:rsid w:val="00D3662B"/>
    <w:rsid w:val="00D4135D"/>
    <w:rsid w:val="00D41DB3"/>
    <w:rsid w:val="00D43666"/>
    <w:rsid w:val="00D45300"/>
    <w:rsid w:val="00D458A2"/>
    <w:rsid w:val="00D464D3"/>
    <w:rsid w:val="00D606F7"/>
    <w:rsid w:val="00D637DB"/>
    <w:rsid w:val="00D66CB1"/>
    <w:rsid w:val="00D71416"/>
    <w:rsid w:val="00D7207A"/>
    <w:rsid w:val="00D73060"/>
    <w:rsid w:val="00D731BA"/>
    <w:rsid w:val="00D74CC0"/>
    <w:rsid w:val="00D7535D"/>
    <w:rsid w:val="00D75363"/>
    <w:rsid w:val="00D76330"/>
    <w:rsid w:val="00D775B0"/>
    <w:rsid w:val="00D843C2"/>
    <w:rsid w:val="00D8448C"/>
    <w:rsid w:val="00D8562C"/>
    <w:rsid w:val="00D94D2C"/>
    <w:rsid w:val="00D95267"/>
    <w:rsid w:val="00D955F7"/>
    <w:rsid w:val="00D97BDC"/>
    <w:rsid w:val="00DA0966"/>
    <w:rsid w:val="00DA45A9"/>
    <w:rsid w:val="00DA7DA8"/>
    <w:rsid w:val="00DB1BA3"/>
    <w:rsid w:val="00DB22E5"/>
    <w:rsid w:val="00DB3A1C"/>
    <w:rsid w:val="00DC25E3"/>
    <w:rsid w:val="00DC3B81"/>
    <w:rsid w:val="00DC639E"/>
    <w:rsid w:val="00DC725B"/>
    <w:rsid w:val="00DD07AA"/>
    <w:rsid w:val="00DD0B6A"/>
    <w:rsid w:val="00DD1BCB"/>
    <w:rsid w:val="00DD3CCB"/>
    <w:rsid w:val="00DD4DC1"/>
    <w:rsid w:val="00DD5B07"/>
    <w:rsid w:val="00DD60A9"/>
    <w:rsid w:val="00DD6F59"/>
    <w:rsid w:val="00DD798C"/>
    <w:rsid w:val="00DD7C98"/>
    <w:rsid w:val="00DD7C9F"/>
    <w:rsid w:val="00DE0B16"/>
    <w:rsid w:val="00DE2C8E"/>
    <w:rsid w:val="00DE376C"/>
    <w:rsid w:val="00DE388B"/>
    <w:rsid w:val="00DE52B1"/>
    <w:rsid w:val="00DF139F"/>
    <w:rsid w:val="00DF26A2"/>
    <w:rsid w:val="00DF44B0"/>
    <w:rsid w:val="00DF523C"/>
    <w:rsid w:val="00DF5287"/>
    <w:rsid w:val="00DF681D"/>
    <w:rsid w:val="00DF6B6F"/>
    <w:rsid w:val="00DF7CD7"/>
    <w:rsid w:val="00E05C1C"/>
    <w:rsid w:val="00E06F50"/>
    <w:rsid w:val="00E07194"/>
    <w:rsid w:val="00E102C9"/>
    <w:rsid w:val="00E10BC0"/>
    <w:rsid w:val="00E16003"/>
    <w:rsid w:val="00E2015C"/>
    <w:rsid w:val="00E20FDD"/>
    <w:rsid w:val="00E23353"/>
    <w:rsid w:val="00E24B02"/>
    <w:rsid w:val="00E25CA6"/>
    <w:rsid w:val="00E2741F"/>
    <w:rsid w:val="00E30A4C"/>
    <w:rsid w:val="00E31CE5"/>
    <w:rsid w:val="00E32E53"/>
    <w:rsid w:val="00E32EDA"/>
    <w:rsid w:val="00E35491"/>
    <w:rsid w:val="00E4138B"/>
    <w:rsid w:val="00E41D67"/>
    <w:rsid w:val="00E42005"/>
    <w:rsid w:val="00E439A2"/>
    <w:rsid w:val="00E46AC9"/>
    <w:rsid w:val="00E477FA"/>
    <w:rsid w:val="00E5053C"/>
    <w:rsid w:val="00E50C34"/>
    <w:rsid w:val="00E50D6D"/>
    <w:rsid w:val="00E51979"/>
    <w:rsid w:val="00E57329"/>
    <w:rsid w:val="00E57576"/>
    <w:rsid w:val="00E61B28"/>
    <w:rsid w:val="00E62336"/>
    <w:rsid w:val="00E62437"/>
    <w:rsid w:val="00E62984"/>
    <w:rsid w:val="00E63BBC"/>
    <w:rsid w:val="00E6612A"/>
    <w:rsid w:val="00E67BD9"/>
    <w:rsid w:val="00E72C4A"/>
    <w:rsid w:val="00E75D48"/>
    <w:rsid w:val="00E7611A"/>
    <w:rsid w:val="00E76647"/>
    <w:rsid w:val="00E83799"/>
    <w:rsid w:val="00E85831"/>
    <w:rsid w:val="00E91701"/>
    <w:rsid w:val="00E97084"/>
    <w:rsid w:val="00E97F84"/>
    <w:rsid w:val="00EA310F"/>
    <w:rsid w:val="00EB2B95"/>
    <w:rsid w:val="00EB38A9"/>
    <w:rsid w:val="00EB4FB9"/>
    <w:rsid w:val="00EC1C00"/>
    <w:rsid w:val="00EC1DFC"/>
    <w:rsid w:val="00EC2C91"/>
    <w:rsid w:val="00EC360D"/>
    <w:rsid w:val="00EC46D5"/>
    <w:rsid w:val="00EC5E92"/>
    <w:rsid w:val="00EC752A"/>
    <w:rsid w:val="00EC7AF5"/>
    <w:rsid w:val="00ED1CDE"/>
    <w:rsid w:val="00ED2DD5"/>
    <w:rsid w:val="00ED5135"/>
    <w:rsid w:val="00ED5764"/>
    <w:rsid w:val="00ED60D4"/>
    <w:rsid w:val="00EE17E8"/>
    <w:rsid w:val="00EE1A09"/>
    <w:rsid w:val="00EE2CA7"/>
    <w:rsid w:val="00EE2CB5"/>
    <w:rsid w:val="00EE2F59"/>
    <w:rsid w:val="00EE69DD"/>
    <w:rsid w:val="00EE7EF4"/>
    <w:rsid w:val="00EF11DF"/>
    <w:rsid w:val="00EF1B0A"/>
    <w:rsid w:val="00EF1C7B"/>
    <w:rsid w:val="00EF376F"/>
    <w:rsid w:val="00EF5F8A"/>
    <w:rsid w:val="00EF6A71"/>
    <w:rsid w:val="00EF7802"/>
    <w:rsid w:val="00F03A0F"/>
    <w:rsid w:val="00F05F5A"/>
    <w:rsid w:val="00F118F0"/>
    <w:rsid w:val="00F11917"/>
    <w:rsid w:val="00F13AC3"/>
    <w:rsid w:val="00F15B75"/>
    <w:rsid w:val="00F1705E"/>
    <w:rsid w:val="00F202C6"/>
    <w:rsid w:val="00F2283F"/>
    <w:rsid w:val="00F24478"/>
    <w:rsid w:val="00F25A57"/>
    <w:rsid w:val="00F27436"/>
    <w:rsid w:val="00F309B2"/>
    <w:rsid w:val="00F31408"/>
    <w:rsid w:val="00F314B5"/>
    <w:rsid w:val="00F35161"/>
    <w:rsid w:val="00F360DE"/>
    <w:rsid w:val="00F43352"/>
    <w:rsid w:val="00F436CA"/>
    <w:rsid w:val="00F45C75"/>
    <w:rsid w:val="00F53CF8"/>
    <w:rsid w:val="00F5434C"/>
    <w:rsid w:val="00F55570"/>
    <w:rsid w:val="00F62ABB"/>
    <w:rsid w:val="00F667F4"/>
    <w:rsid w:val="00F66943"/>
    <w:rsid w:val="00F6698A"/>
    <w:rsid w:val="00F67792"/>
    <w:rsid w:val="00F70309"/>
    <w:rsid w:val="00F70CFC"/>
    <w:rsid w:val="00F74CA5"/>
    <w:rsid w:val="00F77D06"/>
    <w:rsid w:val="00F81454"/>
    <w:rsid w:val="00F81C04"/>
    <w:rsid w:val="00F834F4"/>
    <w:rsid w:val="00F83A59"/>
    <w:rsid w:val="00F848D3"/>
    <w:rsid w:val="00FA1AF1"/>
    <w:rsid w:val="00FA2114"/>
    <w:rsid w:val="00FA3361"/>
    <w:rsid w:val="00FA7A82"/>
    <w:rsid w:val="00FB11ED"/>
    <w:rsid w:val="00FB37ED"/>
    <w:rsid w:val="00FB60A2"/>
    <w:rsid w:val="00FC135A"/>
    <w:rsid w:val="00FC17EE"/>
    <w:rsid w:val="00FC304C"/>
    <w:rsid w:val="00FC5357"/>
    <w:rsid w:val="00FC7B9E"/>
    <w:rsid w:val="00FD089F"/>
    <w:rsid w:val="00FD3AC4"/>
    <w:rsid w:val="00FD59C7"/>
    <w:rsid w:val="00FD610D"/>
    <w:rsid w:val="00FE25D8"/>
    <w:rsid w:val="00FE5243"/>
    <w:rsid w:val="00FE630A"/>
    <w:rsid w:val="00FE6D63"/>
    <w:rsid w:val="00FF0C4E"/>
    <w:rsid w:val="00FF34A6"/>
    <w:rsid w:val="00FF5076"/>
    <w:rsid w:val="349A3E0A"/>
    <w:rsid w:val="5DD25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F360DE"/>
    <w:rPr>
      <w:rFonts w:ascii="宋体" w:eastAsia="宋体"/>
      <w:sz w:val="18"/>
      <w:szCs w:val="18"/>
    </w:rPr>
  </w:style>
  <w:style w:type="paragraph" w:styleId="a4">
    <w:name w:val="annotation text"/>
    <w:basedOn w:val="a"/>
    <w:link w:val="Char0"/>
    <w:unhideWhenUsed/>
    <w:qFormat/>
    <w:rsid w:val="00F360DE"/>
    <w:pPr>
      <w:jc w:val="left"/>
    </w:pPr>
  </w:style>
  <w:style w:type="paragraph" w:styleId="a5">
    <w:name w:val="Body Text"/>
    <w:basedOn w:val="a"/>
    <w:link w:val="Char1"/>
    <w:uiPriority w:val="99"/>
    <w:semiHidden/>
    <w:unhideWhenUsed/>
    <w:qFormat/>
    <w:rsid w:val="00F360DE"/>
    <w:pPr>
      <w:spacing w:after="120"/>
    </w:pPr>
  </w:style>
  <w:style w:type="paragraph" w:styleId="a6">
    <w:name w:val="Date"/>
    <w:basedOn w:val="a"/>
    <w:next w:val="a"/>
    <w:link w:val="Char2"/>
    <w:uiPriority w:val="99"/>
    <w:semiHidden/>
    <w:unhideWhenUsed/>
    <w:qFormat/>
    <w:rsid w:val="00F360DE"/>
    <w:pPr>
      <w:ind w:leftChars="2500" w:left="100"/>
    </w:pPr>
  </w:style>
  <w:style w:type="paragraph" w:styleId="a7">
    <w:name w:val="Balloon Text"/>
    <w:basedOn w:val="a"/>
    <w:link w:val="Char3"/>
    <w:uiPriority w:val="99"/>
    <w:semiHidden/>
    <w:unhideWhenUsed/>
    <w:qFormat/>
    <w:rsid w:val="00F360DE"/>
    <w:rPr>
      <w:sz w:val="18"/>
      <w:szCs w:val="18"/>
    </w:rPr>
  </w:style>
  <w:style w:type="paragraph" w:styleId="a8">
    <w:name w:val="footer"/>
    <w:basedOn w:val="a"/>
    <w:link w:val="Char4"/>
    <w:uiPriority w:val="99"/>
    <w:unhideWhenUsed/>
    <w:qFormat/>
    <w:rsid w:val="00F360DE"/>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F360D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360DE"/>
    <w:pPr>
      <w:spacing w:line="360" w:lineRule="auto"/>
      <w:ind w:firstLineChars="200" w:firstLine="480"/>
    </w:pPr>
    <w:rPr>
      <w:rFonts w:ascii="仿宋_GB2312" w:eastAsia="仿宋_GB2312" w:hAnsi="Times New Roman" w:cs="Times New Roman"/>
      <w:color w:val="FF0000"/>
      <w:sz w:val="24"/>
      <w:szCs w:val="18"/>
    </w:rPr>
  </w:style>
  <w:style w:type="paragraph" w:styleId="aa">
    <w:name w:val="annotation subject"/>
    <w:basedOn w:val="a4"/>
    <w:next w:val="a4"/>
    <w:link w:val="Char6"/>
    <w:uiPriority w:val="99"/>
    <w:semiHidden/>
    <w:unhideWhenUsed/>
    <w:qFormat/>
    <w:rsid w:val="00F360DE"/>
    <w:rPr>
      <w:b/>
      <w:bCs/>
    </w:rPr>
  </w:style>
  <w:style w:type="table" w:styleId="ab">
    <w:name w:val="Table Grid"/>
    <w:basedOn w:val="a1"/>
    <w:qFormat/>
    <w:rsid w:val="00F36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nhideWhenUsed/>
    <w:qFormat/>
    <w:rsid w:val="00F360DE"/>
    <w:rPr>
      <w:sz w:val="21"/>
      <w:szCs w:val="21"/>
    </w:rPr>
  </w:style>
  <w:style w:type="character" w:customStyle="1" w:styleId="Char5">
    <w:name w:val="页眉 Char"/>
    <w:basedOn w:val="a0"/>
    <w:link w:val="a9"/>
    <w:uiPriority w:val="99"/>
    <w:qFormat/>
    <w:rsid w:val="00F360DE"/>
    <w:rPr>
      <w:sz w:val="18"/>
      <w:szCs w:val="18"/>
    </w:rPr>
  </w:style>
  <w:style w:type="character" w:customStyle="1" w:styleId="Char4">
    <w:name w:val="页脚 Char"/>
    <w:basedOn w:val="a0"/>
    <w:link w:val="a8"/>
    <w:uiPriority w:val="99"/>
    <w:qFormat/>
    <w:rsid w:val="00F360DE"/>
    <w:rPr>
      <w:sz w:val="18"/>
      <w:szCs w:val="18"/>
    </w:rPr>
  </w:style>
  <w:style w:type="character" w:customStyle="1" w:styleId="Char2">
    <w:name w:val="日期 Char"/>
    <w:basedOn w:val="a0"/>
    <w:link w:val="a6"/>
    <w:uiPriority w:val="99"/>
    <w:semiHidden/>
    <w:qFormat/>
    <w:rsid w:val="00F360DE"/>
  </w:style>
  <w:style w:type="character" w:customStyle="1" w:styleId="Char3">
    <w:name w:val="批注框文本 Char"/>
    <w:basedOn w:val="a0"/>
    <w:link w:val="a7"/>
    <w:uiPriority w:val="99"/>
    <w:semiHidden/>
    <w:qFormat/>
    <w:rsid w:val="00F360DE"/>
    <w:rPr>
      <w:sz w:val="18"/>
      <w:szCs w:val="18"/>
    </w:rPr>
  </w:style>
  <w:style w:type="character" w:customStyle="1" w:styleId="Char0">
    <w:name w:val="批注文字 Char"/>
    <w:basedOn w:val="a0"/>
    <w:link w:val="a4"/>
    <w:qFormat/>
    <w:rsid w:val="00F360DE"/>
  </w:style>
  <w:style w:type="character" w:customStyle="1" w:styleId="Char6">
    <w:name w:val="批注主题 Char"/>
    <w:basedOn w:val="Char0"/>
    <w:link w:val="aa"/>
    <w:uiPriority w:val="99"/>
    <w:semiHidden/>
    <w:qFormat/>
    <w:rsid w:val="00F360DE"/>
    <w:rPr>
      <w:b/>
      <w:bCs/>
    </w:rPr>
  </w:style>
  <w:style w:type="paragraph" w:styleId="ad">
    <w:name w:val="List Paragraph"/>
    <w:basedOn w:val="a"/>
    <w:uiPriority w:val="34"/>
    <w:qFormat/>
    <w:rsid w:val="00F360DE"/>
    <w:pPr>
      <w:ind w:firstLineChars="200" w:firstLine="420"/>
    </w:pPr>
  </w:style>
  <w:style w:type="character" w:customStyle="1" w:styleId="Char">
    <w:name w:val="文档结构图 Char"/>
    <w:basedOn w:val="a0"/>
    <w:link w:val="a3"/>
    <w:uiPriority w:val="99"/>
    <w:semiHidden/>
    <w:qFormat/>
    <w:rsid w:val="00F360DE"/>
    <w:rPr>
      <w:rFonts w:ascii="宋体" w:eastAsia="宋体"/>
      <w:sz w:val="18"/>
      <w:szCs w:val="18"/>
    </w:rPr>
  </w:style>
  <w:style w:type="character" w:customStyle="1" w:styleId="read">
    <w:name w:val="read"/>
    <w:basedOn w:val="a0"/>
    <w:qFormat/>
    <w:rsid w:val="00F360DE"/>
  </w:style>
  <w:style w:type="character" w:customStyle="1" w:styleId="3Char">
    <w:name w:val="正文文本缩进 3 Char"/>
    <w:basedOn w:val="a0"/>
    <w:link w:val="3"/>
    <w:qFormat/>
    <w:rsid w:val="00F360DE"/>
    <w:rPr>
      <w:rFonts w:ascii="仿宋_GB2312" w:eastAsia="仿宋_GB2312" w:hAnsi="Times New Roman" w:cs="Times New Roman"/>
      <w:color w:val="FF0000"/>
      <w:sz w:val="24"/>
      <w:szCs w:val="18"/>
    </w:rPr>
  </w:style>
  <w:style w:type="character" w:customStyle="1" w:styleId="Char1">
    <w:name w:val="正文文本 Char"/>
    <w:basedOn w:val="a0"/>
    <w:link w:val="a5"/>
    <w:uiPriority w:val="99"/>
    <w:semiHidden/>
    <w:qFormat/>
    <w:rsid w:val="00F360DE"/>
  </w:style>
  <w:style w:type="paragraph" w:customStyle="1" w:styleId="Default">
    <w:name w:val="Default"/>
    <w:qFormat/>
    <w:rsid w:val="00F360DE"/>
    <w:pPr>
      <w:widowControl w:val="0"/>
      <w:autoSpaceDE w:val="0"/>
      <w:autoSpaceDN w:val="0"/>
      <w:adjustRightInd w:val="0"/>
    </w:pPr>
    <w:rPr>
      <w:rFonts w:ascii="宋体" w:eastAsia="宋体" w:cs="宋体"/>
      <w:color w:val="000000"/>
      <w:sz w:val="24"/>
      <w:szCs w:val="24"/>
    </w:rPr>
  </w:style>
  <w:style w:type="paragraph" w:customStyle="1" w:styleId="1">
    <w:name w:val="修订1"/>
    <w:hidden/>
    <w:uiPriority w:val="99"/>
    <w:semiHidden/>
    <w:rsid w:val="00F360D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0F13-E47B-4367-9ED3-645CCC99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7097</Characters>
  <Application>Microsoft Office Word</Application>
  <DocSecurity>4</DocSecurity>
  <Lines>59</Lines>
  <Paragraphs>16</Paragraphs>
  <ScaleCrop>false</ScaleCrop>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ZHONGM</cp:lastModifiedBy>
  <cp:revision>2</cp:revision>
  <cp:lastPrinted>2020-09-15T09:27:00Z</cp:lastPrinted>
  <dcterms:created xsi:type="dcterms:W3CDTF">2024-09-11T16:01:00Z</dcterms:created>
  <dcterms:modified xsi:type="dcterms:W3CDTF">2024-09-11T16:01:00Z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910692b0e4c66ecfc323521b0efd40268b0c1a4b027510e037c38eb9f4de2cc0</vt:lpwstr>
  </property>
  <property fmtid="{D5CDD505-2E9C-101B-9397-08002B2CF9AE}" pid="3" name="KSOProductBuildVer">
    <vt:lpwstr>2052-12.8.2.17838</vt:lpwstr>
  </property>
  <property fmtid="{D5CDD505-2E9C-101B-9397-08002B2CF9AE}" pid="4" name="ICV">
    <vt:lpwstr>43C9DE3D802E4468ABA557223FB39B44_12</vt:lpwstr>
  </property>
</Properties>
</file>