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8B" w:rsidRDefault="00A60C11">
      <w:pPr>
        <w:spacing w:line="360" w:lineRule="auto"/>
        <w:jc w:val="center"/>
        <w:rPr>
          <w:rFonts w:ascii="Times New Roman" w:eastAsia="宋体" w:hAnsi="Times New Roman" w:cs="Times New Roman"/>
          <w:b/>
          <w:bCs/>
          <w:color w:val="000000"/>
          <w:sz w:val="30"/>
          <w:szCs w:val="30"/>
        </w:rPr>
      </w:pPr>
      <w:bookmarkStart w:id="0" w:name="_GoBack"/>
      <w:bookmarkEnd w:id="0"/>
      <w:r>
        <w:rPr>
          <w:rFonts w:ascii="Times New Roman" w:eastAsia="宋体" w:hAnsi="Times New Roman" w:cs="Times New Roman" w:hint="eastAsia"/>
          <w:b/>
          <w:bCs/>
          <w:color w:val="000000"/>
          <w:sz w:val="30"/>
          <w:szCs w:val="30"/>
        </w:rPr>
        <w:t>博时中证疫苗与生物技术交易型开放式指数证券投资基金</w:t>
      </w:r>
      <w:r>
        <w:rPr>
          <w:rFonts w:ascii="Times New Roman" w:eastAsia="宋体" w:hAnsi="Times New Roman" w:cs="Times New Roman" w:hint="eastAsia"/>
          <w:b/>
          <w:bCs/>
          <w:color w:val="000000"/>
          <w:sz w:val="30"/>
          <w:szCs w:val="30"/>
        </w:rPr>
        <w:t>终止上市</w:t>
      </w:r>
      <w:r>
        <w:rPr>
          <w:rFonts w:ascii="Times New Roman" w:eastAsia="宋体" w:hAnsi="Times New Roman" w:cs="Times New Roman" w:hint="eastAsia"/>
          <w:b/>
          <w:bCs/>
          <w:color w:val="000000"/>
          <w:sz w:val="30"/>
          <w:szCs w:val="30"/>
        </w:rPr>
        <w:t>的</w:t>
      </w:r>
      <w:r>
        <w:rPr>
          <w:rFonts w:ascii="Times New Roman" w:eastAsia="宋体" w:hAnsi="Times New Roman" w:cs="Times New Roman" w:hint="eastAsia"/>
          <w:b/>
          <w:bCs/>
          <w:color w:val="000000"/>
          <w:sz w:val="30"/>
          <w:szCs w:val="30"/>
        </w:rPr>
        <w:t>公告</w:t>
      </w:r>
    </w:p>
    <w:p w:rsidR="0097788B" w:rsidRDefault="0097788B">
      <w:pPr>
        <w:adjustRightInd w:val="0"/>
        <w:snapToGrid w:val="0"/>
        <w:spacing w:line="360" w:lineRule="auto"/>
        <w:ind w:firstLineChars="200" w:firstLine="420"/>
        <w:rPr>
          <w:rFonts w:ascii="Arial" w:eastAsia="宋体" w:hAnsi="宋体" w:cs="Arial"/>
          <w:color w:val="000000"/>
          <w:szCs w:val="21"/>
        </w:rPr>
      </w:pPr>
    </w:p>
    <w:p w:rsidR="0097788B" w:rsidRDefault="00A60C11">
      <w:pPr>
        <w:adjustRightInd w:val="0"/>
        <w:snapToGrid w:val="0"/>
        <w:spacing w:line="360" w:lineRule="auto"/>
        <w:ind w:firstLineChars="200" w:firstLine="420"/>
        <w:rPr>
          <w:rFonts w:ascii="Arial" w:eastAsia="宋体" w:hAnsi="宋体" w:cs="Arial"/>
          <w:color w:val="000000"/>
          <w:szCs w:val="21"/>
        </w:rPr>
      </w:pPr>
      <w:r>
        <w:rPr>
          <w:rFonts w:ascii="Arial" w:eastAsia="宋体" w:hAnsi="宋体" w:cs="Arial"/>
          <w:color w:val="000000"/>
          <w:szCs w:val="21"/>
        </w:rPr>
        <w:t>根据《中华人民共和国证券投资基金法》、《公开募集证券投资基金运作管理办法》、《</w:t>
      </w:r>
      <w:r>
        <w:rPr>
          <w:rFonts w:ascii="Arial" w:eastAsia="宋体" w:hAnsi="宋体" w:cs="Arial" w:hint="eastAsia"/>
          <w:color w:val="000000"/>
          <w:szCs w:val="21"/>
        </w:rPr>
        <w:t>博时中证疫苗与生物技术交易型开放式指数证券投资基金</w:t>
      </w:r>
      <w:r>
        <w:rPr>
          <w:rFonts w:ascii="Arial" w:eastAsia="宋体" w:hAnsi="宋体" w:cs="Arial"/>
          <w:color w:val="000000"/>
          <w:szCs w:val="21"/>
        </w:rPr>
        <w:t>基金合同》（以下简称</w:t>
      </w:r>
      <w:r>
        <w:rPr>
          <w:rFonts w:ascii="Arial" w:eastAsia="宋体" w:hAnsi="宋体" w:cs="Arial"/>
          <w:color w:val="000000"/>
          <w:szCs w:val="21"/>
        </w:rPr>
        <w:t>“</w:t>
      </w:r>
      <w:r>
        <w:rPr>
          <w:rFonts w:ascii="Arial" w:eastAsia="宋体" w:hAnsi="宋体" w:cs="Arial"/>
          <w:color w:val="000000"/>
          <w:szCs w:val="21"/>
        </w:rPr>
        <w:t>《基金合同》</w:t>
      </w:r>
      <w:r>
        <w:rPr>
          <w:rFonts w:ascii="Arial" w:eastAsia="宋体" w:hAnsi="宋体" w:cs="Arial"/>
          <w:color w:val="000000"/>
          <w:szCs w:val="21"/>
        </w:rPr>
        <w:t>”</w:t>
      </w:r>
      <w:r>
        <w:rPr>
          <w:rFonts w:ascii="Arial" w:eastAsia="宋体" w:hAnsi="宋体" w:cs="Arial"/>
          <w:color w:val="000000"/>
          <w:szCs w:val="21"/>
        </w:rPr>
        <w:t>）、《上海证券交易所证券投资基金上市规则》等有关规定，</w:t>
      </w:r>
      <w:r>
        <w:rPr>
          <w:rFonts w:ascii="Arial" w:eastAsia="宋体" w:hAnsi="宋体" w:cs="Arial" w:hint="eastAsia"/>
          <w:color w:val="000000"/>
          <w:szCs w:val="21"/>
        </w:rPr>
        <w:t>博时中证疫苗与生物技术交易型开放式指数证券投资基金</w:t>
      </w:r>
      <w:r>
        <w:rPr>
          <w:rFonts w:ascii="Arial" w:eastAsia="宋体" w:hAnsi="宋体" w:cs="Arial"/>
          <w:color w:val="000000"/>
          <w:szCs w:val="21"/>
        </w:rPr>
        <w:t>（以下简称</w:t>
      </w:r>
      <w:r>
        <w:rPr>
          <w:rFonts w:ascii="Arial" w:eastAsia="宋体" w:hAnsi="宋体" w:cs="Arial"/>
          <w:color w:val="000000"/>
          <w:szCs w:val="21"/>
        </w:rPr>
        <w:t>“</w:t>
      </w:r>
      <w:r>
        <w:rPr>
          <w:rFonts w:ascii="Arial" w:eastAsia="宋体" w:hAnsi="宋体" w:cs="Arial" w:hint="eastAsia"/>
          <w:color w:val="000000"/>
          <w:szCs w:val="21"/>
        </w:rPr>
        <w:t>疫苗生物</w:t>
      </w:r>
      <w:r>
        <w:rPr>
          <w:rFonts w:ascii="Arial" w:eastAsia="宋体" w:hAnsi="宋体" w:cs="Arial"/>
          <w:color w:val="000000"/>
          <w:szCs w:val="21"/>
        </w:rPr>
        <w:t>ETF</w:t>
      </w:r>
      <w:r>
        <w:rPr>
          <w:rFonts w:ascii="Arial" w:eastAsia="宋体" w:hAnsi="宋体" w:cs="Arial"/>
          <w:color w:val="000000"/>
          <w:szCs w:val="21"/>
        </w:rPr>
        <w:t>”</w:t>
      </w:r>
      <w:r>
        <w:rPr>
          <w:rFonts w:ascii="Arial" w:eastAsia="宋体" w:hAnsi="宋体" w:cs="Arial"/>
          <w:color w:val="000000"/>
          <w:szCs w:val="21"/>
        </w:rPr>
        <w:t>或</w:t>
      </w:r>
      <w:r>
        <w:rPr>
          <w:rFonts w:ascii="Arial" w:eastAsia="宋体" w:hAnsi="宋体" w:cs="Arial"/>
          <w:color w:val="000000"/>
          <w:szCs w:val="21"/>
        </w:rPr>
        <w:t>“</w:t>
      </w:r>
      <w:r>
        <w:rPr>
          <w:rFonts w:ascii="Arial" w:eastAsia="宋体" w:hAnsi="宋体" w:cs="Arial"/>
          <w:color w:val="000000"/>
          <w:szCs w:val="21"/>
        </w:rPr>
        <w:t>本基金</w:t>
      </w:r>
      <w:r>
        <w:rPr>
          <w:rFonts w:ascii="Arial" w:eastAsia="宋体" w:hAnsi="宋体" w:cs="Arial"/>
          <w:color w:val="000000"/>
          <w:szCs w:val="21"/>
        </w:rPr>
        <w:t>”</w:t>
      </w:r>
      <w:r>
        <w:rPr>
          <w:rFonts w:ascii="Arial" w:eastAsia="宋体" w:hAnsi="宋体" w:cs="Arial"/>
          <w:color w:val="000000"/>
          <w:szCs w:val="21"/>
        </w:rPr>
        <w:t>）基金管理人博时基金管理有限公司向上海证券交易所申请</w:t>
      </w:r>
      <w:r>
        <w:rPr>
          <w:rFonts w:ascii="Arial" w:eastAsia="宋体" w:hAnsi="宋体" w:cs="Arial" w:hint="eastAsia"/>
          <w:color w:val="000000"/>
          <w:szCs w:val="21"/>
        </w:rPr>
        <w:t>疫苗生物</w:t>
      </w:r>
      <w:r>
        <w:rPr>
          <w:rFonts w:ascii="Arial" w:eastAsia="宋体" w:hAnsi="宋体" w:cs="Arial"/>
          <w:color w:val="000000"/>
          <w:szCs w:val="21"/>
        </w:rPr>
        <w:t xml:space="preserve">ETF </w:t>
      </w:r>
      <w:r>
        <w:rPr>
          <w:rFonts w:ascii="Arial" w:eastAsia="宋体" w:hAnsi="宋体" w:cs="Arial"/>
          <w:color w:val="000000"/>
          <w:szCs w:val="21"/>
        </w:rPr>
        <w:t>终止上市，并获得上海证券交易所《关于</w:t>
      </w:r>
      <w:r>
        <w:rPr>
          <w:rFonts w:ascii="Arial" w:eastAsia="宋体" w:hAnsi="宋体" w:cs="Arial" w:hint="eastAsia"/>
          <w:color w:val="000000"/>
          <w:szCs w:val="21"/>
        </w:rPr>
        <w:t>博时中证疫苗与生物技术交易型开放式指数证券投资基金终止</w:t>
      </w:r>
      <w:r>
        <w:rPr>
          <w:rFonts w:ascii="Arial" w:eastAsia="宋体" w:hAnsi="宋体" w:cs="Arial"/>
          <w:color w:val="000000"/>
          <w:szCs w:val="21"/>
        </w:rPr>
        <w:t>上市的决定》（上海证券交易所自律监管决定书【</w:t>
      </w:r>
      <w:r>
        <w:rPr>
          <w:rFonts w:ascii="Arial" w:eastAsia="宋体" w:hAnsi="宋体" w:cs="Arial"/>
          <w:color w:val="000000"/>
          <w:szCs w:val="21"/>
        </w:rPr>
        <w:t>20</w:t>
      </w:r>
      <w:r>
        <w:rPr>
          <w:rFonts w:ascii="Arial" w:eastAsia="宋体" w:hAnsi="宋体" w:cs="Arial" w:hint="eastAsia"/>
          <w:color w:val="000000"/>
          <w:szCs w:val="21"/>
        </w:rPr>
        <w:t>24</w:t>
      </w:r>
      <w:r>
        <w:rPr>
          <w:rFonts w:ascii="Arial" w:eastAsia="宋体" w:hAnsi="宋体" w:cs="Arial"/>
          <w:color w:val="000000"/>
          <w:szCs w:val="21"/>
        </w:rPr>
        <w:t>】</w:t>
      </w:r>
      <w:r>
        <w:rPr>
          <w:rFonts w:ascii="Arial" w:eastAsia="宋体" w:hAnsi="宋体" w:cs="Arial" w:hint="eastAsia"/>
          <w:color w:val="000000"/>
          <w:szCs w:val="21"/>
        </w:rPr>
        <w:t>121</w:t>
      </w:r>
      <w:r>
        <w:rPr>
          <w:rFonts w:ascii="Arial" w:eastAsia="宋体" w:hAnsi="宋体" w:cs="Arial"/>
          <w:color w:val="000000"/>
          <w:szCs w:val="21"/>
        </w:rPr>
        <w:t>号）同意。现将</w:t>
      </w:r>
      <w:r>
        <w:rPr>
          <w:rFonts w:ascii="Arial" w:eastAsia="宋体" w:hAnsi="宋体" w:cs="Arial" w:hint="eastAsia"/>
          <w:color w:val="000000"/>
          <w:szCs w:val="21"/>
        </w:rPr>
        <w:t>疫苗生物</w:t>
      </w:r>
      <w:r>
        <w:rPr>
          <w:rFonts w:ascii="Arial" w:eastAsia="宋体" w:hAnsi="宋体" w:cs="Arial" w:hint="eastAsia"/>
          <w:color w:val="000000"/>
          <w:szCs w:val="21"/>
        </w:rPr>
        <w:t>ETF</w:t>
      </w:r>
      <w:r>
        <w:rPr>
          <w:rFonts w:ascii="Arial" w:eastAsia="宋体" w:hAnsi="宋体" w:cs="Arial"/>
          <w:color w:val="000000"/>
          <w:szCs w:val="21"/>
        </w:rPr>
        <w:t xml:space="preserve"> </w:t>
      </w:r>
      <w:r>
        <w:rPr>
          <w:rFonts w:ascii="Arial" w:eastAsia="宋体" w:hAnsi="宋体" w:cs="Arial"/>
          <w:color w:val="000000"/>
          <w:szCs w:val="21"/>
        </w:rPr>
        <w:t>终止上市相关内容公告如下：</w:t>
      </w:r>
    </w:p>
    <w:p w:rsidR="0097788B" w:rsidRDefault="00A60C11" w:rsidP="00A60C11">
      <w:pPr>
        <w:pStyle w:val="a6"/>
        <w:numPr>
          <w:ilvl w:val="0"/>
          <w:numId w:val="1"/>
        </w:numPr>
        <w:adjustRightInd w:val="0"/>
        <w:snapToGrid w:val="0"/>
        <w:spacing w:beforeLines="50" w:afterLines="50" w:line="360" w:lineRule="auto"/>
        <w:ind w:left="947" w:firstLineChars="0" w:hanging="527"/>
        <w:rPr>
          <w:b/>
        </w:rPr>
        <w:pPrChange w:id="1" w:author="ZHONGM" w:date="2024-09-12T00:03:00Z">
          <w:pPr>
            <w:pStyle w:val="a6"/>
            <w:numPr>
              <w:numId w:val="1"/>
            </w:numPr>
            <w:adjustRightInd w:val="0"/>
            <w:snapToGrid w:val="0"/>
            <w:spacing w:beforeLines="50" w:afterLines="50" w:line="360" w:lineRule="auto"/>
            <w:ind w:left="947" w:firstLineChars="0" w:hanging="527"/>
          </w:pPr>
        </w:pPrChange>
      </w:pPr>
      <w:r>
        <w:rPr>
          <w:rFonts w:hint="eastAsia"/>
          <w:b/>
        </w:rPr>
        <w:t>本基金</w:t>
      </w:r>
      <w:r>
        <w:rPr>
          <w:b/>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5592"/>
      </w:tblGrid>
      <w:tr w:rsidR="0097788B">
        <w:trPr>
          <w:jc w:val="center"/>
        </w:trPr>
        <w:tc>
          <w:tcPr>
            <w:tcW w:w="2932" w:type="dxa"/>
            <w:vAlign w:val="center"/>
          </w:tcPr>
          <w:p w:rsidR="0097788B" w:rsidRDefault="00A60C11">
            <w:pPr>
              <w:jc w:val="left"/>
              <w:rPr>
                <w:rFonts w:ascii="Arial" w:hAnsi="Arial" w:cs="Arial"/>
                <w:szCs w:val="21"/>
              </w:rPr>
            </w:pPr>
            <w:r>
              <w:rPr>
                <w:rFonts w:ascii="宋体" w:hAnsi="宋体" w:hint="eastAsia"/>
              </w:rPr>
              <w:t>基金名称</w:t>
            </w:r>
          </w:p>
        </w:tc>
        <w:tc>
          <w:tcPr>
            <w:tcW w:w="5596" w:type="dxa"/>
            <w:vAlign w:val="center"/>
          </w:tcPr>
          <w:p w:rsidR="0097788B" w:rsidRDefault="00A60C11">
            <w:pPr>
              <w:jc w:val="left"/>
              <w:rPr>
                <w:rFonts w:ascii="Arial" w:hAnsi="Arial" w:cs="Arial"/>
                <w:szCs w:val="21"/>
              </w:rPr>
            </w:pPr>
            <w:r>
              <w:rPr>
                <w:rFonts w:ascii="Arial" w:hAnsi="Arial" w:cs="Arial" w:hint="eastAsia"/>
                <w:szCs w:val="21"/>
              </w:rPr>
              <w:t>博时中证疫苗与生物技术交易型开放式指数证券投资基金</w:t>
            </w:r>
          </w:p>
        </w:tc>
      </w:tr>
      <w:tr w:rsidR="0097788B">
        <w:trPr>
          <w:jc w:val="center"/>
        </w:trPr>
        <w:tc>
          <w:tcPr>
            <w:tcW w:w="2932" w:type="dxa"/>
            <w:vAlign w:val="center"/>
          </w:tcPr>
          <w:p w:rsidR="0097788B" w:rsidRDefault="00A60C11">
            <w:pPr>
              <w:jc w:val="left"/>
              <w:rPr>
                <w:rFonts w:ascii="Arial" w:hAnsi="Arial" w:cs="Arial"/>
                <w:szCs w:val="21"/>
              </w:rPr>
            </w:pPr>
            <w:r>
              <w:rPr>
                <w:rFonts w:ascii="宋体" w:hAnsi="宋体" w:hint="eastAsia"/>
              </w:rPr>
              <w:t>基金简称</w:t>
            </w:r>
          </w:p>
        </w:tc>
        <w:tc>
          <w:tcPr>
            <w:tcW w:w="5596" w:type="dxa"/>
            <w:vAlign w:val="center"/>
          </w:tcPr>
          <w:p w:rsidR="0097788B" w:rsidRDefault="00A60C11">
            <w:pPr>
              <w:jc w:val="left"/>
              <w:rPr>
                <w:rFonts w:ascii="Arial" w:hAnsi="Arial" w:cs="Arial"/>
                <w:szCs w:val="21"/>
              </w:rPr>
            </w:pPr>
            <w:r>
              <w:rPr>
                <w:rFonts w:ascii="Arial" w:hAnsi="Arial" w:cs="Arial" w:hint="eastAsia"/>
                <w:szCs w:val="21"/>
              </w:rPr>
              <w:t>博时中证疫苗与生物技术</w:t>
            </w:r>
            <w:r>
              <w:rPr>
                <w:rFonts w:ascii="Arial" w:hAnsi="Arial" w:cs="Arial" w:hint="eastAsia"/>
                <w:szCs w:val="21"/>
              </w:rPr>
              <w:t>ETF</w:t>
            </w:r>
          </w:p>
        </w:tc>
      </w:tr>
      <w:tr w:rsidR="0097788B">
        <w:trPr>
          <w:jc w:val="center"/>
        </w:trPr>
        <w:tc>
          <w:tcPr>
            <w:tcW w:w="2932" w:type="dxa"/>
            <w:vAlign w:val="center"/>
          </w:tcPr>
          <w:p w:rsidR="0097788B" w:rsidRDefault="00A60C11">
            <w:pPr>
              <w:jc w:val="left"/>
              <w:rPr>
                <w:rFonts w:ascii="Arial" w:hAnsi="Arial" w:cs="Arial"/>
                <w:szCs w:val="21"/>
              </w:rPr>
            </w:pPr>
            <w:r>
              <w:rPr>
                <w:rFonts w:ascii="宋体" w:hAnsi="宋体" w:hint="eastAsia"/>
              </w:rPr>
              <w:t>基金代码</w:t>
            </w:r>
          </w:p>
        </w:tc>
        <w:tc>
          <w:tcPr>
            <w:tcW w:w="5596" w:type="dxa"/>
            <w:vAlign w:val="center"/>
          </w:tcPr>
          <w:p w:rsidR="0097788B" w:rsidRDefault="00A60C11">
            <w:pPr>
              <w:jc w:val="left"/>
              <w:rPr>
                <w:rFonts w:ascii="Arial" w:hAnsi="Arial" w:cs="Arial"/>
                <w:szCs w:val="21"/>
              </w:rPr>
            </w:pPr>
            <w:r>
              <w:rPr>
                <w:rFonts w:ascii="Arial" w:hAnsi="Arial" w:cs="Arial" w:hint="eastAsia"/>
                <w:szCs w:val="21"/>
              </w:rPr>
              <w:t>561710</w:t>
            </w:r>
          </w:p>
        </w:tc>
      </w:tr>
      <w:tr w:rsidR="0097788B">
        <w:trPr>
          <w:jc w:val="center"/>
        </w:trPr>
        <w:tc>
          <w:tcPr>
            <w:tcW w:w="2932" w:type="dxa"/>
            <w:vAlign w:val="center"/>
          </w:tcPr>
          <w:p w:rsidR="0097788B" w:rsidRDefault="00A60C11">
            <w:pPr>
              <w:jc w:val="left"/>
              <w:rPr>
                <w:rFonts w:ascii="Arial" w:hAnsi="Arial" w:cs="Arial"/>
                <w:szCs w:val="21"/>
              </w:rPr>
            </w:pPr>
            <w:r>
              <w:rPr>
                <w:rFonts w:ascii="宋体" w:hAnsi="宋体" w:hint="eastAsia"/>
              </w:rPr>
              <w:t>场内简称</w:t>
            </w:r>
          </w:p>
        </w:tc>
        <w:tc>
          <w:tcPr>
            <w:tcW w:w="5596" w:type="dxa"/>
            <w:vAlign w:val="center"/>
          </w:tcPr>
          <w:p w:rsidR="0097788B" w:rsidRDefault="00A60C11">
            <w:pPr>
              <w:jc w:val="left"/>
              <w:rPr>
                <w:rFonts w:ascii="Arial" w:hAnsi="Arial" w:cs="Arial"/>
                <w:szCs w:val="21"/>
              </w:rPr>
            </w:pPr>
            <w:r>
              <w:rPr>
                <w:rFonts w:ascii="Arial" w:hAnsi="Arial" w:cs="Arial" w:hint="eastAsia"/>
                <w:szCs w:val="21"/>
              </w:rPr>
              <w:t>疫苗</w:t>
            </w:r>
          </w:p>
        </w:tc>
      </w:tr>
      <w:tr w:rsidR="0097788B">
        <w:trPr>
          <w:jc w:val="center"/>
        </w:trPr>
        <w:tc>
          <w:tcPr>
            <w:tcW w:w="2932" w:type="dxa"/>
            <w:vAlign w:val="center"/>
          </w:tcPr>
          <w:p w:rsidR="0097788B" w:rsidRDefault="00A60C11">
            <w:pPr>
              <w:jc w:val="left"/>
              <w:rPr>
                <w:rFonts w:ascii="Arial" w:hAnsi="Arial" w:cs="Arial"/>
                <w:szCs w:val="21"/>
              </w:rPr>
            </w:pPr>
            <w:r>
              <w:rPr>
                <w:rFonts w:ascii="Arial" w:hAnsi="Arial" w:cs="Arial" w:hint="eastAsia"/>
                <w:szCs w:val="21"/>
              </w:rPr>
              <w:t>扩位简称</w:t>
            </w:r>
          </w:p>
        </w:tc>
        <w:tc>
          <w:tcPr>
            <w:tcW w:w="5596" w:type="dxa"/>
            <w:vAlign w:val="center"/>
          </w:tcPr>
          <w:p w:rsidR="0097788B" w:rsidRDefault="00A60C11">
            <w:pPr>
              <w:jc w:val="left"/>
              <w:rPr>
                <w:rFonts w:ascii="Arial" w:hAnsi="Arial" w:cs="Arial"/>
                <w:szCs w:val="21"/>
              </w:rPr>
            </w:pPr>
            <w:r>
              <w:rPr>
                <w:rFonts w:ascii="Arial" w:hAnsi="Arial" w:cs="Arial" w:hint="eastAsia"/>
                <w:szCs w:val="21"/>
              </w:rPr>
              <w:t>疫苗生物</w:t>
            </w:r>
            <w:r>
              <w:rPr>
                <w:rFonts w:ascii="Arial" w:hAnsi="Arial" w:cs="Arial" w:hint="eastAsia"/>
                <w:szCs w:val="21"/>
              </w:rPr>
              <w:t>ETF</w:t>
            </w:r>
          </w:p>
        </w:tc>
      </w:tr>
      <w:tr w:rsidR="0097788B">
        <w:trPr>
          <w:jc w:val="center"/>
        </w:trPr>
        <w:tc>
          <w:tcPr>
            <w:tcW w:w="2932" w:type="dxa"/>
            <w:vAlign w:val="center"/>
          </w:tcPr>
          <w:p w:rsidR="0097788B" w:rsidRDefault="00A60C11">
            <w:pPr>
              <w:jc w:val="left"/>
              <w:rPr>
                <w:rFonts w:ascii="Arial" w:hAnsi="Arial" w:cs="Arial"/>
                <w:szCs w:val="21"/>
              </w:rPr>
            </w:pPr>
            <w:r>
              <w:rPr>
                <w:rFonts w:ascii="宋体" w:hAnsi="宋体" w:hint="eastAsia"/>
              </w:rPr>
              <w:t>基金</w:t>
            </w:r>
            <w:r>
              <w:rPr>
                <w:rFonts w:ascii="宋体" w:hAnsi="宋体" w:hint="eastAsia"/>
              </w:rPr>
              <w:t>运作方式</w:t>
            </w:r>
          </w:p>
        </w:tc>
        <w:tc>
          <w:tcPr>
            <w:tcW w:w="5596" w:type="dxa"/>
            <w:vAlign w:val="center"/>
          </w:tcPr>
          <w:p w:rsidR="0097788B" w:rsidRDefault="00A60C11">
            <w:pPr>
              <w:jc w:val="left"/>
              <w:rPr>
                <w:rFonts w:ascii="Arial" w:hAnsi="Arial" w:cs="Arial"/>
                <w:szCs w:val="21"/>
              </w:rPr>
            </w:pPr>
            <w:r>
              <w:rPr>
                <w:rFonts w:ascii="Arial" w:hAnsi="Arial" w:cs="Arial" w:hint="eastAsia"/>
                <w:szCs w:val="21"/>
              </w:rPr>
              <w:t>交易型开放式</w:t>
            </w:r>
          </w:p>
        </w:tc>
      </w:tr>
      <w:tr w:rsidR="0097788B">
        <w:trPr>
          <w:jc w:val="center"/>
        </w:trPr>
        <w:tc>
          <w:tcPr>
            <w:tcW w:w="2932" w:type="dxa"/>
            <w:vAlign w:val="center"/>
          </w:tcPr>
          <w:p w:rsidR="0097788B" w:rsidRDefault="00A60C11">
            <w:pPr>
              <w:jc w:val="left"/>
              <w:rPr>
                <w:rFonts w:ascii="Arial" w:hAnsi="Arial" w:cs="Arial"/>
                <w:szCs w:val="21"/>
              </w:rPr>
            </w:pPr>
            <w:r>
              <w:rPr>
                <w:rFonts w:ascii="宋体" w:hAnsi="宋体" w:hint="eastAsia"/>
              </w:rPr>
              <w:t>基金</w:t>
            </w:r>
            <w:r>
              <w:rPr>
                <w:rFonts w:ascii="宋体" w:hAnsi="宋体" w:hint="eastAsia"/>
              </w:rPr>
              <w:t>合同生效日</w:t>
            </w:r>
          </w:p>
        </w:tc>
        <w:tc>
          <w:tcPr>
            <w:tcW w:w="5596" w:type="dxa"/>
            <w:vAlign w:val="center"/>
          </w:tcPr>
          <w:p w:rsidR="0097788B" w:rsidRDefault="00A60C11">
            <w:pPr>
              <w:jc w:val="left"/>
              <w:rPr>
                <w:rFonts w:ascii="Arial" w:hAnsi="Arial" w:cs="Arial"/>
                <w:szCs w:val="21"/>
              </w:rPr>
            </w:pPr>
            <w:r>
              <w:rPr>
                <w:rFonts w:ascii="Arial" w:hAnsi="Arial" w:cs="Arial" w:hint="eastAsia"/>
                <w:szCs w:val="21"/>
              </w:rPr>
              <w:t>2022</w:t>
            </w:r>
            <w:r>
              <w:rPr>
                <w:rFonts w:ascii="Arial" w:hAnsi="Arial" w:cs="Arial" w:hint="eastAsia"/>
                <w:szCs w:val="21"/>
              </w:rPr>
              <w:t>年</w:t>
            </w:r>
            <w:r>
              <w:rPr>
                <w:rFonts w:ascii="Arial" w:hAnsi="Arial" w:cs="Arial" w:hint="eastAsia"/>
                <w:szCs w:val="21"/>
              </w:rPr>
              <w:t>11</w:t>
            </w:r>
            <w:r>
              <w:rPr>
                <w:rFonts w:ascii="Arial" w:hAnsi="Arial" w:cs="Arial" w:hint="eastAsia"/>
                <w:szCs w:val="21"/>
              </w:rPr>
              <w:t>月</w:t>
            </w:r>
            <w:r>
              <w:rPr>
                <w:rFonts w:ascii="Arial" w:hAnsi="Arial" w:cs="Arial" w:hint="eastAsia"/>
                <w:szCs w:val="21"/>
              </w:rPr>
              <w:t>8</w:t>
            </w:r>
            <w:r>
              <w:rPr>
                <w:rFonts w:ascii="Arial" w:hAnsi="Arial" w:cs="Arial" w:hint="eastAsia"/>
                <w:szCs w:val="21"/>
              </w:rPr>
              <w:t>日</w:t>
            </w:r>
          </w:p>
        </w:tc>
      </w:tr>
      <w:tr w:rsidR="0097788B">
        <w:trPr>
          <w:jc w:val="center"/>
        </w:trPr>
        <w:tc>
          <w:tcPr>
            <w:tcW w:w="2932" w:type="dxa"/>
            <w:vAlign w:val="center"/>
          </w:tcPr>
          <w:p w:rsidR="0097788B" w:rsidRDefault="00A60C11">
            <w:pPr>
              <w:jc w:val="left"/>
              <w:rPr>
                <w:rFonts w:ascii="Arial" w:hAnsi="Arial" w:cs="Arial"/>
                <w:szCs w:val="21"/>
              </w:rPr>
            </w:pPr>
            <w:r>
              <w:rPr>
                <w:rFonts w:ascii="Arial" w:hAnsi="Arial" w:cs="Arial" w:hint="eastAsia"/>
                <w:szCs w:val="21"/>
              </w:rPr>
              <w:t>基金份额上市的证券交易所</w:t>
            </w:r>
          </w:p>
        </w:tc>
        <w:tc>
          <w:tcPr>
            <w:tcW w:w="5596" w:type="dxa"/>
            <w:vAlign w:val="center"/>
          </w:tcPr>
          <w:p w:rsidR="0097788B" w:rsidRDefault="00A60C11">
            <w:pPr>
              <w:jc w:val="left"/>
              <w:rPr>
                <w:rFonts w:ascii="Arial" w:hAnsi="Arial" w:cs="Arial"/>
                <w:szCs w:val="21"/>
              </w:rPr>
            </w:pPr>
            <w:r>
              <w:rPr>
                <w:rFonts w:ascii="Arial" w:hAnsi="Arial" w:cs="Arial" w:hint="eastAsia"/>
                <w:szCs w:val="21"/>
              </w:rPr>
              <w:t>上海证券交易所</w:t>
            </w:r>
          </w:p>
        </w:tc>
      </w:tr>
      <w:tr w:rsidR="0097788B">
        <w:trPr>
          <w:jc w:val="center"/>
        </w:trPr>
        <w:tc>
          <w:tcPr>
            <w:tcW w:w="2932" w:type="dxa"/>
            <w:vAlign w:val="center"/>
          </w:tcPr>
          <w:p w:rsidR="0097788B" w:rsidRDefault="00A60C11">
            <w:pPr>
              <w:jc w:val="left"/>
              <w:rPr>
                <w:rFonts w:ascii="Arial" w:hAnsi="Arial" w:cs="Arial"/>
                <w:szCs w:val="21"/>
              </w:rPr>
            </w:pPr>
            <w:r>
              <w:rPr>
                <w:rFonts w:ascii="宋体" w:hAnsi="宋体" w:hint="eastAsia"/>
              </w:rPr>
              <w:t>上市交易日</w:t>
            </w:r>
          </w:p>
        </w:tc>
        <w:tc>
          <w:tcPr>
            <w:tcW w:w="5596" w:type="dxa"/>
            <w:vAlign w:val="center"/>
          </w:tcPr>
          <w:p w:rsidR="0097788B" w:rsidRDefault="00A60C11">
            <w:pPr>
              <w:rPr>
                <w:rFonts w:ascii="Arial" w:hAnsi="Arial" w:cs="Arial"/>
                <w:szCs w:val="21"/>
              </w:rPr>
            </w:pPr>
            <w:r>
              <w:rPr>
                <w:rFonts w:ascii="Arial" w:hAnsi="Arial" w:cs="Arial" w:hint="eastAsia"/>
                <w:szCs w:val="21"/>
              </w:rPr>
              <w:t>2022</w:t>
            </w:r>
            <w:r>
              <w:rPr>
                <w:rFonts w:ascii="Arial" w:hAnsi="Arial" w:cs="Arial" w:hint="eastAsia"/>
                <w:szCs w:val="21"/>
              </w:rPr>
              <w:t>年</w:t>
            </w:r>
            <w:r>
              <w:rPr>
                <w:rFonts w:ascii="Arial" w:hAnsi="Arial" w:cs="Arial" w:hint="eastAsia"/>
                <w:szCs w:val="21"/>
              </w:rPr>
              <w:t>11</w:t>
            </w:r>
            <w:r>
              <w:rPr>
                <w:rFonts w:ascii="Arial" w:hAnsi="Arial" w:cs="Arial" w:hint="eastAsia"/>
                <w:szCs w:val="21"/>
              </w:rPr>
              <w:t>月</w:t>
            </w:r>
            <w:r>
              <w:rPr>
                <w:rFonts w:ascii="Arial" w:hAnsi="Arial" w:cs="Arial" w:hint="eastAsia"/>
                <w:szCs w:val="21"/>
              </w:rPr>
              <w:t>25</w:t>
            </w:r>
            <w:r>
              <w:rPr>
                <w:rFonts w:ascii="Arial" w:hAnsi="Arial" w:cs="Arial" w:hint="eastAsia"/>
                <w:szCs w:val="21"/>
              </w:rPr>
              <w:t>日</w:t>
            </w:r>
          </w:p>
        </w:tc>
      </w:tr>
      <w:tr w:rsidR="0097788B">
        <w:trPr>
          <w:jc w:val="center"/>
        </w:trPr>
        <w:tc>
          <w:tcPr>
            <w:tcW w:w="2932" w:type="dxa"/>
            <w:vAlign w:val="center"/>
          </w:tcPr>
          <w:p w:rsidR="0097788B" w:rsidRDefault="00A60C11">
            <w:pPr>
              <w:jc w:val="left"/>
              <w:rPr>
                <w:rFonts w:ascii="宋体" w:hAnsi="宋体"/>
              </w:rPr>
            </w:pPr>
            <w:r>
              <w:rPr>
                <w:rFonts w:ascii="宋体" w:hAnsi="宋体" w:hint="eastAsia"/>
              </w:rPr>
              <w:t>终止上市日</w:t>
            </w:r>
          </w:p>
        </w:tc>
        <w:tc>
          <w:tcPr>
            <w:tcW w:w="5596" w:type="dxa"/>
            <w:vAlign w:val="center"/>
          </w:tcPr>
          <w:p w:rsidR="0097788B" w:rsidRDefault="00A60C11">
            <w:pPr>
              <w:rPr>
                <w:rFonts w:ascii="Arial" w:hAnsi="Arial" w:cs="Arial"/>
                <w:szCs w:val="21"/>
              </w:rPr>
            </w:pPr>
            <w:r>
              <w:rPr>
                <w:rFonts w:ascii="Arial" w:hAnsi="Arial" w:cs="Arial" w:hint="eastAsia"/>
                <w:szCs w:val="21"/>
              </w:rPr>
              <w:t>2024</w:t>
            </w:r>
            <w:r>
              <w:rPr>
                <w:rFonts w:ascii="Arial" w:hAnsi="Arial" w:cs="Arial" w:hint="eastAsia"/>
                <w:szCs w:val="21"/>
              </w:rPr>
              <w:t>年</w:t>
            </w:r>
            <w:r>
              <w:rPr>
                <w:rFonts w:ascii="Arial" w:hAnsi="Arial" w:cs="Arial" w:hint="eastAsia"/>
                <w:szCs w:val="21"/>
              </w:rPr>
              <w:t xml:space="preserve"> 9 </w:t>
            </w:r>
            <w:r>
              <w:rPr>
                <w:rFonts w:ascii="Arial" w:hAnsi="Arial" w:cs="Arial" w:hint="eastAsia"/>
                <w:szCs w:val="21"/>
              </w:rPr>
              <w:t>月</w:t>
            </w:r>
            <w:r>
              <w:rPr>
                <w:rFonts w:ascii="Arial" w:hAnsi="Arial" w:cs="Arial" w:hint="eastAsia"/>
                <w:szCs w:val="21"/>
              </w:rPr>
              <w:t>20</w:t>
            </w:r>
            <w:r>
              <w:rPr>
                <w:rFonts w:ascii="Arial" w:hAnsi="Arial" w:cs="Arial" w:hint="eastAsia"/>
                <w:szCs w:val="21"/>
              </w:rPr>
              <w:t>日</w:t>
            </w:r>
          </w:p>
        </w:tc>
      </w:tr>
    </w:tbl>
    <w:p w:rsidR="0097788B" w:rsidRDefault="0097788B">
      <w:pPr>
        <w:adjustRightInd w:val="0"/>
        <w:snapToGrid w:val="0"/>
        <w:spacing w:line="360" w:lineRule="auto"/>
        <w:rPr>
          <w:rFonts w:ascii="Arial" w:eastAsia="宋体" w:hAnsi="宋体" w:cs="Arial"/>
          <w:color w:val="000000"/>
          <w:szCs w:val="21"/>
        </w:rPr>
      </w:pPr>
    </w:p>
    <w:p w:rsidR="0097788B" w:rsidRDefault="00A60C11" w:rsidP="00A60C11">
      <w:pPr>
        <w:pStyle w:val="a6"/>
        <w:numPr>
          <w:ilvl w:val="0"/>
          <w:numId w:val="1"/>
        </w:numPr>
        <w:adjustRightInd w:val="0"/>
        <w:snapToGrid w:val="0"/>
        <w:spacing w:beforeLines="50" w:afterLines="50" w:line="360" w:lineRule="auto"/>
        <w:ind w:left="947" w:firstLineChars="0" w:hanging="527"/>
        <w:rPr>
          <w:b/>
        </w:rPr>
        <w:pPrChange w:id="2" w:author="ZHONGM" w:date="2024-09-12T00:03:00Z">
          <w:pPr>
            <w:pStyle w:val="a6"/>
            <w:numPr>
              <w:numId w:val="1"/>
            </w:numPr>
            <w:adjustRightInd w:val="0"/>
            <w:snapToGrid w:val="0"/>
            <w:spacing w:beforeLines="50" w:afterLines="50" w:line="360" w:lineRule="auto"/>
            <w:ind w:left="947" w:firstLineChars="0" w:hanging="527"/>
          </w:pPr>
        </w:pPrChange>
      </w:pPr>
      <w:r>
        <w:rPr>
          <w:b/>
        </w:rPr>
        <w:t>有关基金终止上市决定的主要内容</w:t>
      </w:r>
    </w:p>
    <w:p w:rsidR="0097788B" w:rsidRDefault="00A60C11">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根据《基金合同》第五部分“基金备案”之“三、基金存续期内的基金份额持有人数量和资产规模”的约定：“基金合同生效后，连续</w:t>
      </w:r>
      <w:r>
        <w:rPr>
          <w:rFonts w:ascii="Arial" w:hAnsi="宋体" w:cs="Arial" w:hint="eastAsia"/>
          <w:color w:val="000000"/>
          <w:szCs w:val="21"/>
        </w:rPr>
        <w:t>20</w:t>
      </w:r>
      <w:r>
        <w:rPr>
          <w:rFonts w:ascii="Arial" w:hAnsi="宋体" w:cs="Arial" w:hint="eastAsia"/>
          <w:color w:val="000000"/>
          <w:szCs w:val="21"/>
        </w:rPr>
        <w:t>个工作日出现基金份额持有人数量不满</w:t>
      </w:r>
      <w:r>
        <w:rPr>
          <w:rFonts w:ascii="Arial" w:hAnsi="宋体" w:cs="Arial" w:hint="eastAsia"/>
          <w:color w:val="000000"/>
          <w:szCs w:val="21"/>
        </w:rPr>
        <w:t>200</w:t>
      </w:r>
      <w:r>
        <w:rPr>
          <w:rFonts w:ascii="Arial" w:hAnsi="宋体" w:cs="Arial" w:hint="eastAsia"/>
          <w:color w:val="000000"/>
          <w:szCs w:val="21"/>
        </w:rPr>
        <w:t>人或者基金资产净值低于</w:t>
      </w:r>
      <w:r>
        <w:rPr>
          <w:rFonts w:ascii="Arial" w:hAnsi="宋体" w:cs="Arial" w:hint="eastAsia"/>
          <w:color w:val="000000"/>
          <w:szCs w:val="21"/>
        </w:rPr>
        <w:t>5000</w:t>
      </w:r>
      <w:r>
        <w:rPr>
          <w:rFonts w:ascii="Arial" w:hAnsi="宋体" w:cs="Arial" w:hint="eastAsia"/>
          <w:color w:val="000000"/>
          <w:szCs w:val="21"/>
        </w:rPr>
        <w:t>万元情形的，基金管理人应当在定期报告中予以披露；连续</w:t>
      </w:r>
      <w:r>
        <w:rPr>
          <w:rFonts w:ascii="Arial" w:hAnsi="宋体" w:cs="Arial" w:hint="eastAsia"/>
          <w:color w:val="000000"/>
          <w:szCs w:val="21"/>
        </w:rPr>
        <w:t>50</w:t>
      </w:r>
      <w:r>
        <w:rPr>
          <w:rFonts w:ascii="Arial" w:hAnsi="宋体" w:cs="Arial" w:hint="eastAsia"/>
          <w:color w:val="000000"/>
          <w:szCs w:val="21"/>
        </w:rPr>
        <w:t>个工作日出现前述情形的，本基金将根据基金合同的约定进行基金财产清算并终止，</w:t>
      </w:r>
      <w:r>
        <w:rPr>
          <w:rFonts w:ascii="Arial" w:hAnsi="Arial" w:cs="Arial" w:hint="eastAsia"/>
          <w:color w:val="000000"/>
          <w:szCs w:val="21"/>
        </w:rPr>
        <w:t>且无需召开基金份额持有人大会，同时基金管理人应履行相关的监管报告和信息披露程序</w:t>
      </w:r>
      <w:r>
        <w:rPr>
          <w:rFonts w:ascii="Arial" w:hAnsi="宋体" w:cs="Arial" w:hint="eastAsia"/>
          <w:color w:val="000000"/>
          <w:szCs w:val="21"/>
        </w:rPr>
        <w:t>。”截至</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7</w:t>
      </w:r>
      <w:r>
        <w:rPr>
          <w:rFonts w:ascii="Arial" w:hAnsi="宋体" w:cs="Arial" w:hint="eastAsia"/>
          <w:color w:val="000000"/>
          <w:szCs w:val="21"/>
        </w:rPr>
        <w:t>月</w:t>
      </w:r>
      <w:r>
        <w:rPr>
          <w:rFonts w:ascii="Arial" w:hAnsi="宋体" w:cs="Arial" w:hint="eastAsia"/>
          <w:color w:val="000000"/>
          <w:szCs w:val="21"/>
        </w:rPr>
        <w:t>19</w:t>
      </w:r>
      <w:r>
        <w:rPr>
          <w:rFonts w:ascii="Arial" w:hAnsi="宋体" w:cs="Arial" w:hint="eastAsia"/>
          <w:color w:val="000000"/>
          <w:szCs w:val="21"/>
        </w:rPr>
        <w:t>日日终，本基金已经触发</w:t>
      </w:r>
      <w:r>
        <w:rPr>
          <w:rFonts w:ascii="Arial" w:hAnsi="Arial" w:cs="Arial" w:hint="eastAsia"/>
          <w:color w:val="000000"/>
          <w:szCs w:val="21"/>
        </w:rPr>
        <w:t>《</w:t>
      </w:r>
      <w:r>
        <w:rPr>
          <w:rFonts w:ascii="Arial" w:hAnsi="Arial" w:cs="Arial"/>
          <w:color w:val="000000"/>
          <w:szCs w:val="21"/>
        </w:rPr>
        <w:t>基金合同</w:t>
      </w:r>
      <w:r>
        <w:rPr>
          <w:rFonts w:ascii="Arial" w:hAnsi="Arial" w:cs="Arial" w:hint="eastAsia"/>
          <w:color w:val="000000"/>
          <w:szCs w:val="21"/>
        </w:rPr>
        <w:t>》</w:t>
      </w:r>
      <w:r>
        <w:rPr>
          <w:rFonts w:ascii="Arial" w:hAnsi="Arial" w:cs="Arial"/>
          <w:color w:val="000000"/>
          <w:szCs w:val="21"/>
        </w:rPr>
        <w:t>中约定的基金终止条款</w:t>
      </w:r>
      <w:r>
        <w:rPr>
          <w:rFonts w:ascii="Arial" w:hAnsi="宋体" w:cs="Arial" w:hint="eastAsia"/>
          <w:color w:val="000000"/>
          <w:szCs w:val="21"/>
        </w:rPr>
        <w:t>，基金管理人</w:t>
      </w:r>
      <w:r>
        <w:rPr>
          <w:rFonts w:ascii="Arial" w:hAnsi="Arial" w:cs="Arial"/>
          <w:color w:val="000000"/>
          <w:szCs w:val="21"/>
        </w:rPr>
        <w:t>依据基金财产清算程序对本基金进行财产清算并终止基金合同</w:t>
      </w:r>
      <w:r>
        <w:rPr>
          <w:rFonts w:ascii="Arial" w:hAnsi="宋体" w:cs="Arial" w:hint="eastAsia"/>
          <w:color w:val="000000"/>
          <w:szCs w:val="21"/>
        </w:rPr>
        <w:t>。</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7</w:t>
      </w:r>
      <w:r>
        <w:rPr>
          <w:rFonts w:ascii="Arial" w:hAnsi="宋体" w:cs="Arial" w:hint="eastAsia"/>
          <w:color w:val="000000"/>
          <w:szCs w:val="21"/>
        </w:rPr>
        <w:t>月</w:t>
      </w:r>
      <w:r>
        <w:rPr>
          <w:rFonts w:ascii="Arial" w:hAnsi="宋体" w:cs="Arial" w:hint="eastAsia"/>
          <w:color w:val="000000"/>
          <w:szCs w:val="21"/>
        </w:rPr>
        <w:t>2</w:t>
      </w:r>
      <w:r>
        <w:rPr>
          <w:rFonts w:ascii="Arial" w:hAnsi="宋体" w:cs="Arial" w:hint="eastAsia"/>
          <w:color w:val="000000"/>
          <w:szCs w:val="21"/>
        </w:rPr>
        <w:t>5</w:t>
      </w:r>
      <w:r>
        <w:rPr>
          <w:rFonts w:ascii="Arial" w:hAnsi="宋体" w:cs="Arial" w:hint="eastAsia"/>
          <w:color w:val="000000"/>
          <w:szCs w:val="21"/>
        </w:rPr>
        <w:t>日为本基金最后运作日，自</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7</w:t>
      </w:r>
      <w:r>
        <w:rPr>
          <w:rFonts w:ascii="Arial" w:hAnsi="宋体" w:cs="Arial" w:hint="eastAsia"/>
          <w:color w:val="000000"/>
          <w:szCs w:val="21"/>
        </w:rPr>
        <w:t>月</w:t>
      </w:r>
      <w:r>
        <w:rPr>
          <w:rFonts w:ascii="Arial" w:hAnsi="宋体" w:cs="Arial" w:hint="eastAsia"/>
          <w:color w:val="000000"/>
          <w:szCs w:val="21"/>
        </w:rPr>
        <w:t>2</w:t>
      </w:r>
      <w:r>
        <w:rPr>
          <w:rFonts w:ascii="Arial" w:hAnsi="宋体" w:cs="Arial" w:hint="eastAsia"/>
          <w:color w:val="000000"/>
          <w:szCs w:val="21"/>
        </w:rPr>
        <w:t>6</w:t>
      </w:r>
      <w:r>
        <w:rPr>
          <w:rFonts w:ascii="Arial" w:hAnsi="宋体" w:cs="Arial" w:hint="eastAsia"/>
          <w:color w:val="000000"/>
          <w:szCs w:val="21"/>
        </w:rPr>
        <w:t>日起，本基金进入清算程序，清算期间为</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7</w:t>
      </w:r>
      <w:r>
        <w:rPr>
          <w:rFonts w:ascii="Arial" w:hAnsi="宋体" w:cs="Arial" w:hint="eastAsia"/>
          <w:color w:val="000000"/>
          <w:szCs w:val="21"/>
        </w:rPr>
        <w:t>月</w:t>
      </w:r>
      <w:r>
        <w:rPr>
          <w:rFonts w:ascii="Arial" w:hAnsi="宋体" w:cs="Arial" w:hint="eastAsia"/>
          <w:color w:val="000000"/>
          <w:szCs w:val="21"/>
        </w:rPr>
        <w:t>2</w:t>
      </w:r>
      <w:r>
        <w:rPr>
          <w:rFonts w:ascii="Arial" w:hAnsi="宋体" w:cs="Arial" w:hint="eastAsia"/>
          <w:color w:val="000000"/>
          <w:szCs w:val="21"/>
        </w:rPr>
        <w:t>6</w:t>
      </w:r>
      <w:r>
        <w:rPr>
          <w:rFonts w:ascii="Arial" w:hAnsi="宋体" w:cs="Arial" w:hint="eastAsia"/>
          <w:color w:val="000000"/>
          <w:szCs w:val="21"/>
        </w:rPr>
        <w:t>日至</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8</w:t>
      </w:r>
      <w:r>
        <w:rPr>
          <w:rFonts w:ascii="Arial" w:hAnsi="宋体" w:cs="Arial" w:hint="eastAsia"/>
          <w:color w:val="000000"/>
          <w:szCs w:val="21"/>
        </w:rPr>
        <w:t>月</w:t>
      </w:r>
      <w:r>
        <w:rPr>
          <w:rFonts w:ascii="Arial" w:hAnsi="宋体" w:cs="Arial" w:hint="eastAsia"/>
          <w:color w:val="000000"/>
          <w:szCs w:val="21"/>
        </w:rPr>
        <w:t>16</w:t>
      </w:r>
      <w:r>
        <w:rPr>
          <w:rFonts w:ascii="Arial" w:hAnsi="宋体" w:cs="Arial" w:hint="eastAsia"/>
          <w:color w:val="000000"/>
          <w:szCs w:val="21"/>
        </w:rPr>
        <w:t>日。</w:t>
      </w:r>
    </w:p>
    <w:p w:rsidR="0097788B" w:rsidRDefault="00A60C11">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本基金管理人于</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7</w:t>
      </w:r>
      <w:r>
        <w:rPr>
          <w:rFonts w:ascii="Arial" w:hAnsi="宋体" w:cs="Arial" w:hint="eastAsia"/>
          <w:color w:val="000000"/>
          <w:szCs w:val="21"/>
        </w:rPr>
        <w:t>月</w:t>
      </w:r>
      <w:r>
        <w:rPr>
          <w:rFonts w:ascii="Arial" w:hAnsi="宋体" w:cs="Arial" w:hint="eastAsia"/>
          <w:color w:val="000000"/>
          <w:szCs w:val="21"/>
        </w:rPr>
        <w:t>20</w:t>
      </w:r>
      <w:r>
        <w:rPr>
          <w:rFonts w:ascii="Arial" w:hAnsi="宋体" w:cs="Arial" w:hint="eastAsia"/>
          <w:color w:val="000000"/>
          <w:szCs w:val="21"/>
        </w:rPr>
        <w:t>日发布了《博时基金管理有限公司关于博时中证疫苗</w:t>
      </w:r>
      <w:r>
        <w:rPr>
          <w:rFonts w:ascii="Arial" w:hAnsi="宋体" w:cs="Arial" w:hint="eastAsia"/>
          <w:color w:val="000000"/>
          <w:szCs w:val="21"/>
        </w:rPr>
        <w:lastRenderedPageBreak/>
        <w:t>与生物技术交易型开放式指数证券投资基金基金合同终止及基金财产清算的公告》，于</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8</w:t>
      </w:r>
      <w:r>
        <w:rPr>
          <w:rFonts w:ascii="Arial" w:hAnsi="宋体" w:cs="Arial" w:hint="eastAsia"/>
          <w:color w:val="000000"/>
          <w:szCs w:val="21"/>
        </w:rPr>
        <w:t>月</w:t>
      </w:r>
      <w:r>
        <w:rPr>
          <w:rFonts w:ascii="Arial" w:hAnsi="宋体" w:cs="Arial" w:hint="eastAsia"/>
          <w:color w:val="000000"/>
          <w:szCs w:val="21"/>
        </w:rPr>
        <w:t>30</w:t>
      </w:r>
      <w:r>
        <w:rPr>
          <w:rFonts w:ascii="Arial" w:hAnsi="宋体" w:cs="Arial" w:hint="eastAsia"/>
          <w:color w:val="000000"/>
          <w:szCs w:val="21"/>
        </w:rPr>
        <w:t>日发布了《博时中证疫苗与生物技术交易型开放式指数证</w:t>
      </w:r>
      <w:r>
        <w:rPr>
          <w:rFonts w:ascii="Arial" w:hAnsi="宋体" w:cs="Arial" w:hint="eastAsia"/>
          <w:color w:val="000000"/>
          <w:szCs w:val="21"/>
        </w:rPr>
        <w:t>券投资基金清算报告》，于</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9</w:t>
      </w:r>
      <w:r>
        <w:rPr>
          <w:rFonts w:ascii="Arial" w:hAnsi="宋体" w:cs="Arial" w:hint="eastAsia"/>
          <w:color w:val="000000"/>
          <w:szCs w:val="21"/>
        </w:rPr>
        <w:t>月</w:t>
      </w:r>
      <w:r>
        <w:rPr>
          <w:rFonts w:ascii="Arial" w:hAnsi="宋体" w:cs="Arial" w:hint="eastAsia"/>
          <w:color w:val="000000"/>
          <w:szCs w:val="21"/>
        </w:rPr>
        <w:t>3</w:t>
      </w:r>
      <w:r>
        <w:rPr>
          <w:rFonts w:ascii="Arial" w:hAnsi="宋体" w:cs="Arial" w:hint="eastAsia"/>
          <w:color w:val="000000"/>
          <w:szCs w:val="21"/>
        </w:rPr>
        <w:t>日发布了《关于博时中证疫苗与生物技术交易型开放式指数证券投资基金剩余财产分配的公告》，于</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9</w:t>
      </w:r>
      <w:r>
        <w:rPr>
          <w:rFonts w:ascii="Arial" w:hAnsi="宋体" w:cs="Arial" w:hint="eastAsia"/>
          <w:color w:val="000000"/>
          <w:szCs w:val="21"/>
        </w:rPr>
        <w:t>月</w:t>
      </w:r>
      <w:r>
        <w:rPr>
          <w:rFonts w:ascii="Arial" w:hAnsi="宋体" w:cs="Arial" w:hint="eastAsia"/>
          <w:color w:val="000000"/>
          <w:szCs w:val="21"/>
        </w:rPr>
        <w:t>11</w:t>
      </w:r>
      <w:r>
        <w:rPr>
          <w:rFonts w:ascii="Arial" w:hAnsi="宋体" w:cs="Arial" w:hint="eastAsia"/>
          <w:color w:val="000000"/>
          <w:szCs w:val="21"/>
        </w:rPr>
        <w:t>日发放清算资金。基金管理人根据相关规定已向上海证券交易所申请本基金终止上市，并获得上海证券交易所同意，终止上市日为</w:t>
      </w:r>
      <w:r>
        <w:rPr>
          <w:rFonts w:ascii="Arial" w:hAnsi="宋体" w:cs="Arial" w:hint="eastAsia"/>
          <w:color w:val="000000"/>
          <w:szCs w:val="21"/>
        </w:rPr>
        <w:t>2024</w:t>
      </w:r>
      <w:r>
        <w:rPr>
          <w:rFonts w:ascii="Arial" w:hAnsi="宋体" w:cs="Arial" w:hint="eastAsia"/>
          <w:color w:val="000000"/>
          <w:szCs w:val="21"/>
        </w:rPr>
        <w:t>年</w:t>
      </w:r>
      <w:r>
        <w:rPr>
          <w:rFonts w:ascii="Arial" w:hAnsi="宋体" w:cs="Arial" w:hint="eastAsia"/>
          <w:color w:val="000000"/>
          <w:szCs w:val="21"/>
        </w:rPr>
        <w:t>9</w:t>
      </w:r>
      <w:r>
        <w:rPr>
          <w:rFonts w:ascii="Arial" w:hAnsi="宋体" w:cs="Arial" w:hint="eastAsia"/>
          <w:color w:val="000000"/>
          <w:szCs w:val="21"/>
        </w:rPr>
        <w:t>月</w:t>
      </w:r>
      <w:r>
        <w:rPr>
          <w:rFonts w:ascii="Arial" w:hAnsi="宋体" w:cs="Arial" w:hint="eastAsia"/>
          <w:color w:val="000000"/>
          <w:szCs w:val="21"/>
        </w:rPr>
        <w:t>20</w:t>
      </w:r>
      <w:r>
        <w:rPr>
          <w:rFonts w:ascii="Arial" w:hAnsi="宋体" w:cs="Arial" w:hint="eastAsia"/>
          <w:color w:val="000000"/>
          <w:szCs w:val="21"/>
        </w:rPr>
        <w:t>日。</w:t>
      </w:r>
    </w:p>
    <w:p w:rsidR="0097788B" w:rsidRDefault="00A60C11" w:rsidP="00A60C11">
      <w:pPr>
        <w:pStyle w:val="a6"/>
        <w:numPr>
          <w:ilvl w:val="0"/>
          <w:numId w:val="1"/>
        </w:numPr>
        <w:adjustRightInd w:val="0"/>
        <w:snapToGrid w:val="0"/>
        <w:spacing w:beforeLines="50" w:afterLines="50" w:line="360" w:lineRule="auto"/>
        <w:ind w:left="947" w:firstLineChars="0" w:hanging="527"/>
        <w:rPr>
          <w:b/>
        </w:rPr>
        <w:pPrChange w:id="3" w:author="ZHONGM" w:date="2024-09-12T00:03:00Z">
          <w:pPr>
            <w:pStyle w:val="a6"/>
            <w:numPr>
              <w:numId w:val="1"/>
            </w:numPr>
            <w:adjustRightInd w:val="0"/>
            <w:snapToGrid w:val="0"/>
            <w:spacing w:beforeLines="50" w:afterLines="50" w:line="360" w:lineRule="auto"/>
            <w:ind w:left="947" w:firstLineChars="0" w:hanging="527"/>
          </w:pPr>
        </w:pPrChange>
      </w:pPr>
      <w:r>
        <w:rPr>
          <w:rFonts w:hint="eastAsia"/>
          <w:b/>
        </w:rPr>
        <w:t>基金终止上市后续事项说明</w:t>
      </w:r>
    </w:p>
    <w:p w:rsidR="0097788B" w:rsidRDefault="00A60C11">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本基金终止上市后，基金管理人将按照中国证券登记结算有限责任公司上海分公司的规定办理基金退出登记等业务。</w:t>
      </w:r>
    </w:p>
    <w:p w:rsidR="0097788B" w:rsidRDefault="00A60C11">
      <w:pPr>
        <w:adjustRightInd w:val="0"/>
        <w:snapToGrid w:val="0"/>
        <w:spacing w:line="360" w:lineRule="auto"/>
        <w:ind w:firstLineChars="200" w:firstLine="420"/>
        <w:rPr>
          <w:rFonts w:ascii="Arial" w:eastAsia="宋体" w:hAnsi="Arial" w:cs="Arial"/>
          <w:color w:val="000000"/>
          <w:szCs w:val="21"/>
        </w:rPr>
      </w:pPr>
      <w:r>
        <w:rPr>
          <w:rFonts w:ascii="Arial" w:eastAsia="宋体" w:hAnsi="宋体" w:cs="Arial"/>
          <w:color w:val="000000"/>
          <w:szCs w:val="21"/>
        </w:rPr>
        <w:t>本基金份额持有人及希望了解本基金其他有关信息的投资者，可以登录本基金管理人网站（</w:t>
      </w:r>
      <w:r>
        <w:rPr>
          <w:rFonts w:ascii="Arial" w:eastAsia="宋体" w:hAnsi="Arial" w:cs="Arial"/>
          <w:color w:val="000000"/>
          <w:szCs w:val="21"/>
        </w:rPr>
        <w:t>http://www.bosera.com</w:t>
      </w:r>
      <w:r>
        <w:rPr>
          <w:rFonts w:ascii="Arial" w:eastAsia="宋体" w:hAnsi="宋体" w:cs="Arial"/>
          <w:color w:val="000000"/>
          <w:szCs w:val="21"/>
        </w:rPr>
        <w:t>）或拨打博时一线通</w:t>
      </w:r>
      <w:r>
        <w:rPr>
          <w:rFonts w:ascii="Arial" w:eastAsia="宋体" w:hAnsi="Arial" w:cs="Arial"/>
          <w:color w:val="000000"/>
          <w:szCs w:val="21"/>
        </w:rPr>
        <w:t>95105568</w:t>
      </w:r>
      <w:r>
        <w:rPr>
          <w:rFonts w:ascii="Arial" w:eastAsia="宋体" w:hAnsi="宋体" w:cs="Arial"/>
          <w:color w:val="000000"/>
          <w:szCs w:val="21"/>
        </w:rPr>
        <w:t>（免长途费）咨询相关事宜。</w:t>
      </w:r>
    </w:p>
    <w:p w:rsidR="0097788B" w:rsidRDefault="0097788B">
      <w:pPr>
        <w:adjustRightInd w:val="0"/>
        <w:snapToGrid w:val="0"/>
        <w:spacing w:line="360" w:lineRule="auto"/>
        <w:ind w:firstLineChars="200" w:firstLine="420"/>
        <w:rPr>
          <w:rFonts w:ascii="Arial" w:eastAsia="宋体" w:hAnsi="宋体" w:cs="Arial"/>
          <w:color w:val="000000"/>
          <w:szCs w:val="21"/>
        </w:rPr>
      </w:pPr>
    </w:p>
    <w:p w:rsidR="0097788B" w:rsidRDefault="0097788B">
      <w:pPr>
        <w:adjustRightInd w:val="0"/>
        <w:snapToGrid w:val="0"/>
        <w:spacing w:line="360" w:lineRule="auto"/>
        <w:ind w:firstLineChars="200" w:firstLine="420"/>
        <w:rPr>
          <w:rFonts w:ascii="Arial" w:eastAsia="宋体" w:hAnsi="宋体" w:cs="Arial"/>
          <w:color w:val="000000"/>
          <w:szCs w:val="21"/>
        </w:rPr>
      </w:pPr>
    </w:p>
    <w:p w:rsidR="0097788B" w:rsidRDefault="00A60C11">
      <w:pPr>
        <w:adjustRightInd w:val="0"/>
        <w:snapToGrid w:val="0"/>
        <w:spacing w:line="360" w:lineRule="auto"/>
        <w:ind w:firstLineChars="200" w:firstLine="420"/>
        <w:rPr>
          <w:rFonts w:ascii="Arial" w:eastAsia="宋体" w:hAnsi="Arial" w:cs="Arial"/>
          <w:color w:val="000000"/>
          <w:szCs w:val="21"/>
        </w:rPr>
      </w:pPr>
      <w:r>
        <w:rPr>
          <w:rFonts w:ascii="Arial" w:eastAsia="宋体" w:hAnsi="宋体" w:cs="Arial"/>
          <w:color w:val="000000"/>
          <w:szCs w:val="21"/>
        </w:rPr>
        <w:t>特此公告。</w:t>
      </w:r>
    </w:p>
    <w:p w:rsidR="0097788B" w:rsidRDefault="0097788B">
      <w:pPr>
        <w:adjustRightInd w:val="0"/>
        <w:snapToGrid w:val="0"/>
        <w:spacing w:line="360" w:lineRule="auto"/>
        <w:ind w:firstLineChars="200" w:firstLine="420"/>
        <w:rPr>
          <w:rFonts w:ascii="Arial" w:eastAsia="宋体" w:hAnsi="Arial" w:cs="Arial"/>
          <w:color w:val="000000"/>
          <w:szCs w:val="21"/>
        </w:rPr>
      </w:pPr>
    </w:p>
    <w:p w:rsidR="0097788B" w:rsidRDefault="0097788B">
      <w:pPr>
        <w:adjustRightInd w:val="0"/>
        <w:snapToGrid w:val="0"/>
        <w:spacing w:line="360" w:lineRule="auto"/>
        <w:ind w:firstLineChars="200" w:firstLine="420"/>
        <w:rPr>
          <w:rFonts w:ascii="Arial" w:eastAsia="宋体" w:hAnsi="Arial" w:cs="Arial"/>
          <w:color w:val="000000"/>
          <w:szCs w:val="21"/>
        </w:rPr>
      </w:pPr>
    </w:p>
    <w:p w:rsidR="0097788B" w:rsidRDefault="00A60C11">
      <w:pPr>
        <w:spacing w:line="360" w:lineRule="auto"/>
        <w:ind w:firstLineChars="200" w:firstLine="420"/>
        <w:jc w:val="right"/>
        <w:rPr>
          <w:rFonts w:ascii="Arial" w:eastAsia="宋体" w:hAnsi="Arial" w:cs="Arial"/>
          <w:color w:val="000000"/>
          <w:szCs w:val="21"/>
        </w:rPr>
      </w:pPr>
      <w:r>
        <w:rPr>
          <w:rFonts w:ascii="Arial" w:eastAsia="宋体" w:hAnsi="宋体" w:cs="Arial"/>
          <w:color w:val="000000"/>
          <w:szCs w:val="21"/>
        </w:rPr>
        <w:t>博时基金管理有限公司</w:t>
      </w:r>
    </w:p>
    <w:p w:rsidR="0097788B" w:rsidRDefault="00A60C11">
      <w:pPr>
        <w:jc w:val="right"/>
        <w:rPr>
          <w:rFonts w:ascii="Arial" w:eastAsia="宋体" w:hAnsi="Arial" w:cs="Arial"/>
          <w:szCs w:val="21"/>
        </w:rPr>
      </w:pPr>
      <w:r>
        <w:rPr>
          <w:rFonts w:ascii="Arial" w:eastAsia="宋体" w:hAnsi="Arial" w:cs="Arial"/>
          <w:color w:val="000000"/>
          <w:szCs w:val="21"/>
        </w:rPr>
        <w:t>20</w:t>
      </w:r>
      <w:r>
        <w:rPr>
          <w:rFonts w:ascii="Arial" w:eastAsia="宋体" w:hAnsi="Arial" w:cs="Arial" w:hint="eastAsia"/>
          <w:color w:val="000000"/>
          <w:szCs w:val="21"/>
        </w:rPr>
        <w:t>24</w:t>
      </w:r>
      <w:r>
        <w:rPr>
          <w:rFonts w:ascii="Arial" w:eastAsia="宋体" w:hAnsi="Arial" w:cs="Arial"/>
          <w:color w:val="000000"/>
          <w:szCs w:val="21"/>
        </w:rPr>
        <w:t>年</w:t>
      </w:r>
      <w:r>
        <w:rPr>
          <w:rFonts w:ascii="Arial" w:eastAsia="宋体" w:hAnsi="Arial" w:cs="Arial" w:hint="eastAsia"/>
          <w:color w:val="000000"/>
          <w:szCs w:val="21"/>
        </w:rPr>
        <w:t>9</w:t>
      </w:r>
      <w:r>
        <w:rPr>
          <w:rFonts w:ascii="Arial" w:eastAsia="宋体" w:hAnsi="Arial" w:cs="Arial"/>
          <w:color w:val="000000"/>
          <w:szCs w:val="21"/>
        </w:rPr>
        <w:t>月</w:t>
      </w:r>
      <w:r>
        <w:rPr>
          <w:rFonts w:ascii="Arial" w:eastAsia="宋体" w:hAnsi="Arial" w:cs="Arial" w:hint="eastAsia"/>
          <w:color w:val="000000"/>
          <w:szCs w:val="21"/>
        </w:rPr>
        <w:t>12</w:t>
      </w:r>
      <w:r>
        <w:rPr>
          <w:rFonts w:ascii="Arial" w:eastAsia="宋体" w:hAnsi="Arial" w:cs="Arial"/>
          <w:color w:val="000000"/>
          <w:szCs w:val="21"/>
        </w:rPr>
        <w:t>日</w:t>
      </w:r>
    </w:p>
    <w:p w:rsidR="0097788B" w:rsidRDefault="0097788B">
      <w:pPr>
        <w:adjustRightInd w:val="0"/>
        <w:snapToGrid w:val="0"/>
        <w:spacing w:line="360" w:lineRule="auto"/>
        <w:ind w:left="420"/>
        <w:rPr>
          <w:rFonts w:ascii="Arial" w:eastAsia="宋体" w:hAnsi="宋体" w:cs="Arial"/>
          <w:color w:val="000000"/>
          <w:szCs w:val="21"/>
        </w:rPr>
      </w:pPr>
    </w:p>
    <w:sectPr w:rsidR="0097788B" w:rsidSect="009778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34165"/>
    <w:multiLevelType w:val="multilevel"/>
    <w:tmpl w:val="2BA34165"/>
    <w:lvl w:ilvl="0">
      <w:start w:val="1"/>
      <w:numFmt w:val="japaneseCounting"/>
      <w:lvlText w:val="%1、"/>
      <w:lvlJc w:val="left"/>
      <w:pPr>
        <w:ind w:left="948" w:hanging="528"/>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1A0767"/>
    <w:rsid w:val="00027487"/>
    <w:rsid w:val="001377ED"/>
    <w:rsid w:val="00156A26"/>
    <w:rsid w:val="00175AF2"/>
    <w:rsid w:val="001A0767"/>
    <w:rsid w:val="003B636C"/>
    <w:rsid w:val="003E23D5"/>
    <w:rsid w:val="00427C8A"/>
    <w:rsid w:val="004718A2"/>
    <w:rsid w:val="005662C4"/>
    <w:rsid w:val="005D468C"/>
    <w:rsid w:val="00674AE7"/>
    <w:rsid w:val="00676328"/>
    <w:rsid w:val="006D3A2F"/>
    <w:rsid w:val="006D5156"/>
    <w:rsid w:val="0078022A"/>
    <w:rsid w:val="00914FD3"/>
    <w:rsid w:val="00940D47"/>
    <w:rsid w:val="0097788B"/>
    <w:rsid w:val="0099428E"/>
    <w:rsid w:val="00A30548"/>
    <w:rsid w:val="00A60C11"/>
    <w:rsid w:val="00C94C09"/>
    <w:rsid w:val="00CE4560"/>
    <w:rsid w:val="00D06B93"/>
    <w:rsid w:val="00D53CFF"/>
    <w:rsid w:val="00D650F3"/>
    <w:rsid w:val="00D91770"/>
    <w:rsid w:val="00F0129D"/>
    <w:rsid w:val="00F97F6D"/>
    <w:rsid w:val="00FC4539"/>
    <w:rsid w:val="4F4A55B7"/>
    <w:rsid w:val="53F416D3"/>
    <w:rsid w:val="5DE155EF"/>
    <w:rsid w:val="617951DC"/>
    <w:rsid w:val="78CD6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88B"/>
    <w:pPr>
      <w:widowControl w:val="0"/>
      <w:jc w:val="both"/>
    </w:pPr>
    <w:rPr>
      <w:rFonts w:asciiTheme="minorHAnsi" w:eastAsiaTheme="minorEastAsia" w:hAnsiTheme="minorHAnsi" w:cstheme="minorBidi"/>
      <w:kern w:val="2"/>
      <w:sz w:val="21"/>
      <w:szCs w:val="22"/>
    </w:rPr>
  </w:style>
  <w:style w:type="paragraph" w:styleId="5">
    <w:name w:val="heading 5"/>
    <w:basedOn w:val="a"/>
    <w:next w:val="a"/>
    <w:uiPriority w:val="9"/>
    <w:semiHidden/>
    <w:unhideWhenUsed/>
    <w:qFormat/>
    <w:rsid w:val="0097788B"/>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7788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7788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7788B"/>
    <w:pPr>
      <w:spacing w:beforeAutospacing="1" w:afterAutospacing="1"/>
      <w:jc w:val="left"/>
    </w:pPr>
    <w:rPr>
      <w:rFonts w:cs="Times New Roman"/>
      <w:kern w:val="0"/>
      <w:sz w:val="24"/>
    </w:rPr>
  </w:style>
  <w:style w:type="character" w:customStyle="1" w:styleId="Char0">
    <w:name w:val="页眉 Char"/>
    <w:basedOn w:val="a0"/>
    <w:link w:val="a4"/>
    <w:uiPriority w:val="99"/>
    <w:qFormat/>
    <w:rsid w:val="0097788B"/>
    <w:rPr>
      <w:sz w:val="18"/>
      <w:szCs w:val="18"/>
    </w:rPr>
  </w:style>
  <w:style w:type="character" w:customStyle="1" w:styleId="Char">
    <w:name w:val="页脚 Char"/>
    <w:basedOn w:val="a0"/>
    <w:link w:val="a3"/>
    <w:uiPriority w:val="99"/>
    <w:qFormat/>
    <w:rsid w:val="0097788B"/>
    <w:rPr>
      <w:sz w:val="18"/>
      <w:szCs w:val="18"/>
    </w:rPr>
  </w:style>
  <w:style w:type="paragraph" w:styleId="a6">
    <w:name w:val="List Paragraph"/>
    <w:basedOn w:val="a"/>
    <w:uiPriority w:val="34"/>
    <w:qFormat/>
    <w:rsid w:val="0097788B"/>
    <w:pPr>
      <w:ind w:firstLineChars="200" w:firstLine="420"/>
    </w:pPr>
  </w:style>
  <w:style w:type="paragraph" w:styleId="a7">
    <w:name w:val="Balloon Text"/>
    <w:basedOn w:val="a"/>
    <w:link w:val="Char1"/>
    <w:uiPriority w:val="99"/>
    <w:semiHidden/>
    <w:unhideWhenUsed/>
    <w:rsid w:val="00A60C11"/>
    <w:rPr>
      <w:sz w:val="18"/>
      <w:szCs w:val="18"/>
    </w:rPr>
  </w:style>
  <w:style w:type="character" w:customStyle="1" w:styleId="Char1">
    <w:name w:val="批注框文本 Char"/>
    <w:basedOn w:val="a0"/>
    <w:link w:val="a7"/>
    <w:uiPriority w:val="99"/>
    <w:semiHidden/>
    <w:rsid w:val="00A60C1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4</DocSecurity>
  <Lines>9</Lines>
  <Paragraphs>2</Paragraphs>
  <ScaleCrop>false</ScaleCrop>
  <Company>CNSTOCK</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2024-09-11T16:03:00Z</dcterms:created>
  <dcterms:modified xsi:type="dcterms:W3CDTF">2024-09-11T16:03:00Z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81E2483BA2754CA3B7016BE5C42A804E_12</vt:lpwstr>
  </property>
</Properties>
</file>