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CA" w:rsidRDefault="0044126E">
      <w:pPr>
        <w:spacing w:line="336" w:lineRule="auto"/>
        <w:jc w:val="center"/>
        <w:textAlignment w:val="baseline"/>
        <w:rPr>
          <w:rFonts w:ascii="Times New Roman" w:eastAsia="黑体" w:hAnsi="黑体" w:cs="Times New Roman"/>
          <w:kern w:val="0"/>
          <w:sz w:val="30"/>
          <w:szCs w:val="20"/>
        </w:rPr>
      </w:pPr>
      <w:r>
        <w:rPr>
          <w:rFonts w:ascii="Times New Roman" w:eastAsia="黑体" w:hAnsi="黑体" w:cs="Times New Roman" w:hint="eastAsia"/>
          <w:kern w:val="0"/>
          <w:sz w:val="30"/>
          <w:szCs w:val="20"/>
        </w:rPr>
        <w:t>宝盈基金管理有限公司关于新增山西证券股份有限公司为旗下基金代销机构的公告</w:t>
      </w:r>
    </w:p>
    <w:p w:rsidR="00987BCA" w:rsidRDefault="0044126E">
      <w:pPr>
        <w:spacing w:line="360" w:lineRule="auto"/>
        <w:ind w:firstLineChars="200" w:firstLine="480"/>
        <w:textAlignment w:val="baseline"/>
        <w:rPr>
          <w:rFonts w:hAnsi="宋体"/>
          <w:sz w:val="24"/>
          <w:szCs w:val="24"/>
        </w:rPr>
      </w:pPr>
      <w:r>
        <w:rPr>
          <w:rFonts w:ascii="宋体" w:eastAsia="宋体" w:hAnsi="宋体"/>
          <w:sz w:val="24"/>
          <w:szCs w:val="24"/>
        </w:rPr>
        <w:t>根据宝盈基金管理有限公司（以下简称</w:t>
      </w:r>
      <w:r>
        <w:rPr>
          <w:rFonts w:ascii="宋体" w:eastAsia="宋体" w:hAnsi="宋体"/>
          <w:sz w:val="24"/>
          <w:szCs w:val="24"/>
        </w:rPr>
        <w:t>“</w:t>
      </w:r>
      <w:r>
        <w:rPr>
          <w:rFonts w:ascii="宋体" w:eastAsia="宋体" w:hAnsi="宋体"/>
          <w:sz w:val="24"/>
          <w:szCs w:val="24"/>
        </w:rPr>
        <w:t>本公司</w:t>
      </w:r>
      <w:r>
        <w:rPr>
          <w:rFonts w:ascii="宋体" w:eastAsia="宋体" w:hAnsi="宋体"/>
          <w:sz w:val="24"/>
          <w:szCs w:val="24"/>
        </w:rPr>
        <w:t>”</w:t>
      </w:r>
      <w:r>
        <w:rPr>
          <w:rFonts w:ascii="宋体" w:eastAsia="宋体" w:hAnsi="宋体"/>
          <w:sz w:val="24"/>
          <w:szCs w:val="24"/>
        </w:rPr>
        <w:t>）与</w:t>
      </w:r>
      <w:r>
        <w:rPr>
          <w:rFonts w:ascii="宋体" w:eastAsia="宋体" w:hAnsi="宋体" w:hint="eastAsia"/>
          <w:sz w:val="24"/>
          <w:szCs w:val="24"/>
        </w:rPr>
        <w:t>山西证券股份有限公司</w:t>
      </w:r>
      <w:r>
        <w:rPr>
          <w:rFonts w:ascii="宋体" w:eastAsia="宋体" w:hAnsi="宋体"/>
          <w:sz w:val="24"/>
          <w:szCs w:val="24"/>
        </w:rPr>
        <w:t>（以下简称</w:t>
      </w:r>
      <w:r>
        <w:rPr>
          <w:rFonts w:ascii="宋体" w:eastAsia="宋体" w:hAnsi="宋体"/>
          <w:sz w:val="24"/>
          <w:szCs w:val="24"/>
        </w:rPr>
        <w:t>“</w:t>
      </w:r>
      <w:r>
        <w:rPr>
          <w:rFonts w:ascii="宋体" w:eastAsia="宋体" w:hAnsi="宋体" w:hint="eastAsia"/>
          <w:sz w:val="24"/>
          <w:szCs w:val="24"/>
        </w:rPr>
        <w:t>山西证券</w:t>
      </w:r>
      <w:r>
        <w:rPr>
          <w:rFonts w:ascii="宋体" w:eastAsia="宋体" w:hAnsi="宋体"/>
          <w:sz w:val="24"/>
          <w:szCs w:val="24"/>
        </w:rPr>
        <w:t>”</w:t>
      </w:r>
      <w:r>
        <w:rPr>
          <w:rFonts w:ascii="宋体" w:eastAsia="宋体" w:hAnsi="宋体"/>
          <w:sz w:val="24"/>
          <w:szCs w:val="24"/>
        </w:rPr>
        <w:t>）签署的销售服务代理协议，自</w:t>
      </w:r>
      <w:r>
        <w:rPr>
          <w:rFonts w:ascii="Times New Roman" w:eastAsia="宋体" w:hAnsi="宋体" w:cs="Times New Roman"/>
          <w:sz w:val="24"/>
          <w:szCs w:val="24"/>
        </w:rPr>
        <w:t>202</w:t>
      </w:r>
      <w:r>
        <w:rPr>
          <w:rFonts w:ascii="Times New Roman" w:eastAsia="宋体" w:hAnsi="宋体" w:cs="Times New Roman" w:hint="eastAsia"/>
          <w:sz w:val="24"/>
          <w:szCs w:val="24"/>
        </w:rPr>
        <w:t>4</w:t>
      </w:r>
      <w:r>
        <w:rPr>
          <w:rFonts w:hAnsi="宋体"/>
          <w:sz w:val="24"/>
          <w:szCs w:val="24"/>
        </w:rPr>
        <w:t>年</w:t>
      </w:r>
      <w:r>
        <w:rPr>
          <w:rFonts w:hAnsi="宋体" w:hint="eastAsia"/>
          <w:sz w:val="24"/>
          <w:szCs w:val="24"/>
        </w:rPr>
        <w:t>9</w:t>
      </w:r>
      <w:r>
        <w:rPr>
          <w:rFonts w:hAnsi="宋体"/>
          <w:sz w:val="24"/>
          <w:szCs w:val="24"/>
        </w:rPr>
        <w:t>月</w:t>
      </w:r>
      <w:r>
        <w:rPr>
          <w:rFonts w:hAnsi="宋体" w:hint="eastAsia"/>
          <w:sz w:val="24"/>
          <w:szCs w:val="24"/>
        </w:rPr>
        <w:t>10</w:t>
      </w:r>
      <w:r>
        <w:rPr>
          <w:rFonts w:ascii="宋体" w:eastAsia="宋体" w:hAnsi="宋体"/>
          <w:sz w:val="24"/>
          <w:szCs w:val="24"/>
        </w:rPr>
        <w:t>日起，</w:t>
      </w:r>
      <w:r>
        <w:rPr>
          <w:rFonts w:ascii="宋体" w:eastAsia="宋体" w:hAnsi="宋体" w:hint="eastAsia"/>
          <w:sz w:val="24"/>
          <w:szCs w:val="24"/>
        </w:rPr>
        <w:t>本公司</w:t>
      </w:r>
      <w:r>
        <w:rPr>
          <w:rFonts w:ascii="宋体" w:eastAsia="宋体" w:hAnsi="宋体"/>
          <w:sz w:val="24"/>
          <w:szCs w:val="24"/>
        </w:rPr>
        <w:t>将</w:t>
      </w:r>
      <w:r>
        <w:rPr>
          <w:rFonts w:ascii="宋体" w:eastAsia="宋体" w:hAnsi="宋体" w:hint="eastAsia"/>
          <w:sz w:val="24"/>
          <w:szCs w:val="24"/>
        </w:rPr>
        <w:t>新增</w:t>
      </w:r>
      <w:r>
        <w:rPr>
          <w:rFonts w:ascii="宋体" w:eastAsia="宋体" w:hAnsi="宋体" w:hint="eastAsia"/>
          <w:sz w:val="24"/>
          <w:szCs w:val="24"/>
        </w:rPr>
        <w:t>山西证券</w:t>
      </w:r>
      <w:r>
        <w:rPr>
          <w:rFonts w:ascii="宋体" w:eastAsia="宋体" w:hAnsi="宋体" w:hint="eastAsia"/>
          <w:sz w:val="24"/>
          <w:szCs w:val="24"/>
        </w:rPr>
        <w:t>为旗下</w:t>
      </w:r>
      <w:r>
        <w:rPr>
          <w:rFonts w:ascii="宋体" w:eastAsia="宋体" w:hAnsi="宋体"/>
          <w:sz w:val="24"/>
          <w:szCs w:val="24"/>
        </w:rPr>
        <w:t>基金的代销机构，</w:t>
      </w:r>
      <w:r>
        <w:rPr>
          <w:rFonts w:ascii="宋体" w:eastAsia="宋体" w:hAnsi="宋体" w:hint="eastAsia"/>
          <w:sz w:val="24"/>
          <w:szCs w:val="24"/>
        </w:rPr>
        <w:t>具体代销</w:t>
      </w:r>
      <w:r>
        <w:rPr>
          <w:rFonts w:ascii="宋体" w:eastAsia="宋体" w:hAnsi="宋体"/>
          <w:sz w:val="24"/>
          <w:szCs w:val="24"/>
        </w:rPr>
        <w:t>基金</w:t>
      </w:r>
      <w:r>
        <w:rPr>
          <w:rFonts w:ascii="宋体" w:eastAsia="宋体" w:hAnsi="宋体" w:hint="eastAsia"/>
          <w:sz w:val="24"/>
          <w:szCs w:val="24"/>
        </w:rPr>
        <w:t>如下</w:t>
      </w:r>
      <w:r>
        <w:rPr>
          <w:rFonts w:hAnsi="宋体"/>
          <w:sz w:val="24"/>
          <w:szCs w:val="24"/>
        </w:rPr>
        <w:t>：</w:t>
      </w:r>
    </w:p>
    <w:tbl>
      <w:tblPr>
        <w:tblW w:w="9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961"/>
        <w:gridCol w:w="2963"/>
      </w:tblGrid>
      <w:tr w:rsidR="00987BCA">
        <w:trPr>
          <w:trHeight w:val="323"/>
        </w:trPr>
        <w:tc>
          <w:tcPr>
            <w:tcW w:w="1276" w:type="dxa"/>
            <w:shd w:val="clear" w:color="auto" w:fill="auto"/>
            <w:noWrap/>
            <w:vAlign w:val="center"/>
          </w:tcPr>
          <w:p w:rsidR="00987BCA" w:rsidRDefault="0044126E">
            <w:pPr>
              <w:widowControl/>
              <w:jc w:val="center"/>
              <w:rPr>
                <w:rFonts w:ascii="宋体" w:hAnsi="宋体" w:cs="宋体"/>
                <w:b/>
                <w:color w:val="000000"/>
                <w:kern w:val="0"/>
                <w:szCs w:val="21"/>
              </w:rPr>
            </w:pPr>
            <w:r>
              <w:rPr>
                <w:rFonts w:ascii="宋体" w:hAnsi="宋体" w:cs="宋体" w:hint="eastAsia"/>
                <w:b/>
                <w:color w:val="000000"/>
                <w:kern w:val="0"/>
                <w:szCs w:val="21"/>
              </w:rPr>
              <w:t>基金代码</w:t>
            </w:r>
          </w:p>
        </w:tc>
        <w:tc>
          <w:tcPr>
            <w:tcW w:w="4961" w:type="dxa"/>
            <w:shd w:val="clear" w:color="auto" w:fill="auto"/>
            <w:noWrap/>
            <w:vAlign w:val="center"/>
          </w:tcPr>
          <w:p w:rsidR="00987BCA" w:rsidRDefault="0044126E">
            <w:pPr>
              <w:widowControl/>
              <w:jc w:val="center"/>
              <w:rPr>
                <w:rFonts w:ascii="宋体" w:hAnsi="宋体" w:cs="宋体"/>
                <w:b/>
                <w:color w:val="000000"/>
                <w:kern w:val="0"/>
                <w:szCs w:val="21"/>
              </w:rPr>
            </w:pPr>
            <w:r>
              <w:rPr>
                <w:rFonts w:ascii="宋体" w:hAnsi="宋体" w:cs="宋体" w:hint="eastAsia"/>
                <w:b/>
                <w:color w:val="000000"/>
                <w:kern w:val="0"/>
                <w:szCs w:val="21"/>
              </w:rPr>
              <w:t>基金全称</w:t>
            </w:r>
          </w:p>
        </w:tc>
        <w:tc>
          <w:tcPr>
            <w:tcW w:w="2963" w:type="dxa"/>
            <w:shd w:val="clear" w:color="auto" w:fill="auto"/>
            <w:noWrap/>
            <w:vAlign w:val="center"/>
          </w:tcPr>
          <w:p w:rsidR="00987BCA" w:rsidRDefault="0044126E">
            <w:pPr>
              <w:widowControl/>
              <w:jc w:val="center"/>
              <w:rPr>
                <w:rFonts w:ascii="宋体" w:hAnsi="宋体" w:cs="宋体"/>
                <w:b/>
                <w:color w:val="000000"/>
                <w:kern w:val="0"/>
                <w:szCs w:val="21"/>
              </w:rPr>
            </w:pPr>
            <w:r>
              <w:rPr>
                <w:rFonts w:ascii="宋体" w:hAnsi="宋体" w:cs="宋体" w:hint="eastAsia"/>
                <w:b/>
                <w:color w:val="000000"/>
                <w:kern w:val="0"/>
                <w:szCs w:val="21"/>
              </w:rPr>
              <w:t>基金简称</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hAnsi="宋体" w:cs="宋体"/>
                <w:color w:val="000000"/>
                <w:kern w:val="0"/>
                <w:szCs w:val="21"/>
              </w:rPr>
            </w:pPr>
            <w:r>
              <w:rPr>
                <w:rFonts w:ascii="宋体" w:eastAsia="宋体" w:hAnsi="宋体" w:cs="宋体" w:hint="eastAsia"/>
                <w:color w:val="000000"/>
                <w:kern w:val="0"/>
                <w:sz w:val="22"/>
                <w:lang/>
              </w:rPr>
              <w:t>017230</w:t>
            </w:r>
          </w:p>
        </w:tc>
        <w:tc>
          <w:tcPr>
            <w:tcW w:w="4961" w:type="dxa"/>
            <w:vMerge w:val="restart"/>
            <w:shd w:val="clear" w:color="auto" w:fill="auto"/>
            <w:noWrap/>
            <w:vAlign w:val="center"/>
          </w:tcPr>
          <w:p w:rsidR="00987BCA" w:rsidRDefault="0044126E">
            <w:pPr>
              <w:widowControl/>
              <w:jc w:val="center"/>
              <w:rPr>
                <w:rFonts w:ascii="宋体" w:hAnsi="宋体" w:cs="宋体"/>
                <w:color w:val="000000"/>
                <w:kern w:val="0"/>
                <w:szCs w:val="21"/>
              </w:rPr>
            </w:pPr>
            <w:r>
              <w:rPr>
                <w:rFonts w:ascii="宋体" w:hAnsi="宋体" w:cs="宋体" w:hint="eastAsia"/>
                <w:color w:val="000000"/>
                <w:kern w:val="0"/>
                <w:szCs w:val="21"/>
              </w:rPr>
              <w:t>宝盈价值成长混合型证券投资基金</w:t>
            </w:r>
          </w:p>
        </w:tc>
        <w:tc>
          <w:tcPr>
            <w:tcW w:w="2963" w:type="dxa"/>
            <w:shd w:val="clear" w:color="auto" w:fill="auto"/>
            <w:noWrap/>
            <w:vAlign w:val="center"/>
          </w:tcPr>
          <w:p w:rsidR="00987BCA" w:rsidRDefault="0044126E">
            <w:pPr>
              <w:widowControl/>
              <w:jc w:val="center"/>
              <w:textAlignment w:val="center"/>
              <w:rPr>
                <w:rFonts w:ascii="宋体" w:hAnsi="宋体" w:cs="宋体"/>
                <w:kern w:val="0"/>
                <w:szCs w:val="21"/>
              </w:rPr>
            </w:pPr>
            <w:r>
              <w:rPr>
                <w:rFonts w:ascii="宋体" w:eastAsia="宋体" w:hAnsi="宋体" w:cs="宋体" w:hint="eastAsia"/>
                <w:kern w:val="0"/>
                <w:sz w:val="22"/>
                <w:lang/>
              </w:rPr>
              <w:t>宝盈价值成长混合</w:t>
            </w:r>
            <w:r>
              <w:rPr>
                <w:rFonts w:ascii="宋体" w:eastAsia="宋体" w:hAnsi="宋体" w:cs="宋体" w:hint="eastAsia"/>
                <w:kern w:val="0"/>
                <w:sz w:val="22"/>
                <w:lang/>
              </w:rPr>
              <w:t>A</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hAnsi="宋体" w:cs="宋体"/>
                <w:color w:val="000000"/>
                <w:kern w:val="0"/>
                <w:szCs w:val="21"/>
              </w:rPr>
            </w:pPr>
            <w:r>
              <w:rPr>
                <w:rFonts w:ascii="宋体" w:eastAsia="宋体" w:hAnsi="宋体" w:cs="宋体" w:hint="eastAsia"/>
                <w:color w:val="000000"/>
                <w:kern w:val="0"/>
                <w:sz w:val="22"/>
                <w:lang/>
              </w:rPr>
              <w:t>017231</w:t>
            </w:r>
          </w:p>
        </w:tc>
        <w:tc>
          <w:tcPr>
            <w:tcW w:w="4961" w:type="dxa"/>
            <w:vMerge/>
            <w:vAlign w:val="center"/>
          </w:tcPr>
          <w:p w:rsidR="00987BCA" w:rsidRDefault="00987BCA">
            <w:pPr>
              <w:widowControl/>
              <w:jc w:val="center"/>
              <w:rPr>
                <w:rFonts w:ascii="宋体" w:hAnsi="宋体" w:cs="宋体"/>
                <w:color w:val="000000"/>
                <w:kern w:val="0"/>
                <w:szCs w:val="21"/>
              </w:rPr>
            </w:pPr>
          </w:p>
        </w:tc>
        <w:tc>
          <w:tcPr>
            <w:tcW w:w="2963" w:type="dxa"/>
            <w:shd w:val="clear" w:color="auto" w:fill="auto"/>
            <w:noWrap/>
            <w:vAlign w:val="center"/>
          </w:tcPr>
          <w:p w:rsidR="00987BCA" w:rsidRDefault="0044126E">
            <w:pPr>
              <w:widowControl/>
              <w:jc w:val="center"/>
              <w:textAlignment w:val="center"/>
              <w:rPr>
                <w:rFonts w:ascii="宋体" w:hAnsi="宋体" w:cs="宋体"/>
                <w:kern w:val="0"/>
                <w:szCs w:val="21"/>
              </w:rPr>
            </w:pPr>
            <w:r>
              <w:rPr>
                <w:rFonts w:ascii="宋体" w:eastAsia="宋体" w:hAnsi="宋体" w:cs="宋体" w:hint="eastAsia"/>
                <w:kern w:val="0"/>
                <w:sz w:val="22"/>
                <w:lang/>
              </w:rPr>
              <w:t>宝盈价值成长混合</w:t>
            </w:r>
            <w:r>
              <w:rPr>
                <w:rFonts w:ascii="宋体" w:eastAsia="宋体" w:hAnsi="宋体" w:cs="宋体" w:hint="eastAsia"/>
                <w:kern w:val="0"/>
                <w:sz w:val="22"/>
                <w:lang/>
              </w:rPr>
              <w:t>C</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hAnsi="宋体" w:cs="宋体"/>
                <w:color w:val="000000"/>
                <w:kern w:val="0"/>
                <w:szCs w:val="21"/>
              </w:rPr>
            </w:pPr>
            <w:r>
              <w:rPr>
                <w:rFonts w:ascii="宋体" w:eastAsia="宋体" w:hAnsi="宋体" w:cs="宋体" w:hint="eastAsia"/>
                <w:color w:val="000000"/>
                <w:kern w:val="0"/>
                <w:sz w:val="22"/>
                <w:lang/>
              </w:rPr>
              <w:t>013859</w:t>
            </w:r>
          </w:p>
        </w:tc>
        <w:tc>
          <w:tcPr>
            <w:tcW w:w="4961" w:type="dxa"/>
            <w:vMerge w:val="restart"/>
            <w:vAlign w:val="center"/>
          </w:tcPr>
          <w:p w:rsidR="00987BCA" w:rsidRDefault="0044126E">
            <w:pPr>
              <w:widowControl/>
              <w:jc w:val="center"/>
              <w:rPr>
                <w:rFonts w:ascii="宋体" w:hAnsi="宋体" w:cs="宋体"/>
                <w:color w:val="000000"/>
                <w:kern w:val="0"/>
                <w:szCs w:val="21"/>
              </w:rPr>
            </w:pPr>
            <w:r>
              <w:rPr>
                <w:rFonts w:ascii="宋体" w:hAnsi="宋体" w:cs="宋体" w:hint="eastAsia"/>
                <w:color w:val="000000"/>
                <w:kern w:val="0"/>
                <w:szCs w:val="21"/>
              </w:rPr>
              <w:t>宝盈品质甄选混合型证券投资基金</w:t>
            </w:r>
          </w:p>
        </w:tc>
        <w:tc>
          <w:tcPr>
            <w:tcW w:w="2963" w:type="dxa"/>
            <w:shd w:val="clear" w:color="auto" w:fill="auto"/>
            <w:noWrap/>
            <w:vAlign w:val="center"/>
          </w:tcPr>
          <w:p w:rsidR="00987BCA" w:rsidRDefault="0044126E">
            <w:pPr>
              <w:widowControl/>
              <w:jc w:val="center"/>
              <w:textAlignment w:val="center"/>
              <w:rPr>
                <w:rFonts w:ascii="宋体" w:hAnsi="宋体" w:cs="宋体"/>
                <w:kern w:val="0"/>
                <w:szCs w:val="21"/>
              </w:rPr>
            </w:pPr>
            <w:r>
              <w:rPr>
                <w:rFonts w:ascii="宋体" w:eastAsia="宋体" w:hAnsi="宋体" w:cs="宋体" w:hint="eastAsia"/>
                <w:kern w:val="0"/>
                <w:sz w:val="22"/>
                <w:lang/>
              </w:rPr>
              <w:t>宝盈品质甄选混合</w:t>
            </w:r>
            <w:r>
              <w:rPr>
                <w:rFonts w:ascii="宋体" w:eastAsia="宋体" w:hAnsi="宋体" w:cs="宋体" w:hint="eastAsia"/>
                <w:kern w:val="0"/>
                <w:sz w:val="22"/>
                <w:lang/>
              </w:rPr>
              <w:t>A</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hAnsi="宋体" w:cs="宋体"/>
                <w:color w:val="000000"/>
                <w:kern w:val="0"/>
                <w:szCs w:val="21"/>
              </w:rPr>
            </w:pPr>
            <w:r>
              <w:rPr>
                <w:rFonts w:ascii="宋体" w:eastAsia="宋体" w:hAnsi="宋体" w:cs="宋体" w:hint="eastAsia"/>
                <w:color w:val="000000"/>
                <w:kern w:val="0"/>
                <w:sz w:val="22"/>
                <w:lang/>
              </w:rPr>
              <w:t>013860</w:t>
            </w:r>
          </w:p>
        </w:tc>
        <w:tc>
          <w:tcPr>
            <w:tcW w:w="4961" w:type="dxa"/>
            <w:vMerge/>
            <w:vAlign w:val="center"/>
          </w:tcPr>
          <w:p w:rsidR="00987BCA" w:rsidRDefault="00987BCA">
            <w:pPr>
              <w:widowControl/>
              <w:jc w:val="center"/>
              <w:rPr>
                <w:rFonts w:ascii="宋体" w:hAnsi="宋体" w:cs="宋体"/>
                <w:color w:val="000000"/>
                <w:kern w:val="0"/>
                <w:szCs w:val="21"/>
              </w:rPr>
            </w:pPr>
          </w:p>
        </w:tc>
        <w:tc>
          <w:tcPr>
            <w:tcW w:w="2963" w:type="dxa"/>
            <w:shd w:val="clear" w:color="auto" w:fill="auto"/>
            <w:noWrap/>
            <w:vAlign w:val="center"/>
          </w:tcPr>
          <w:p w:rsidR="00987BCA" w:rsidRDefault="0044126E">
            <w:pPr>
              <w:widowControl/>
              <w:jc w:val="center"/>
              <w:textAlignment w:val="center"/>
              <w:rPr>
                <w:rFonts w:ascii="宋体" w:hAnsi="宋体" w:cs="宋体"/>
                <w:kern w:val="0"/>
                <w:szCs w:val="21"/>
              </w:rPr>
            </w:pPr>
            <w:r>
              <w:rPr>
                <w:rFonts w:ascii="宋体" w:eastAsia="宋体" w:hAnsi="宋体" w:cs="宋体" w:hint="eastAsia"/>
                <w:kern w:val="0"/>
                <w:sz w:val="22"/>
                <w:lang/>
              </w:rPr>
              <w:t>宝盈品质甄选混合</w:t>
            </w:r>
            <w:r>
              <w:rPr>
                <w:rFonts w:ascii="宋体" w:eastAsia="宋体" w:hAnsi="宋体" w:cs="宋体" w:hint="eastAsia"/>
                <w:kern w:val="0"/>
                <w:sz w:val="22"/>
                <w:lang/>
              </w:rPr>
              <w:t>C</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000574</w:t>
            </w:r>
          </w:p>
        </w:tc>
        <w:tc>
          <w:tcPr>
            <w:tcW w:w="4961" w:type="dxa"/>
            <w:vMerge w:val="restart"/>
            <w:vAlign w:val="center"/>
          </w:tcPr>
          <w:p w:rsidR="00987BCA" w:rsidRDefault="0044126E">
            <w:pPr>
              <w:widowControl/>
              <w:jc w:val="center"/>
              <w:rPr>
                <w:rFonts w:ascii="宋体" w:hAnsi="宋体" w:cs="宋体"/>
                <w:color w:val="000000"/>
                <w:kern w:val="0"/>
                <w:szCs w:val="21"/>
              </w:rPr>
            </w:pPr>
            <w:r>
              <w:rPr>
                <w:rFonts w:ascii="宋体" w:hAnsi="宋体" w:cs="宋体" w:hint="eastAsia"/>
                <w:color w:val="000000"/>
                <w:kern w:val="0"/>
                <w:szCs w:val="21"/>
              </w:rPr>
              <w:t>宝盈新价值灵活配置混合型证券投资基金</w:t>
            </w:r>
          </w:p>
        </w:tc>
        <w:tc>
          <w:tcPr>
            <w:tcW w:w="2963" w:type="dxa"/>
            <w:shd w:val="clear" w:color="auto" w:fill="auto"/>
            <w:noWrap/>
            <w:vAlign w:val="center"/>
          </w:tcPr>
          <w:p w:rsidR="00987BCA" w:rsidRDefault="0044126E">
            <w:pPr>
              <w:widowControl/>
              <w:jc w:val="center"/>
              <w:textAlignment w:val="center"/>
              <w:rPr>
                <w:rFonts w:ascii="宋体" w:hAnsi="宋体" w:cs="宋体"/>
                <w:kern w:val="0"/>
                <w:szCs w:val="21"/>
              </w:rPr>
            </w:pPr>
            <w:r>
              <w:rPr>
                <w:rFonts w:ascii="宋体" w:eastAsia="宋体" w:hAnsi="宋体" w:cs="宋体" w:hint="eastAsia"/>
                <w:kern w:val="0"/>
                <w:sz w:val="22"/>
                <w:lang/>
              </w:rPr>
              <w:t>宝盈新价值混合</w:t>
            </w:r>
            <w:r>
              <w:rPr>
                <w:rFonts w:ascii="宋体" w:eastAsia="宋体" w:hAnsi="宋体" w:cs="宋体" w:hint="eastAsia"/>
                <w:kern w:val="0"/>
                <w:sz w:val="22"/>
                <w:lang/>
              </w:rPr>
              <w:t>A</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hAnsi="宋体" w:cs="宋体"/>
                <w:color w:val="000000"/>
                <w:kern w:val="0"/>
                <w:szCs w:val="21"/>
              </w:rPr>
            </w:pPr>
            <w:r>
              <w:rPr>
                <w:rFonts w:ascii="宋体" w:eastAsia="宋体" w:hAnsi="宋体" w:cs="宋体" w:hint="eastAsia"/>
                <w:kern w:val="0"/>
                <w:sz w:val="22"/>
                <w:lang/>
              </w:rPr>
              <w:t>007574</w:t>
            </w:r>
          </w:p>
        </w:tc>
        <w:tc>
          <w:tcPr>
            <w:tcW w:w="4961" w:type="dxa"/>
            <w:vMerge/>
            <w:vAlign w:val="center"/>
          </w:tcPr>
          <w:p w:rsidR="00987BCA" w:rsidRDefault="00987BCA">
            <w:pPr>
              <w:widowControl/>
              <w:jc w:val="left"/>
              <w:rPr>
                <w:rFonts w:ascii="宋体" w:hAnsi="宋体" w:cs="宋体"/>
                <w:color w:val="000000"/>
                <w:kern w:val="0"/>
                <w:szCs w:val="21"/>
              </w:rPr>
            </w:pPr>
          </w:p>
        </w:tc>
        <w:tc>
          <w:tcPr>
            <w:tcW w:w="2963" w:type="dxa"/>
            <w:shd w:val="clear" w:color="auto" w:fill="auto"/>
            <w:noWrap/>
            <w:vAlign w:val="center"/>
          </w:tcPr>
          <w:p w:rsidR="00987BCA" w:rsidRDefault="0044126E">
            <w:pPr>
              <w:widowControl/>
              <w:jc w:val="center"/>
              <w:textAlignment w:val="center"/>
              <w:rPr>
                <w:rFonts w:ascii="宋体" w:hAnsi="宋体" w:cs="宋体"/>
                <w:kern w:val="0"/>
                <w:szCs w:val="21"/>
              </w:rPr>
            </w:pPr>
            <w:r>
              <w:rPr>
                <w:rFonts w:ascii="宋体" w:eastAsia="宋体" w:hAnsi="宋体" w:cs="宋体" w:hint="eastAsia"/>
                <w:kern w:val="0"/>
                <w:sz w:val="22"/>
                <w:lang/>
              </w:rPr>
              <w:t>宝盈新价值混合</w:t>
            </w:r>
            <w:r>
              <w:rPr>
                <w:rFonts w:ascii="宋体" w:eastAsia="宋体" w:hAnsi="宋体" w:cs="宋体" w:hint="eastAsia"/>
                <w:kern w:val="0"/>
                <w:sz w:val="22"/>
                <w:lang/>
              </w:rPr>
              <w:t>C</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003715</w:t>
            </w:r>
          </w:p>
        </w:tc>
        <w:tc>
          <w:tcPr>
            <w:tcW w:w="4961" w:type="dxa"/>
            <w:vAlign w:val="center"/>
          </w:tcPr>
          <w:p w:rsidR="00987BCA" w:rsidRDefault="0044126E">
            <w:pPr>
              <w:widowControl/>
              <w:jc w:val="center"/>
              <w:rPr>
                <w:rFonts w:ascii="宋体" w:hAnsi="宋体" w:cs="宋体"/>
                <w:color w:val="000000"/>
                <w:kern w:val="0"/>
                <w:szCs w:val="21"/>
              </w:rPr>
            </w:pPr>
            <w:r>
              <w:rPr>
                <w:rFonts w:ascii="宋体" w:hAnsi="宋体" w:cs="宋体" w:hint="eastAsia"/>
                <w:color w:val="000000"/>
                <w:kern w:val="0"/>
                <w:szCs w:val="21"/>
              </w:rPr>
              <w:t>宝盈消费主题灵活配置混合型证券投资基金</w:t>
            </w:r>
          </w:p>
        </w:tc>
        <w:tc>
          <w:tcPr>
            <w:tcW w:w="2963"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宝盈消费主题混合</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001487</w:t>
            </w:r>
          </w:p>
        </w:tc>
        <w:tc>
          <w:tcPr>
            <w:tcW w:w="4961" w:type="dxa"/>
            <w:vMerge w:val="restart"/>
            <w:vAlign w:val="center"/>
          </w:tcPr>
          <w:p w:rsidR="00987BCA" w:rsidRDefault="0044126E">
            <w:pPr>
              <w:widowControl/>
              <w:jc w:val="center"/>
              <w:rPr>
                <w:rFonts w:ascii="宋体" w:hAnsi="宋体" w:cs="宋体"/>
                <w:color w:val="000000"/>
                <w:kern w:val="0"/>
                <w:szCs w:val="21"/>
              </w:rPr>
            </w:pPr>
            <w:r>
              <w:rPr>
                <w:rFonts w:ascii="宋体" w:hAnsi="宋体" w:cs="宋体" w:hint="eastAsia"/>
                <w:color w:val="000000"/>
                <w:kern w:val="0"/>
                <w:szCs w:val="21"/>
              </w:rPr>
              <w:t>宝盈优势产业灵活配置混合型证券投资基金</w:t>
            </w:r>
          </w:p>
        </w:tc>
        <w:tc>
          <w:tcPr>
            <w:tcW w:w="2963"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宝盈优势产业混合</w:t>
            </w:r>
            <w:r>
              <w:rPr>
                <w:rFonts w:ascii="宋体" w:eastAsia="宋体" w:hAnsi="宋体" w:cs="宋体" w:hint="eastAsia"/>
                <w:kern w:val="0"/>
                <w:sz w:val="22"/>
                <w:lang/>
              </w:rPr>
              <w:t>A</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012771</w:t>
            </w:r>
          </w:p>
        </w:tc>
        <w:tc>
          <w:tcPr>
            <w:tcW w:w="4961" w:type="dxa"/>
            <w:vMerge/>
            <w:vAlign w:val="center"/>
          </w:tcPr>
          <w:p w:rsidR="00987BCA" w:rsidRDefault="00987BCA">
            <w:pPr>
              <w:widowControl/>
              <w:jc w:val="left"/>
              <w:rPr>
                <w:rFonts w:ascii="宋体" w:hAnsi="宋体" w:cs="宋体"/>
                <w:color w:val="000000"/>
                <w:kern w:val="0"/>
                <w:szCs w:val="21"/>
              </w:rPr>
            </w:pPr>
          </w:p>
        </w:tc>
        <w:tc>
          <w:tcPr>
            <w:tcW w:w="2963"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宝盈优势产业混合</w:t>
            </w:r>
            <w:r>
              <w:rPr>
                <w:rFonts w:ascii="宋体" w:eastAsia="宋体" w:hAnsi="宋体" w:cs="宋体" w:hint="eastAsia"/>
                <w:kern w:val="0"/>
                <w:sz w:val="22"/>
                <w:lang/>
              </w:rPr>
              <w:t>C</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006675</w:t>
            </w:r>
          </w:p>
        </w:tc>
        <w:tc>
          <w:tcPr>
            <w:tcW w:w="4961" w:type="dxa"/>
            <w:vMerge w:val="restart"/>
            <w:vAlign w:val="center"/>
          </w:tcPr>
          <w:p w:rsidR="00987BCA" w:rsidRDefault="0044126E">
            <w:pPr>
              <w:widowControl/>
              <w:jc w:val="center"/>
              <w:rPr>
                <w:rFonts w:ascii="宋体" w:hAnsi="宋体" w:cs="宋体"/>
                <w:color w:val="000000"/>
                <w:kern w:val="0"/>
                <w:szCs w:val="21"/>
              </w:rPr>
            </w:pPr>
            <w:r>
              <w:rPr>
                <w:rFonts w:ascii="宋体" w:hAnsi="宋体" w:cs="宋体" w:hint="eastAsia"/>
                <w:color w:val="000000"/>
                <w:kern w:val="0"/>
                <w:szCs w:val="21"/>
              </w:rPr>
              <w:t>宝盈品牌消费股票型证券投资基金</w:t>
            </w:r>
          </w:p>
        </w:tc>
        <w:tc>
          <w:tcPr>
            <w:tcW w:w="2963"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宝盈品牌消费股票</w:t>
            </w:r>
            <w:r>
              <w:rPr>
                <w:rFonts w:ascii="宋体" w:eastAsia="宋体" w:hAnsi="宋体" w:cs="宋体" w:hint="eastAsia"/>
                <w:kern w:val="0"/>
                <w:sz w:val="22"/>
                <w:lang/>
              </w:rPr>
              <w:t>A</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006676</w:t>
            </w:r>
          </w:p>
        </w:tc>
        <w:tc>
          <w:tcPr>
            <w:tcW w:w="4961" w:type="dxa"/>
            <w:vMerge/>
            <w:vAlign w:val="center"/>
          </w:tcPr>
          <w:p w:rsidR="00987BCA" w:rsidRDefault="00987BCA">
            <w:pPr>
              <w:widowControl/>
              <w:jc w:val="left"/>
              <w:rPr>
                <w:rFonts w:ascii="宋体" w:hAnsi="宋体" w:cs="宋体"/>
                <w:color w:val="000000"/>
                <w:kern w:val="0"/>
                <w:szCs w:val="21"/>
              </w:rPr>
            </w:pPr>
          </w:p>
        </w:tc>
        <w:tc>
          <w:tcPr>
            <w:tcW w:w="2963"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宝盈品牌消费股票</w:t>
            </w:r>
            <w:r>
              <w:rPr>
                <w:rFonts w:ascii="宋体" w:eastAsia="宋体" w:hAnsi="宋体" w:cs="宋体" w:hint="eastAsia"/>
                <w:kern w:val="0"/>
                <w:sz w:val="22"/>
                <w:lang/>
              </w:rPr>
              <w:t>C</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213007</w:t>
            </w:r>
          </w:p>
        </w:tc>
        <w:tc>
          <w:tcPr>
            <w:tcW w:w="4961" w:type="dxa"/>
            <w:vMerge w:val="restart"/>
            <w:vAlign w:val="center"/>
          </w:tcPr>
          <w:p w:rsidR="00987BCA" w:rsidRDefault="0044126E">
            <w:pPr>
              <w:widowControl/>
              <w:jc w:val="center"/>
              <w:rPr>
                <w:rFonts w:ascii="宋体" w:hAnsi="宋体" w:cs="宋体"/>
                <w:color w:val="000000"/>
                <w:kern w:val="0"/>
                <w:szCs w:val="21"/>
              </w:rPr>
            </w:pPr>
            <w:r>
              <w:rPr>
                <w:rFonts w:ascii="宋体" w:hAnsi="宋体" w:cs="宋体" w:hint="eastAsia"/>
                <w:color w:val="000000"/>
                <w:kern w:val="0"/>
                <w:szCs w:val="21"/>
              </w:rPr>
              <w:t>宝盈增强收益债券型证券投资基金</w:t>
            </w:r>
          </w:p>
        </w:tc>
        <w:tc>
          <w:tcPr>
            <w:tcW w:w="2963"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宝盈增强收益债券</w:t>
            </w:r>
            <w:r>
              <w:rPr>
                <w:rFonts w:ascii="宋体" w:eastAsia="宋体" w:hAnsi="宋体" w:cs="宋体" w:hint="eastAsia"/>
                <w:kern w:val="0"/>
                <w:sz w:val="22"/>
                <w:lang/>
              </w:rPr>
              <w:t>A</w:t>
            </w:r>
          </w:p>
        </w:tc>
      </w:tr>
      <w:tr w:rsidR="00987BCA">
        <w:trPr>
          <w:trHeight w:val="270"/>
        </w:trPr>
        <w:tc>
          <w:tcPr>
            <w:tcW w:w="1276"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213917</w:t>
            </w:r>
          </w:p>
        </w:tc>
        <w:tc>
          <w:tcPr>
            <w:tcW w:w="4961" w:type="dxa"/>
            <w:vMerge/>
            <w:vAlign w:val="center"/>
          </w:tcPr>
          <w:p w:rsidR="00987BCA" w:rsidRDefault="00987BCA">
            <w:pPr>
              <w:widowControl/>
              <w:jc w:val="left"/>
              <w:rPr>
                <w:rFonts w:ascii="宋体" w:hAnsi="宋体" w:cs="宋体"/>
                <w:color w:val="000000"/>
                <w:kern w:val="0"/>
                <w:szCs w:val="21"/>
              </w:rPr>
            </w:pPr>
          </w:p>
        </w:tc>
        <w:tc>
          <w:tcPr>
            <w:tcW w:w="2963" w:type="dxa"/>
            <w:shd w:val="clear" w:color="auto" w:fill="auto"/>
            <w:noWrap/>
            <w:vAlign w:val="center"/>
          </w:tcPr>
          <w:p w:rsidR="00987BCA" w:rsidRDefault="0044126E">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宝盈增强收益债券</w:t>
            </w:r>
            <w:r>
              <w:rPr>
                <w:rFonts w:ascii="宋体" w:eastAsia="宋体" w:hAnsi="宋体" w:cs="宋体" w:hint="eastAsia"/>
                <w:kern w:val="0"/>
                <w:sz w:val="22"/>
                <w:lang/>
              </w:rPr>
              <w:t>C</w:t>
            </w:r>
          </w:p>
        </w:tc>
      </w:tr>
    </w:tbl>
    <w:p w:rsidR="00987BCA" w:rsidRDefault="0044126E" w:rsidP="0044126E">
      <w:pPr>
        <w:spacing w:beforeLines="50" w:line="360" w:lineRule="auto"/>
        <w:ind w:firstLineChars="200" w:firstLine="480"/>
        <w:textAlignment w:val="baseline"/>
        <w:rPr>
          <w:rFonts w:hAnsi="宋体"/>
          <w:sz w:val="24"/>
          <w:szCs w:val="24"/>
        </w:rPr>
      </w:pPr>
      <w:r>
        <w:rPr>
          <w:rFonts w:hAnsi="宋体"/>
          <w:sz w:val="24"/>
          <w:szCs w:val="24"/>
        </w:rPr>
        <w:t>投资</w:t>
      </w:r>
      <w:r>
        <w:rPr>
          <w:rFonts w:hAnsi="宋体" w:hint="eastAsia"/>
          <w:sz w:val="24"/>
          <w:szCs w:val="24"/>
        </w:rPr>
        <w:t>者</w:t>
      </w:r>
      <w:r>
        <w:rPr>
          <w:rFonts w:hAnsi="宋体"/>
          <w:sz w:val="24"/>
          <w:szCs w:val="24"/>
        </w:rPr>
        <w:t>可在</w:t>
      </w:r>
      <w:r>
        <w:rPr>
          <w:rFonts w:hAnsi="宋体" w:hint="eastAsia"/>
          <w:sz w:val="24"/>
          <w:szCs w:val="24"/>
        </w:rPr>
        <w:t>山西证券</w:t>
      </w:r>
      <w:r>
        <w:rPr>
          <w:rFonts w:hAnsi="宋体"/>
          <w:sz w:val="24"/>
          <w:szCs w:val="24"/>
        </w:rPr>
        <w:t>办理本公司基金开户业务及上述基金的</w:t>
      </w:r>
      <w:r>
        <w:rPr>
          <w:rFonts w:hAnsi="宋体" w:hint="eastAsia"/>
          <w:sz w:val="24"/>
          <w:szCs w:val="24"/>
        </w:rPr>
        <w:t>申</w:t>
      </w:r>
      <w:r>
        <w:rPr>
          <w:rFonts w:hAnsi="宋体" w:hint="eastAsia"/>
          <w:sz w:val="24"/>
          <w:szCs w:val="24"/>
        </w:rPr>
        <w:t>购</w:t>
      </w:r>
      <w:r>
        <w:rPr>
          <w:rFonts w:hAnsi="宋体"/>
          <w:sz w:val="24"/>
          <w:szCs w:val="24"/>
        </w:rPr>
        <w:t>等业务，进行相关信息查询并享受相应的售后服务。</w:t>
      </w:r>
    </w:p>
    <w:p w:rsidR="00987BCA" w:rsidRDefault="0044126E">
      <w:pPr>
        <w:spacing w:line="360" w:lineRule="auto"/>
        <w:ind w:firstLineChars="200" w:firstLine="480"/>
        <w:textAlignment w:val="baseline"/>
        <w:rPr>
          <w:sz w:val="24"/>
          <w:szCs w:val="24"/>
        </w:rPr>
      </w:pPr>
      <w:r>
        <w:rPr>
          <w:sz w:val="24"/>
          <w:szCs w:val="24"/>
        </w:rPr>
        <w:t>上述基金费率标准详见各基金基金合同、招募说明书（更新）等法律文件，以及本公司发布的最新业务公告。</w:t>
      </w:r>
    </w:p>
    <w:p w:rsidR="00987BCA" w:rsidRDefault="0044126E">
      <w:pPr>
        <w:spacing w:line="360" w:lineRule="auto"/>
        <w:ind w:firstLineChars="200" w:firstLine="480"/>
        <w:textAlignment w:val="baseline"/>
        <w:rPr>
          <w:sz w:val="24"/>
          <w:szCs w:val="24"/>
        </w:rPr>
      </w:pPr>
      <w:r>
        <w:rPr>
          <w:sz w:val="24"/>
          <w:szCs w:val="24"/>
        </w:rPr>
        <w:t>如本公司新增通过</w:t>
      </w:r>
      <w:r>
        <w:rPr>
          <w:rFonts w:hint="eastAsia"/>
          <w:sz w:val="24"/>
          <w:szCs w:val="24"/>
        </w:rPr>
        <w:t>山西证券</w:t>
      </w:r>
      <w:r>
        <w:rPr>
          <w:sz w:val="24"/>
          <w:szCs w:val="24"/>
        </w:rPr>
        <w:t>销售的基金，</w:t>
      </w:r>
      <w:r>
        <w:rPr>
          <w:rFonts w:hint="eastAsia"/>
          <w:sz w:val="24"/>
          <w:szCs w:val="24"/>
        </w:rPr>
        <w:t>默认</w:t>
      </w:r>
      <w:r>
        <w:rPr>
          <w:sz w:val="24"/>
          <w:szCs w:val="24"/>
        </w:rPr>
        <w:t>参加</w:t>
      </w:r>
      <w:r>
        <w:rPr>
          <w:rFonts w:hint="eastAsia"/>
          <w:sz w:val="24"/>
          <w:szCs w:val="24"/>
        </w:rPr>
        <w:t>山西证券</w:t>
      </w:r>
      <w:r>
        <w:rPr>
          <w:sz w:val="24"/>
          <w:szCs w:val="24"/>
        </w:rPr>
        <w:t>费率优惠活动</w:t>
      </w:r>
      <w:r>
        <w:rPr>
          <w:rFonts w:hint="eastAsia"/>
          <w:sz w:val="24"/>
          <w:szCs w:val="24"/>
        </w:rPr>
        <w:t>，</w:t>
      </w:r>
      <w:r>
        <w:rPr>
          <w:sz w:val="24"/>
          <w:szCs w:val="24"/>
        </w:rPr>
        <w:t>具体折扣费率及费率优惠活动期限</w:t>
      </w:r>
      <w:r>
        <w:rPr>
          <w:rFonts w:hint="eastAsia"/>
          <w:sz w:val="24"/>
          <w:szCs w:val="24"/>
        </w:rPr>
        <w:t>以</w:t>
      </w:r>
      <w:r>
        <w:rPr>
          <w:rFonts w:hint="eastAsia"/>
          <w:sz w:val="24"/>
          <w:szCs w:val="24"/>
        </w:rPr>
        <w:t>山西证券</w:t>
      </w:r>
      <w:r>
        <w:rPr>
          <w:sz w:val="24"/>
          <w:szCs w:val="24"/>
        </w:rPr>
        <w:t>活动公告为准，本公司不再另行公告。</w:t>
      </w:r>
    </w:p>
    <w:p w:rsidR="00987BCA" w:rsidRDefault="0044126E">
      <w:pPr>
        <w:spacing w:line="360" w:lineRule="auto"/>
        <w:ind w:firstLineChars="200" w:firstLine="480"/>
        <w:textAlignment w:val="baseline"/>
        <w:rPr>
          <w:rFonts w:hAnsi="宋体"/>
          <w:sz w:val="24"/>
          <w:szCs w:val="24"/>
        </w:rPr>
      </w:pPr>
      <w:r>
        <w:rPr>
          <w:rFonts w:hAnsi="宋体"/>
          <w:sz w:val="24"/>
          <w:szCs w:val="24"/>
        </w:rPr>
        <w:t>投资</w:t>
      </w:r>
      <w:r>
        <w:rPr>
          <w:rFonts w:hAnsi="宋体" w:hint="eastAsia"/>
          <w:sz w:val="24"/>
          <w:szCs w:val="24"/>
        </w:rPr>
        <w:t>者</w:t>
      </w:r>
      <w:r>
        <w:rPr>
          <w:rFonts w:hAnsi="宋体"/>
          <w:sz w:val="24"/>
          <w:szCs w:val="24"/>
        </w:rPr>
        <w:t>在</w:t>
      </w:r>
      <w:r>
        <w:rPr>
          <w:rFonts w:hAnsi="宋体" w:hint="eastAsia"/>
          <w:sz w:val="24"/>
          <w:szCs w:val="24"/>
        </w:rPr>
        <w:t>山西证券</w:t>
      </w:r>
      <w:r>
        <w:rPr>
          <w:rFonts w:hAnsi="宋体"/>
          <w:sz w:val="24"/>
          <w:szCs w:val="24"/>
        </w:rPr>
        <w:t>办理上述业务应遵循其具体规定。</w:t>
      </w:r>
    </w:p>
    <w:p w:rsidR="00987BCA" w:rsidRDefault="0044126E">
      <w:pPr>
        <w:spacing w:line="360" w:lineRule="auto"/>
        <w:ind w:firstLineChars="200" w:firstLine="480"/>
        <w:textAlignment w:val="baseline"/>
        <w:rPr>
          <w:sz w:val="24"/>
          <w:szCs w:val="24"/>
        </w:rPr>
      </w:pPr>
      <w:r>
        <w:rPr>
          <w:rFonts w:hAnsi="宋体"/>
          <w:sz w:val="24"/>
          <w:szCs w:val="24"/>
        </w:rPr>
        <w:t>投资</w:t>
      </w:r>
      <w:r>
        <w:rPr>
          <w:rFonts w:hAnsi="宋体" w:hint="eastAsia"/>
          <w:sz w:val="24"/>
          <w:szCs w:val="24"/>
        </w:rPr>
        <w:t>者</w:t>
      </w:r>
      <w:r>
        <w:rPr>
          <w:rFonts w:hAnsi="宋体"/>
          <w:sz w:val="24"/>
          <w:szCs w:val="24"/>
        </w:rPr>
        <w:t>可通过以下途径咨询有关详情：</w:t>
      </w:r>
    </w:p>
    <w:p w:rsidR="00987BCA" w:rsidRDefault="0044126E">
      <w:pPr>
        <w:spacing w:line="360" w:lineRule="auto"/>
        <w:ind w:firstLineChars="200" w:firstLine="480"/>
        <w:textAlignment w:val="baseline"/>
        <w:rPr>
          <w:rFonts w:hAnsi="宋体"/>
          <w:sz w:val="24"/>
          <w:szCs w:val="24"/>
        </w:rPr>
      </w:pPr>
      <w:r>
        <w:rPr>
          <w:rFonts w:hAnsi="宋体" w:hint="eastAsia"/>
          <w:sz w:val="24"/>
          <w:szCs w:val="24"/>
        </w:rPr>
        <w:t>1</w:t>
      </w:r>
      <w:r>
        <w:rPr>
          <w:rFonts w:hAnsi="宋体" w:hint="eastAsia"/>
          <w:sz w:val="24"/>
          <w:szCs w:val="24"/>
        </w:rPr>
        <w:t>、</w:t>
      </w:r>
      <w:r>
        <w:rPr>
          <w:rFonts w:hAnsi="宋体"/>
          <w:sz w:val="24"/>
          <w:szCs w:val="24"/>
        </w:rPr>
        <w:t>宝盈基金管理有限公司</w:t>
      </w:r>
    </w:p>
    <w:p w:rsidR="00987BCA" w:rsidRDefault="0044126E">
      <w:pPr>
        <w:spacing w:line="360" w:lineRule="auto"/>
        <w:ind w:firstLineChars="300" w:firstLine="720"/>
        <w:textAlignment w:val="baseline"/>
        <w:rPr>
          <w:rFonts w:hAnsi="宋体"/>
          <w:sz w:val="24"/>
          <w:szCs w:val="24"/>
        </w:rPr>
      </w:pPr>
      <w:r>
        <w:rPr>
          <w:rFonts w:hAnsi="宋体"/>
          <w:sz w:val="24"/>
          <w:szCs w:val="24"/>
        </w:rPr>
        <w:t xml:space="preserve"> </w:t>
      </w:r>
      <w:r>
        <w:rPr>
          <w:rFonts w:hAnsi="宋体"/>
          <w:sz w:val="24"/>
          <w:szCs w:val="24"/>
        </w:rPr>
        <w:t>公司网站：</w:t>
      </w:r>
      <w:hyperlink r:id="rId5" w:history="1">
        <w:r>
          <w:rPr>
            <w:rFonts w:hAnsi="宋体"/>
            <w:sz w:val="24"/>
            <w:szCs w:val="24"/>
          </w:rPr>
          <w:t>www.byfunds.com</w:t>
        </w:r>
      </w:hyperlink>
    </w:p>
    <w:p w:rsidR="00987BCA" w:rsidRDefault="0044126E">
      <w:pPr>
        <w:spacing w:line="360" w:lineRule="auto"/>
        <w:ind w:firstLineChars="200" w:firstLine="480"/>
        <w:textAlignment w:val="baseline"/>
        <w:rPr>
          <w:rFonts w:hAnsi="宋体"/>
          <w:sz w:val="24"/>
          <w:szCs w:val="24"/>
        </w:rPr>
      </w:pPr>
      <w:r>
        <w:rPr>
          <w:rFonts w:hAnsi="宋体"/>
          <w:sz w:val="24"/>
          <w:szCs w:val="24"/>
        </w:rPr>
        <w:t xml:space="preserve">   </w:t>
      </w:r>
      <w:r>
        <w:rPr>
          <w:rFonts w:hAnsi="宋体"/>
          <w:sz w:val="24"/>
          <w:szCs w:val="24"/>
        </w:rPr>
        <w:t>客户咨询电话：</w:t>
      </w:r>
      <w:r>
        <w:rPr>
          <w:rFonts w:hAnsi="宋体"/>
          <w:sz w:val="24"/>
          <w:szCs w:val="24"/>
        </w:rPr>
        <w:t>400-8888-300</w:t>
      </w:r>
      <w:r>
        <w:rPr>
          <w:rFonts w:hAnsi="宋体"/>
          <w:sz w:val="24"/>
          <w:szCs w:val="24"/>
        </w:rPr>
        <w:t>（免长途话费）</w:t>
      </w:r>
    </w:p>
    <w:p w:rsidR="00987BCA" w:rsidRDefault="0044126E">
      <w:pPr>
        <w:spacing w:line="360" w:lineRule="auto"/>
        <w:ind w:firstLineChars="200" w:firstLine="480"/>
        <w:textAlignment w:val="baseline"/>
        <w:rPr>
          <w:rFonts w:hAnsi="宋体"/>
          <w:sz w:val="24"/>
          <w:szCs w:val="24"/>
        </w:rPr>
      </w:pPr>
      <w:r>
        <w:rPr>
          <w:rFonts w:hAnsi="宋体"/>
          <w:sz w:val="24"/>
          <w:szCs w:val="24"/>
        </w:rPr>
        <w:t>2</w:t>
      </w:r>
      <w:r>
        <w:rPr>
          <w:rFonts w:hAnsi="宋体"/>
          <w:sz w:val="24"/>
          <w:szCs w:val="24"/>
        </w:rPr>
        <w:t>、</w:t>
      </w:r>
      <w:r>
        <w:rPr>
          <w:rFonts w:hint="eastAsia"/>
          <w:sz w:val="24"/>
        </w:rPr>
        <w:t>山西证券股份有限公司</w:t>
      </w:r>
    </w:p>
    <w:p w:rsidR="00987BCA" w:rsidRDefault="0044126E">
      <w:pPr>
        <w:spacing w:line="360" w:lineRule="auto"/>
        <w:ind w:firstLineChars="400" w:firstLine="960"/>
        <w:textAlignment w:val="baseline"/>
        <w:rPr>
          <w:sz w:val="24"/>
          <w:szCs w:val="24"/>
        </w:rPr>
      </w:pPr>
      <w:r>
        <w:rPr>
          <w:sz w:val="24"/>
          <w:szCs w:val="24"/>
        </w:rPr>
        <w:t>公司网站：</w:t>
      </w:r>
      <w:r>
        <w:rPr>
          <w:rFonts w:ascii="Times New Roman" w:eastAsia="宋体" w:hAnsi="宋体" w:cs="Times New Roman" w:hint="eastAsia"/>
          <w:sz w:val="24"/>
          <w:szCs w:val="24"/>
        </w:rPr>
        <w:t>www.i618.com.cn</w:t>
      </w:r>
    </w:p>
    <w:p w:rsidR="00987BCA" w:rsidRDefault="0044126E">
      <w:pPr>
        <w:spacing w:line="360" w:lineRule="auto"/>
        <w:ind w:firstLineChars="400" w:firstLine="960"/>
        <w:textAlignment w:val="baseline"/>
        <w:rPr>
          <w:sz w:val="24"/>
          <w:szCs w:val="24"/>
        </w:rPr>
      </w:pPr>
      <w:r>
        <w:rPr>
          <w:sz w:val="24"/>
          <w:szCs w:val="24"/>
        </w:rPr>
        <w:t>客户服务电话：</w:t>
      </w:r>
      <w:r>
        <w:rPr>
          <w:rFonts w:ascii="Times New Roman" w:eastAsia="宋体" w:hAnsi="宋体" w:cs="Times New Roman" w:hint="eastAsia"/>
          <w:sz w:val="24"/>
          <w:szCs w:val="24"/>
        </w:rPr>
        <w:t>400-666-1618</w:t>
      </w:r>
      <w:r>
        <w:rPr>
          <w:rFonts w:ascii="Times New Roman" w:eastAsia="宋体" w:hAnsi="宋体" w:cs="Times New Roman" w:hint="eastAsia"/>
          <w:sz w:val="24"/>
          <w:szCs w:val="24"/>
        </w:rPr>
        <w:t>、</w:t>
      </w:r>
      <w:r>
        <w:rPr>
          <w:rFonts w:ascii="Times New Roman" w:eastAsia="宋体" w:hAnsi="宋体" w:cs="Times New Roman" w:hint="eastAsia"/>
          <w:sz w:val="24"/>
          <w:szCs w:val="24"/>
        </w:rPr>
        <w:t>95573</w:t>
      </w:r>
    </w:p>
    <w:p w:rsidR="00987BCA" w:rsidRDefault="0044126E">
      <w:pPr>
        <w:spacing w:line="360" w:lineRule="auto"/>
        <w:ind w:firstLineChars="200" w:firstLine="480"/>
        <w:textAlignment w:val="baseline"/>
        <w:rPr>
          <w:sz w:val="24"/>
          <w:szCs w:val="24"/>
        </w:rPr>
      </w:pPr>
      <w:r>
        <w:rPr>
          <w:rFonts w:hAnsi="宋体"/>
          <w:sz w:val="24"/>
          <w:szCs w:val="24"/>
        </w:rPr>
        <w:t>风险提示：</w:t>
      </w:r>
      <w:r>
        <w:rPr>
          <w:rFonts w:hint="eastAsia"/>
          <w:sz w:val="24"/>
          <w:szCs w:val="24"/>
        </w:rPr>
        <w:t>基金管理人承诺以诚实信用、勤勉尽责的原则管理和运用基金资产，但不保证</w:t>
      </w:r>
      <w:r>
        <w:rPr>
          <w:rFonts w:hint="eastAsia"/>
          <w:sz w:val="24"/>
          <w:szCs w:val="24"/>
        </w:rPr>
        <w:lastRenderedPageBreak/>
        <w:t>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987BCA" w:rsidRDefault="0044126E">
      <w:pPr>
        <w:spacing w:line="360" w:lineRule="auto"/>
        <w:ind w:firstLineChars="200" w:firstLine="480"/>
        <w:textAlignment w:val="baseline"/>
        <w:rPr>
          <w:sz w:val="24"/>
          <w:szCs w:val="24"/>
        </w:rPr>
      </w:pPr>
      <w:r>
        <w:rPr>
          <w:rFonts w:hAnsi="宋体"/>
          <w:sz w:val="24"/>
          <w:szCs w:val="24"/>
        </w:rPr>
        <w:t>特此公告。</w:t>
      </w:r>
    </w:p>
    <w:p w:rsidR="00987BCA" w:rsidRDefault="0044126E">
      <w:pPr>
        <w:spacing w:line="360" w:lineRule="auto"/>
        <w:ind w:firstLineChars="200" w:firstLine="480"/>
        <w:jc w:val="right"/>
        <w:textAlignment w:val="baseline"/>
        <w:rPr>
          <w:sz w:val="24"/>
          <w:szCs w:val="24"/>
        </w:rPr>
      </w:pPr>
      <w:r>
        <w:rPr>
          <w:sz w:val="24"/>
          <w:szCs w:val="24"/>
        </w:rPr>
        <w:t xml:space="preserve">                                </w:t>
      </w:r>
      <w:r>
        <w:rPr>
          <w:sz w:val="24"/>
          <w:szCs w:val="24"/>
        </w:rPr>
        <w:t xml:space="preserve">      </w:t>
      </w:r>
      <w:r>
        <w:rPr>
          <w:rFonts w:hAnsi="宋体"/>
          <w:sz w:val="24"/>
          <w:szCs w:val="24"/>
        </w:rPr>
        <w:t>宝盈基金管理有限公司</w:t>
      </w:r>
    </w:p>
    <w:p w:rsidR="00987BCA" w:rsidRDefault="0044126E">
      <w:pPr>
        <w:spacing w:line="360" w:lineRule="auto"/>
        <w:ind w:firstLineChars="200" w:firstLine="480"/>
        <w:jc w:val="right"/>
        <w:textAlignment w:val="baseline"/>
        <w:rPr>
          <w:rFonts w:ascii="Times New Roman" w:eastAsia="宋体" w:hAnsi="宋体" w:cs="Times New Roman"/>
          <w:sz w:val="24"/>
          <w:szCs w:val="24"/>
        </w:rPr>
      </w:pPr>
      <w:r>
        <w:rPr>
          <w:rFonts w:ascii="Times New Roman" w:eastAsia="宋体" w:hAnsi="宋体" w:cs="Times New Roman"/>
          <w:sz w:val="24"/>
          <w:szCs w:val="24"/>
        </w:rPr>
        <w:t>202</w:t>
      </w:r>
      <w:r>
        <w:rPr>
          <w:rFonts w:ascii="Times New Roman" w:eastAsia="宋体" w:hAnsi="宋体" w:cs="Times New Roman" w:hint="eastAsia"/>
          <w:sz w:val="24"/>
          <w:szCs w:val="24"/>
        </w:rPr>
        <w:t>4</w:t>
      </w:r>
      <w:r>
        <w:rPr>
          <w:rFonts w:ascii="Times New Roman" w:eastAsia="宋体" w:hAnsi="宋体" w:cs="Times New Roman"/>
          <w:sz w:val="24"/>
          <w:szCs w:val="24"/>
        </w:rPr>
        <w:t>年</w:t>
      </w:r>
      <w:r>
        <w:rPr>
          <w:rFonts w:ascii="Times New Roman" w:eastAsia="宋体" w:hAnsi="宋体" w:cs="Times New Roman" w:hint="eastAsia"/>
          <w:sz w:val="24"/>
          <w:szCs w:val="24"/>
        </w:rPr>
        <w:t>9</w:t>
      </w:r>
      <w:r>
        <w:rPr>
          <w:rFonts w:ascii="Times New Roman" w:eastAsia="宋体" w:hAnsi="宋体" w:cs="Times New Roman"/>
          <w:sz w:val="24"/>
          <w:szCs w:val="24"/>
        </w:rPr>
        <w:t>月</w:t>
      </w:r>
      <w:r>
        <w:rPr>
          <w:rFonts w:ascii="Times New Roman" w:eastAsia="宋体" w:hAnsi="宋体" w:cs="Times New Roman" w:hint="eastAsia"/>
          <w:sz w:val="24"/>
          <w:szCs w:val="24"/>
        </w:rPr>
        <w:t>10</w:t>
      </w:r>
      <w:bookmarkStart w:id="0" w:name="_GoBack"/>
      <w:bookmarkEnd w:id="0"/>
      <w:r>
        <w:rPr>
          <w:rFonts w:ascii="Times New Roman" w:eastAsia="宋体" w:hAnsi="宋体" w:cs="Times New Roman"/>
          <w:sz w:val="24"/>
          <w:szCs w:val="24"/>
        </w:rPr>
        <w:t>日</w:t>
      </w:r>
      <w:r>
        <w:rPr>
          <w:rFonts w:ascii="Times New Roman" w:eastAsia="宋体" w:hAnsi="宋体" w:cs="Times New Roman"/>
          <w:sz w:val="24"/>
          <w:szCs w:val="24"/>
        </w:rPr>
        <w:t xml:space="preserve">  </w:t>
      </w:r>
    </w:p>
    <w:sectPr w:rsidR="00987BCA" w:rsidSect="00987BCA">
      <w:pgSz w:w="11906" w:h="16838"/>
      <w:pgMar w:top="1134" w:right="1077" w:bottom="1134"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Y2MWZkN2NmNDU2OTY2ZDQxODg0YmQwOTg5YTk1MjgifQ=="/>
    <w:docVar w:name="KSO_WPS_MARK_KEY" w:val="b852e682-57d8-4b71-af51-596b00046726"/>
  </w:docVars>
  <w:rsids>
    <w:rsidRoot w:val="00983D55"/>
    <w:rsid w:val="00054D73"/>
    <w:rsid w:val="0008039E"/>
    <w:rsid w:val="00091524"/>
    <w:rsid w:val="000D6D94"/>
    <w:rsid w:val="0010796B"/>
    <w:rsid w:val="00144F6D"/>
    <w:rsid w:val="00197DCD"/>
    <w:rsid w:val="001C1CA9"/>
    <w:rsid w:val="00215C4E"/>
    <w:rsid w:val="00227EE5"/>
    <w:rsid w:val="0023164F"/>
    <w:rsid w:val="002B6F8C"/>
    <w:rsid w:val="00306A60"/>
    <w:rsid w:val="00314D54"/>
    <w:rsid w:val="00380C7C"/>
    <w:rsid w:val="003C12E6"/>
    <w:rsid w:val="003F12B5"/>
    <w:rsid w:val="003F4DD9"/>
    <w:rsid w:val="003F5DEE"/>
    <w:rsid w:val="0044126E"/>
    <w:rsid w:val="00451C89"/>
    <w:rsid w:val="00482435"/>
    <w:rsid w:val="004B4714"/>
    <w:rsid w:val="004E2701"/>
    <w:rsid w:val="00530E04"/>
    <w:rsid w:val="00541BA5"/>
    <w:rsid w:val="00580FB2"/>
    <w:rsid w:val="00587289"/>
    <w:rsid w:val="00595554"/>
    <w:rsid w:val="005F0AF9"/>
    <w:rsid w:val="0060076B"/>
    <w:rsid w:val="006440FF"/>
    <w:rsid w:val="00661186"/>
    <w:rsid w:val="00666CF6"/>
    <w:rsid w:val="006A0E7F"/>
    <w:rsid w:val="006D7271"/>
    <w:rsid w:val="00717C3D"/>
    <w:rsid w:val="00736A3F"/>
    <w:rsid w:val="007635A1"/>
    <w:rsid w:val="007834F1"/>
    <w:rsid w:val="007838C6"/>
    <w:rsid w:val="007D62A2"/>
    <w:rsid w:val="007F39BF"/>
    <w:rsid w:val="008550D7"/>
    <w:rsid w:val="00983D55"/>
    <w:rsid w:val="00987BCA"/>
    <w:rsid w:val="009A5F24"/>
    <w:rsid w:val="009C479E"/>
    <w:rsid w:val="009D4C7D"/>
    <w:rsid w:val="009D71BF"/>
    <w:rsid w:val="00A07B59"/>
    <w:rsid w:val="00A20CA0"/>
    <w:rsid w:val="00A4182A"/>
    <w:rsid w:val="00A93E52"/>
    <w:rsid w:val="00AA502B"/>
    <w:rsid w:val="00AC06C2"/>
    <w:rsid w:val="00AE287D"/>
    <w:rsid w:val="00AF69E8"/>
    <w:rsid w:val="00BE5440"/>
    <w:rsid w:val="00C01EE8"/>
    <w:rsid w:val="00C2334D"/>
    <w:rsid w:val="00C529B7"/>
    <w:rsid w:val="00C85DB6"/>
    <w:rsid w:val="00CC3761"/>
    <w:rsid w:val="00D037AD"/>
    <w:rsid w:val="00D103F6"/>
    <w:rsid w:val="00D87945"/>
    <w:rsid w:val="00DA555C"/>
    <w:rsid w:val="00DD42D7"/>
    <w:rsid w:val="00DE4D26"/>
    <w:rsid w:val="00E52C8F"/>
    <w:rsid w:val="00E7722A"/>
    <w:rsid w:val="00E82F38"/>
    <w:rsid w:val="00EA1AB8"/>
    <w:rsid w:val="00EC4F9A"/>
    <w:rsid w:val="00F30A70"/>
    <w:rsid w:val="00F65C85"/>
    <w:rsid w:val="00F807FD"/>
    <w:rsid w:val="00F82C52"/>
    <w:rsid w:val="00FD7021"/>
    <w:rsid w:val="00FF67F7"/>
    <w:rsid w:val="12531B2B"/>
    <w:rsid w:val="17033CFE"/>
    <w:rsid w:val="1E764DFF"/>
    <w:rsid w:val="38F64AF1"/>
    <w:rsid w:val="42274495"/>
    <w:rsid w:val="5B5E63DA"/>
    <w:rsid w:val="5F32397F"/>
    <w:rsid w:val="66552ACF"/>
    <w:rsid w:val="6E106F8D"/>
    <w:rsid w:val="7DFC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CA"/>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rsid w:val="00987BCA"/>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87BCA"/>
    <w:rPr>
      <w:sz w:val="18"/>
      <w:szCs w:val="18"/>
    </w:rPr>
  </w:style>
  <w:style w:type="paragraph" w:styleId="a4">
    <w:name w:val="footer"/>
    <w:basedOn w:val="a"/>
    <w:link w:val="Char0"/>
    <w:uiPriority w:val="99"/>
    <w:unhideWhenUsed/>
    <w:qFormat/>
    <w:rsid w:val="00987BC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87BCA"/>
    <w:pPr>
      <w:pBdr>
        <w:bottom w:val="single" w:sz="6" w:space="1" w:color="auto"/>
      </w:pBdr>
      <w:tabs>
        <w:tab w:val="center" w:pos="4153"/>
        <w:tab w:val="right" w:pos="8306"/>
      </w:tabs>
      <w:snapToGrid w:val="0"/>
      <w:jc w:val="center"/>
    </w:pPr>
    <w:rPr>
      <w:sz w:val="18"/>
      <w:szCs w:val="18"/>
    </w:rPr>
  </w:style>
  <w:style w:type="character" w:styleId="a6">
    <w:name w:val="Strong"/>
    <w:qFormat/>
    <w:rsid w:val="00987BCA"/>
    <w:rPr>
      <w:rFonts w:ascii="Times New Roman" w:eastAsia="宋体" w:hAnsi="Times New Roman" w:hint="default"/>
      <w:b/>
    </w:rPr>
  </w:style>
  <w:style w:type="character" w:customStyle="1" w:styleId="Char1">
    <w:name w:val="页眉 Char"/>
    <w:basedOn w:val="a0"/>
    <w:link w:val="a5"/>
    <w:uiPriority w:val="99"/>
    <w:qFormat/>
    <w:rsid w:val="00987BCA"/>
    <w:rPr>
      <w:sz w:val="18"/>
      <w:szCs w:val="18"/>
    </w:rPr>
  </w:style>
  <w:style w:type="character" w:customStyle="1" w:styleId="Char0">
    <w:name w:val="页脚 Char"/>
    <w:basedOn w:val="a0"/>
    <w:link w:val="a4"/>
    <w:uiPriority w:val="99"/>
    <w:qFormat/>
    <w:rsid w:val="00987BCA"/>
    <w:rPr>
      <w:sz w:val="18"/>
      <w:szCs w:val="18"/>
    </w:rPr>
  </w:style>
  <w:style w:type="character" w:customStyle="1" w:styleId="Char">
    <w:name w:val="批注框文本 Char"/>
    <w:basedOn w:val="a0"/>
    <w:link w:val="a3"/>
    <w:uiPriority w:val="99"/>
    <w:semiHidden/>
    <w:qFormat/>
    <w:rsid w:val="00987BC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yfu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16CB-0F0B-41FD-9BCC-B1C1AD2A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4</DocSecurity>
  <Lines>8</Lines>
  <Paragraphs>2</Paragraphs>
  <ScaleCrop>false</ScaleCrop>
  <Company>Microsoft</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ZHONGM</cp:lastModifiedBy>
  <cp:revision>2</cp:revision>
  <dcterms:created xsi:type="dcterms:W3CDTF">2024-09-09T16:01:00Z</dcterms:created>
  <dcterms:modified xsi:type="dcterms:W3CDTF">2024-09-09T16:01:00Z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00ACC50A06104C50B65AE09ABFCAB557</vt:lpwstr>
  </property>
</Properties>
</file>