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997" w:rsidRDefault="008C0938">
      <w:pPr>
        <w:pStyle w:val="a4"/>
        <w:ind w:firstLineChars="0" w:firstLine="0"/>
        <w:jc w:val="center"/>
        <w:rPr>
          <w:b/>
          <w:bCs/>
        </w:rPr>
      </w:pPr>
      <w:r>
        <w:rPr>
          <w:b/>
          <w:bCs/>
        </w:rPr>
        <w:t>关于</w:t>
      </w:r>
      <w:r>
        <w:rPr>
          <w:rFonts w:hint="eastAsia"/>
          <w:b/>
          <w:bCs/>
        </w:rPr>
        <w:t>平安广州交投广河高速公路</w:t>
      </w:r>
      <w:r>
        <w:rPr>
          <w:b/>
          <w:bCs/>
        </w:rPr>
        <w:t>封闭式基础设施证券投资基金</w:t>
      </w:r>
    </w:p>
    <w:p w:rsidR="00133997" w:rsidRDefault="008C0938">
      <w:pPr>
        <w:pStyle w:val="a4"/>
        <w:ind w:firstLineChars="0" w:firstLine="0"/>
        <w:jc w:val="center"/>
        <w:rPr>
          <w:b/>
          <w:bCs/>
        </w:rPr>
      </w:pPr>
      <w:r>
        <w:rPr>
          <w:rFonts w:hint="eastAsia"/>
          <w:b/>
          <w:bCs/>
        </w:rPr>
        <w:t>运营管理机构高级管理人员变更情况的公告</w:t>
      </w:r>
    </w:p>
    <w:p w:rsidR="00133997" w:rsidRDefault="008C0938">
      <w:pPr>
        <w:pStyle w:val="Default"/>
        <w:spacing w:line="360" w:lineRule="auto"/>
        <w:jc w:val="center"/>
        <w:rPr>
          <w:rFonts w:ascii="Times New Roman" w:eastAsia="宋体" w:hAnsi="Times New Roman" w:cs="Times New Roman"/>
          <w:b/>
        </w:rPr>
      </w:pPr>
      <w:r>
        <w:rPr>
          <w:rFonts w:ascii="Times New Roman" w:eastAsia="宋体" w:hAnsi="Times New Roman" w:cs="Times New Roman"/>
          <w:b/>
        </w:rPr>
        <w:t>公告送出日期：</w:t>
      </w:r>
      <w:r>
        <w:rPr>
          <w:rFonts w:ascii="Times New Roman" w:eastAsia="宋体" w:hAnsi="Times New Roman" w:cs="Times New Roman"/>
          <w:b/>
        </w:rPr>
        <w:t>202</w:t>
      </w:r>
      <w:r>
        <w:rPr>
          <w:rFonts w:ascii="Times New Roman" w:eastAsia="宋体" w:hAnsi="Times New Roman" w:cs="Times New Roman" w:hint="eastAsia"/>
          <w:b/>
        </w:rPr>
        <w:t>4</w:t>
      </w:r>
      <w:r>
        <w:rPr>
          <w:rFonts w:ascii="Times New Roman" w:eastAsia="宋体" w:hAnsi="Times New Roman" w:cs="Times New Roman"/>
          <w:b/>
        </w:rPr>
        <w:t>年</w:t>
      </w:r>
      <w:r w:rsidR="00BC10CE">
        <w:rPr>
          <w:rFonts w:ascii="Times New Roman" w:eastAsia="宋体" w:hAnsi="Times New Roman" w:cs="Times New Roman"/>
          <w:b/>
        </w:rPr>
        <w:t>9</w:t>
      </w:r>
      <w:r>
        <w:rPr>
          <w:rFonts w:ascii="Times New Roman" w:eastAsia="宋体" w:hAnsi="Times New Roman" w:cs="Times New Roman"/>
          <w:b/>
        </w:rPr>
        <w:t>月</w:t>
      </w:r>
      <w:r w:rsidR="00133F1B">
        <w:rPr>
          <w:rFonts w:ascii="Times New Roman" w:eastAsia="宋体" w:hAnsi="Times New Roman" w:cs="Times New Roman"/>
          <w:b/>
        </w:rPr>
        <w:t>7</w:t>
      </w:r>
      <w:r>
        <w:rPr>
          <w:rFonts w:ascii="Times New Roman" w:eastAsia="宋体" w:hAnsi="Times New Roman" w:cs="Times New Roman"/>
          <w:b/>
        </w:rPr>
        <w:t>日</w:t>
      </w:r>
    </w:p>
    <w:p w:rsidR="00133997" w:rsidRDefault="00133997">
      <w:pPr>
        <w:pStyle w:val="Default"/>
        <w:spacing w:line="360" w:lineRule="auto"/>
        <w:jc w:val="center"/>
        <w:rPr>
          <w:rFonts w:ascii="Times New Roman" w:eastAsia="宋体" w:hAnsi="Times New Roman" w:cs="Times New Roman"/>
          <w:b/>
        </w:rPr>
      </w:pPr>
    </w:p>
    <w:p w:rsidR="00133997" w:rsidRDefault="008C0938">
      <w:pPr>
        <w:pStyle w:val="ac"/>
        <w:numPr>
          <w:ilvl w:val="0"/>
          <w:numId w:val="2"/>
        </w:numPr>
        <w:snapToGrid w:val="0"/>
        <w:spacing w:line="360" w:lineRule="auto"/>
        <w:ind w:firstLineChars="0"/>
        <w:outlineLvl w:val="0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/>
          <w:b/>
          <w:sz w:val="24"/>
          <w:szCs w:val="24"/>
        </w:rPr>
        <w:t>公募</w:t>
      </w:r>
      <w:r>
        <w:rPr>
          <w:rFonts w:ascii="Times New Roman" w:eastAsia="宋体" w:hAnsi="Times New Roman" w:cs="Times New Roman"/>
          <w:b/>
          <w:sz w:val="24"/>
          <w:szCs w:val="24"/>
        </w:rPr>
        <w:t>REITs</w:t>
      </w:r>
      <w:r>
        <w:rPr>
          <w:rFonts w:ascii="Times New Roman" w:eastAsia="宋体" w:hAnsi="Times New Roman" w:cs="Times New Roman"/>
          <w:b/>
          <w:sz w:val="24"/>
          <w:szCs w:val="24"/>
        </w:rPr>
        <w:t>基本信息</w:t>
      </w:r>
    </w:p>
    <w:tbl>
      <w:tblPr>
        <w:tblStyle w:val="aa"/>
        <w:tblW w:w="8866" w:type="dxa"/>
        <w:jc w:val="center"/>
        <w:tblLook w:val="04A0"/>
      </w:tblPr>
      <w:tblGrid>
        <w:gridCol w:w="3596"/>
        <w:gridCol w:w="5270"/>
      </w:tblGrid>
      <w:tr w:rsidR="00133997">
        <w:trPr>
          <w:trHeight w:val="270"/>
          <w:jc w:val="center"/>
        </w:trPr>
        <w:tc>
          <w:tcPr>
            <w:tcW w:w="3596" w:type="dxa"/>
          </w:tcPr>
          <w:p w:rsidR="00133997" w:rsidRDefault="008C093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公募REITs名称</w:t>
            </w:r>
          </w:p>
        </w:tc>
        <w:tc>
          <w:tcPr>
            <w:tcW w:w="5270" w:type="dxa"/>
            <w:vAlign w:val="center"/>
          </w:tcPr>
          <w:p w:rsidR="00133997" w:rsidRDefault="008C093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hint="eastAsia"/>
              </w:rPr>
              <w:t>平安广州交投广河</w:t>
            </w:r>
            <w:r>
              <w:rPr>
                <w:rFonts w:ascii="宋体" w:eastAsia="宋体" w:hAnsi="宋体" w:cs="Times New Roman"/>
                <w:szCs w:val="21"/>
              </w:rPr>
              <w:t>高速公路封闭式基础设施证券投资基金</w:t>
            </w:r>
          </w:p>
        </w:tc>
      </w:tr>
      <w:tr w:rsidR="00133997">
        <w:trPr>
          <w:trHeight w:val="310"/>
          <w:jc w:val="center"/>
        </w:trPr>
        <w:tc>
          <w:tcPr>
            <w:tcW w:w="3596" w:type="dxa"/>
          </w:tcPr>
          <w:p w:rsidR="00133997" w:rsidRDefault="008C093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公募REITs简称</w:t>
            </w:r>
          </w:p>
        </w:tc>
        <w:tc>
          <w:tcPr>
            <w:tcW w:w="5270" w:type="dxa"/>
            <w:vAlign w:val="center"/>
          </w:tcPr>
          <w:p w:rsidR="00133997" w:rsidRDefault="008C093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hint="eastAsia"/>
              </w:rPr>
              <w:t>平安广交投广河高速</w:t>
            </w:r>
            <w:r>
              <w:rPr>
                <w:rFonts w:ascii="宋体" w:eastAsia="宋体" w:hAnsi="宋体"/>
              </w:rPr>
              <w:t>REIT</w:t>
            </w:r>
          </w:p>
        </w:tc>
      </w:tr>
      <w:tr w:rsidR="00133997">
        <w:trPr>
          <w:trHeight w:val="310"/>
          <w:jc w:val="center"/>
        </w:trPr>
        <w:tc>
          <w:tcPr>
            <w:tcW w:w="3596" w:type="dxa"/>
          </w:tcPr>
          <w:p w:rsidR="00133997" w:rsidRDefault="008C093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场内简称</w:t>
            </w:r>
          </w:p>
        </w:tc>
        <w:tc>
          <w:tcPr>
            <w:tcW w:w="5270" w:type="dxa"/>
            <w:vAlign w:val="center"/>
          </w:tcPr>
          <w:p w:rsidR="00133997" w:rsidRDefault="008C093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hint="eastAsia"/>
              </w:rPr>
              <w:t>平安广州广河</w:t>
            </w:r>
            <w:r>
              <w:rPr>
                <w:rFonts w:ascii="宋体" w:eastAsia="宋体" w:hAnsi="宋体" w:cs="Times New Roman"/>
                <w:szCs w:val="21"/>
              </w:rPr>
              <w:t>REIT</w:t>
            </w:r>
          </w:p>
        </w:tc>
      </w:tr>
      <w:tr w:rsidR="00133997">
        <w:trPr>
          <w:trHeight w:val="310"/>
          <w:jc w:val="center"/>
        </w:trPr>
        <w:tc>
          <w:tcPr>
            <w:tcW w:w="3596" w:type="dxa"/>
          </w:tcPr>
          <w:p w:rsidR="00133997" w:rsidRDefault="008C093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公募REITs代码</w:t>
            </w:r>
          </w:p>
        </w:tc>
        <w:tc>
          <w:tcPr>
            <w:tcW w:w="5270" w:type="dxa"/>
          </w:tcPr>
          <w:p w:rsidR="00133997" w:rsidRDefault="008C093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18020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</w:tr>
      <w:tr w:rsidR="00133997">
        <w:trPr>
          <w:trHeight w:val="310"/>
          <w:jc w:val="center"/>
        </w:trPr>
        <w:tc>
          <w:tcPr>
            <w:tcW w:w="3596" w:type="dxa"/>
          </w:tcPr>
          <w:p w:rsidR="00133997" w:rsidRDefault="008C093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公募REITs合同生效日期</w:t>
            </w:r>
          </w:p>
        </w:tc>
        <w:tc>
          <w:tcPr>
            <w:tcW w:w="5270" w:type="dxa"/>
          </w:tcPr>
          <w:p w:rsidR="00133997" w:rsidRDefault="008C093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2021年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>月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  <w:r>
              <w:rPr>
                <w:rFonts w:ascii="宋体" w:eastAsia="宋体" w:hAnsi="宋体" w:cs="Times New Roman"/>
                <w:szCs w:val="21"/>
              </w:rPr>
              <w:t>日</w:t>
            </w:r>
          </w:p>
        </w:tc>
      </w:tr>
      <w:tr w:rsidR="00133997">
        <w:trPr>
          <w:trHeight w:val="310"/>
          <w:jc w:val="center"/>
        </w:trPr>
        <w:tc>
          <w:tcPr>
            <w:tcW w:w="3596" w:type="dxa"/>
          </w:tcPr>
          <w:p w:rsidR="00133997" w:rsidRDefault="008C093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基金管理人名称</w:t>
            </w:r>
          </w:p>
        </w:tc>
        <w:tc>
          <w:tcPr>
            <w:tcW w:w="5270" w:type="dxa"/>
          </w:tcPr>
          <w:p w:rsidR="00133997" w:rsidRDefault="008C093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平安</w:t>
            </w:r>
            <w:r>
              <w:rPr>
                <w:rFonts w:ascii="宋体" w:eastAsia="宋体" w:hAnsi="宋体" w:cs="Times New Roman"/>
                <w:szCs w:val="21"/>
              </w:rPr>
              <w:t>基金管理有限公司</w:t>
            </w:r>
          </w:p>
        </w:tc>
      </w:tr>
      <w:tr w:rsidR="00133997">
        <w:trPr>
          <w:trHeight w:val="319"/>
          <w:jc w:val="center"/>
        </w:trPr>
        <w:tc>
          <w:tcPr>
            <w:tcW w:w="3596" w:type="dxa"/>
          </w:tcPr>
          <w:p w:rsidR="00133997" w:rsidRDefault="008C093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基金托管人名称</w:t>
            </w:r>
          </w:p>
        </w:tc>
        <w:tc>
          <w:tcPr>
            <w:tcW w:w="5270" w:type="dxa"/>
          </w:tcPr>
          <w:p w:rsidR="00133997" w:rsidRDefault="008C093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hint="eastAsia"/>
              </w:rPr>
              <w:t>中国工商银行</w:t>
            </w:r>
            <w:r>
              <w:rPr>
                <w:rFonts w:ascii="宋体" w:eastAsia="宋体" w:hAnsi="宋体" w:cs="Times New Roman" w:hint="eastAsia"/>
                <w:szCs w:val="21"/>
              </w:rPr>
              <w:t>股份有限公司</w:t>
            </w:r>
          </w:p>
        </w:tc>
      </w:tr>
      <w:tr w:rsidR="00133997">
        <w:trPr>
          <w:trHeight w:val="300"/>
          <w:jc w:val="center"/>
        </w:trPr>
        <w:tc>
          <w:tcPr>
            <w:tcW w:w="3596" w:type="dxa"/>
          </w:tcPr>
          <w:p w:rsidR="00133997" w:rsidRDefault="008C093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公告依据</w:t>
            </w:r>
          </w:p>
        </w:tc>
        <w:tc>
          <w:tcPr>
            <w:tcW w:w="5270" w:type="dxa"/>
          </w:tcPr>
          <w:p w:rsidR="00133997" w:rsidRDefault="008C093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《中华人民共和国证券投资基金法》及其配套法规、《公开募集基础设施证券投资基金指引（试行）》</w:t>
            </w:r>
            <w:r>
              <w:rPr>
                <w:rFonts w:ascii="宋体" w:eastAsia="宋体" w:hAnsi="宋体" w:cs="Times New Roman"/>
                <w:szCs w:val="21"/>
              </w:rPr>
              <w:t>、</w:t>
            </w:r>
            <w:r>
              <w:rPr>
                <w:rFonts w:ascii="宋体" w:eastAsia="宋体" w:hAnsi="宋体" w:cs="Times New Roman" w:hint="eastAsia"/>
                <w:szCs w:val="21"/>
              </w:rPr>
              <w:t>《深圳证券交易所公开募集基础设施证券投资基金业务办法（试行）》、《深圳证券交易所公开募集基础设施证券投资基金业务指引第5号——临时报告（试行）》</w:t>
            </w:r>
            <w:r>
              <w:rPr>
                <w:rFonts w:ascii="宋体" w:eastAsia="宋体" w:hAnsi="宋体" w:cs="Times New Roman"/>
                <w:szCs w:val="21"/>
              </w:rPr>
              <w:t>等有关规定以及《</w:t>
            </w:r>
            <w:r>
              <w:rPr>
                <w:rFonts w:ascii="宋体" w:eastAsia="宋体" w:hAnsi="宋体" w:cs="Times New Roman" w:hint="eastAsia"/>
                <w:szCs w:val="21"/>
              </w:rPr>
              <w:t>平安广州交投广河高速公路</w:t>
            </w:r>
            <w:r>
              <w:rPr>
                <w:rFonts w:ascii="宋体" w:eastAsia="宋体" w:hAnsi="宋体" w:cs="Times New Roman"/>
                <w:szCs w:val="21"/>
              </w:rPr>
              <w:t>封闭式基础设施证券投资基金基金合同》、《</w:t>
            </w:r>
            <w:r>
              <w:rPr>
                <w:rFonts w:ascii="宋体" w:eastAsia="宋体" w:hAnsi="宋体" w:cs="Times New Roman" w:hint="eastAsia"/>
                <w:szCs w:val="21"/>
              </w:rPr>
              <w:t>平安广州交投广河高速公路</w:t>
            </w:r>
            <w:r>
              <w:rPr>
                <w:rFonts w:ascii="宋体" w:eastAsia="宋体" w:hAnsi="宋体" w:cs="Times New Roman"/>
                <w:szCs w:val="21"/>
              </w:rPr>
              <w:t>封闭式基础设施证券投资基金招募说明书》</w:t>
            </w:r>
            <w:r>
              <w:rPr>
                <w:rFonts w:ascii="宋体" w:eastAsia="宋体" w:hAnsi="宋体" w:cs="Times New Roman" w:hint="eastAsia"/>
                <w:szCs w:val="21"/>
              </w:rPr>
              <w:t>及其更新</w:t>
            </w:r>
          </w:p>
        </w:tc>
      </w:tr>
    </w:tbl>
    <w:p w:rsidR="00133997" w:rsidRDefault="008C0938" w:rsidP="003D7DAA">
      <w:pPr>
        <w:pStyle w:val="ac"/>
        <w:numPr>
          <w:ilvl w:val="0"/>
          <w:numId w:val="2"/>
        </w:numPr>
        <w:snapToGrid w:val="0"/>
        <w:spacing w:beforeLines="50" w:line="360" w:lineRule="auto"/>
        <w:ind w:firstLineChars="0"/>
        <w:outlineLvl w:val="0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基础设施项目基本情况</w:t>
      </w:r>
    </w:p>
    <w:tbl>
      <w:tblPr>
        <w:tblW w:w="52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04"/>
        <w:gridCol w:w="5276"/>
      </w:tblGrid>
      <w:tr w:rsidR="00133997">
        <w:trPr>
          <w:jc w:val="center"/>
        </w:trPr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97" w:rsidRDefault="008C093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基础设施项目名称</w:t>
            </w:r>
          </w:p>
        </w:tc>
        <w:tc>
          <w:tcPr>
            <w:tcW w:w="2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3997" w:rsidRDefault="008C093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广州至河源高速公路广州段项目（以下简称“本项目”或“广河高速广州段”）</w:t>
            </w:r>
          </w:p>
        </w:tc>
      </w:tr>
      <w:tr w:rsidR="00133997">
        <w:trPr>
          <w:jc w:val="center"/>
        </w:trPr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97" w:rsidRDefault="008C093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基础设施项目公司名称 </w:t>
            </w:r>
          </w:p>
        </w:tc>
        <w:tc>
          <w:tcPr>
            <w:tcW w:w="2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3997" w:rsidRDefault="008C093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广州交投广河高速公路有限公司</w:t>
            </w:r>
          </w:p>
        </w:tc>
      </w:tr>
      <w:tr w:rsidR="00133997">
        <w:trPr>
          <w:jc w:val="center"/>
        </w:trPr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97" w:rsidRDefault="008C093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基础设施项目类型 </w:t>
            </w:r>
          </w:p>
        </w:tc>
        <w:tc>
          <w:tcPr>
            <w:tcW w:w="2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3997" w:rsidRDefault="008C093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收费公路</w:t>
            </w:r>
          </w:p>
        </w:tc>
      </w:tr>
      <w:tr w:rsidR="00133997">
        <w:trPr>
          <w:jc w:val="center"/>
        </w:trPr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97" w:rsidRDefault="008C093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基础设施项目建设内容和规模 </w:t>
            </w:r>
          </w:p>
        </w:tc>
        <w:tc>
          <w:tcPr>
            <w:tcW w:w="2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3997" w:rsidRDefault="008C093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本项目路线全长</w:t>
            </w:r>
            <w:r>
              <w:rPr>
                <w:rFonts w:ascii="宋体" w:eastAsia="宋体" w:hAnsi="宋体" w:cs="Times New Roman"/>
                <w:szCs w:val="21"/>
              </w:rPr>
              <w:t xml:space="preserve">70.754 </w:t>
            </w:r>
            <w:r>
              <w:rPr>
                <w:rFonts w:ascii="宋体" w:eastAsia="宋体" w:hAnsi="宋体" w:cs="Times New Roman" w:hint="eastAsia"/>
                <w:szCs w:val="21"/>
              </w:rPr>
              <w:t>公里，决算总投资69.34亿元，</w:t>
            </w:r>
            <w:r>
              <w:rPr>
                <w:rFonts w:ascii="宋体" w:eastAsia="宋体" w:hAnsi="宋体" w:cs="Times New Roman" w:hint="eastAsia"/>
                <w:szCs w:val="21"/>
              </w:rPr>
              <w:lastRenderedPageBreak/>
              <w:t>双向六车道，全线设春岗、八斗、九龙、中新、二龙、腊圃、黄岭香、正果、梳脑河（预留）互通立交共</w:t>
            </w:r>
            <w:r>
              <w:rPr>
                <w:rFonts w:ascii="宋体" w:eastAsia="宋体" w:hAnsi="宋体" w:cs="Times New Roman"/>
                <w:szCs w:val="21"/>
              </w:rPr>
              <w:t xml:space="preserve">9 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处。 </w:t>
            </w:r>
          </w:p>
        </w:tc>
      </w:tr>
      <w:tr w:rsidR="00133997">
        <w:trPr>
          <w:jc w:val="center"/>
        </w:trPr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97" w:rsidRDefault="008C093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lastRenderedPageBreak/>
              <w:t xml:space="preserve">基础设施项目地理位置 </w:t>
            </w:r>
          </w:p>
        </w:tc>
        <w:tc>
          <w:tcPr>
            <w:tcW w:w="2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3997" w:rsidRDefault="008C093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本项目位于粤港澳大湾区，是连接广州市中心区至中新知识城、增城区的主要通道，也是往河源和梅州汕头等粤东地区和出省至福建、浙江的大通道。起于广州市天河区龙洞春岗立交，对接华南快速干线（三期），与华南快速干线（二期）相交，自东往西穿越广州市天河区、白云区、黄埔区（萝岗）、增城区，终于增城区九龙江，与广河高速公路惠州段相接。</w:t>
            </w:r>
          </w:p>
        </w:tc>
      </w:tr>
      <w:tr w:rsidR="00133997">
        <w:trPr>
          <w:jc w:val="center"/>
        </w:trPr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97" w:rsidRDefault="008C093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hint="eastAsia"/>
              </w:rPr>
              <w:t>运营管理机构名称</w:t>
            </w:r>
          </w:p>
        </w:tc>
        <w:tc>
          <w:tcPr>
            <w:tcW w:w="2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3997" w:rsidRDefault="008C093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hint="eastAsia"/>
              </w:rPr>
              <w:t>广州交通投资集团有限公司、广州高速运营管理有限公司</w:t>
            </w:r>
          </w:p>
        </w:tc>
      </w:tr>
    </w:tbl>
    <w:p w:rsidR="00133997" w:rsidRDefault="00133997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:rsidR="00133997" w:rsidRDefault="008C0938" w:rsidP="003D7DAA">
      <w:pPr>
        <w:pStyle w:val="ac"/>
        <w:numPr>
          <w:ilvl w:val="0"/>
          <w:numId w:val="2"/>
        </w:numPr>
        <w:snapToGrid w:val="0"/>
        <w:spacing w:beforeLines="50" w:line="360" w:lineRule="auto"/>
        <w:ind w:firstLineChars="0"/>
        <w:outlineLvl w:val="0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运营管理机构高级管理人员变更情况</w:t>
      </w:r>
    </w:p>
    <w:p w:rsidR="00283A47" w:rsidRPr="00283A47" w:rsidRDefault="008C0938" w:rsidP="00283A47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基金管理人于2024年</w:t>
      </w:r>
      <w:r w:rsidR="00BC10CE">
        <w:rPr>
          <w:rFonts w:ascii="宋体" w:eastAsia="宋体" w:hAnsi="宋体" w:cs="宋体"/>
          <w:sz w:val="24"/>
          <w:szCs w:val="24"/>
        </w:rPr>
        <w:t>9</w:t>
      </w:r>
      <w:r>
        <w:rPr>
          <w:rFonts w:ascii="宋体" w:eastAsia="宋体" w:hAnsi="宋体" w:cs="宋体" w:hint="eastAsia"/>
          <w:sz w:val="24"/>
          <w:szCs w:val="24"/>
        </w:rPr>
        <w:t>月</w:t>
      </w:r>
      <w:r w:rsidR="00BC10CE">
        <w:rPr>
          <w:rFonts w:ascii="宋体" w:eastAsia="宋体" w:hAnsi="宋体" w:cs="宋体"/>
          <w:sz w:val="24"/>
          <w:szCs w:val="24"/>
        </w:rPr>
        <w:t>5</w:t>
      </w:r>
      <w:r>
        <w:rPr>
          <w:rFonts w:ascii="宋体" w:eastAsia="宋体" w:hAnsi="宋体" w:cs="宋体" w:hint="eastAsia"/>
          <w:sz w:val="24"/>
          <w:szCs w:val="24"/>
        </w:rPr>
        <w:t>日收到广州</w:t>
      </w:r>
      <w:r w:rsidR="00283A47">
        <w:rPr>
          <w:rFonts w:ascii="宋体" w:eastAsia="宋体" w:hAnsi="宋体" w:cs="宋体" w:hint="eastAsia"/>
          <w:sz w:val="24"/>
          <w:szCs w:val="24"/>
        </w:rPr>
        <w:t>高速运营管理有限公司</w:t>
      </w:r>
      <w:r>
        <w:rPr>
          <w:rFonts w:ascii="宋体" w:eastAsia="宋体" w:hAnsi="宋体" w:cs="宋体" w:hint="eastAsia"/>
          <w:sz w:val="24"/>
          <w:szCs w:val="24"/>
        </w:rPr>
        <w:t>（运营管理</w:t>
      </w:r>
      <w:r w:rsidR="00283A47">
        <w:rPr>
          <w:rFonts w:ascii="宋体" w:eastAsia="宋体" w:hAnsi="宋体" w:cs="宋体" w:hint="eastAsia"/>
          <w:sz w:val="24"/>
          <w:szCs w:val="24"/>
        </w:rPr>
        <w:t>实施</w:t>
      </w:r>
      <w:r>
        <w:rPr>
          <w:rFonts w:ascii="宋体" w:eastAsia="宋体" w:hAnsi="宋体" w:cs="宋体" w:hint="eastAsia"/>
          <w:sz w:val="24"/>
          <w:szCs w:val="24"/>
        </w:rPr>
        <w:t>机构，以下简称“广州</w:t>
      </w:r>
      <w:r w:rsidR="00283A47">
        <w:rPr>
          <w:rFonts w:ascii="宋体" w:eastAsia="宋体" w:hAnsi="宋体" w:cs="宋体" w:hint="eastAsia"/>
          <w:sz w:val="24"/>
          <w:szCs w:val="24"/>
        </w:rPr>
        <w:t>高速运营公司</w:t>
      </w:r>
      <w:r>
        <w:rPr>
          <w:rFonts w:ascii="宋体" w:eastAsia="宋体" w:hAnsi="宋体" w:cs="宋体" w:hint="eastAsia"/>
          <w:sz w:val="24"/>
          <w:szCs w:val="24"/>
        </w:rPr>
        <w:t>”）发来的《</w:t>
      </w:r>
      <w:r w:rsidR="00283A47">
        <w:rPr>
          <w:rFonts w:ascii="宋体" w:eastAsia="宋体" w:hAnsi="宋体" w:cs="宋体" w:hint="eastAsia"/>
          <w:sz w:val="24"/>
          <w:szCs w:val="24"/>
        </w:rPr>
        <w:t>广州高速运营管理有限公司</w:t>
      </w:r>
      <w:r>
        <w:rPr>
          <w:rFonts w:ascii="宋体" w:eastAsia="宋体" w:hAnsi="宋体" w:cs="宋体" w:hint="eastAsia"/>
          <w:sz w:val="24"/>
          <w:szCs w:val="24"/>
        </w:rPr>
        <w:t>关于高级管理人员变动的说明函》，</w:t>
      </w:r>
      <w:r w:rsidR="00BC10CE">
        <w:rPr>
          <w:rFonts w:ascii="宋体" w:eastAsia="宋体" w:hAnsi="宋体" w:cs="宋体" w:hint="eastAsia"/>
          <w:sz w:val="24"/>
          <w:szCs w:val="24"/>
        </w:rPr>
        <w:t>何军</w:t>
      </w:r>
      <w:r w:rsidR="00283A47" w:rsidRPr="00283A47">
        <w:rPr>
          <w:rFonts w:ascii="宋体" w:eastAsia="宋体" w:hAnsi="宋体" w:cs="宋体" w:hint="eastAsia"/>
          <w:sz w:val="24"/>
          <w:szCs w:val="24"/>
        </w:rPr>
        <w:t>任</w:t>
      </w:r>
      <w:r w:rsidR="00283A47">
        <w:rPr>
          <w:rFonts w:ascii="宋体" w:eastAsia="宋体" w:hAnsi="宋体" w:cs="宋体" w:hint="eastAsia"/>
          <w:sz w:val="24"/>
          <w:szCs w:val="24"/>
        </w:rPr>
        <w:t>广州高速运营公司</w:t>
      </w:r>
      <w:r w:rsidR="00BC10CE">
        <w:rPr>
          <w:rFonts w:ascii="宋体" w:eastAsia="宋体" w:hAnsi="宋体" w:cs="宋体" w:hint="eastAsia"/>
          <w:sz w:val="24"/>
          <w:szCs w:val="24"/>
        </w:rPr>
        <w:t>董事长、</w:t>
      </w:r>
      <w:r w:rsidR="00283A47" w:rsidRPr="00283A47">
        <w:rPr>
          <w:rFonts w:ascii="宋体" w:eastAsia="宋体" w:hAnsi="宋体" w:cs="宋体" w:hint="eastAsia"/>
          <w:sz w:val="24"/>
          <w:szCs w:val="24"/>
        </w:rPr>
        <w:t>总经理。</w:t>
      </w:r>
    </w:p>
    <w:p w:rsidR="00133997" w:rsidRDefault="00BC10CE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何军2</w:t>
      </w:r>
      <w:r>
        <w:rPr>
          <w:rFonts w:ascii="宋体" w:eastAsia="宋体" w:hAnsi="宋体" w:cs="宋体"/>
          <w:sz w:val="24"/>
          <w:szCs w:val="24"/>
        </w:rPr>
        <w:t>020</w:t>
      </w:r>
      <w:r>
        <w:rPr>
          <w:rFonts w:ascii="宋体" w:eastAsia="宋体" w:hAnsi="宋体" w:cs="宋体" w:hint="eastAsia"/>
          <w:sz w:val="24"/>
          <w:szCs w:val="24"/>
        </w:rPr>
        <w:t>年</w:t>
      </w:r>
      <w:r w:rsidR="005F60E3">
        <w:rPr>
          <w:rFonts w:ascii="宋体" w:eastAsia="宋体" w:hAnsi="宋体" w:cs="宋体"/>
          <w:sz w:val="24"/>
          <w:szCs w:val="24"/>
        </w:rPr>
        <w:t>12</w:t>
      </w:r>
      <w:r>
        <w:rPr>
          <w:rFonts w:ascii="宋体" w:eastAsia="宋体" w:hAnsi="宋体" w:cs="宋体" w:hint="eastAsia"/>
          <w:sz w:val="24"/>
          <w:szCs w:val="24"/>
        </w:rPr>
        <w:t>月</w:t>
      </w:r>
      <w:r w:rsidR="005F60E3">
        <w:rPr>
          <w:rFonts w:ascii="宋体" w:eastAsia="宋体" w:hAnsi="宋体" w:cs="宋体"/>
          <w:sz w:val="24"/>
          <w:szCs w:val="24"/>
        </w:rPr>
        <w:t>29</w:t>
      </w:r>
      <w:r>
        <w:rPr>
          <w:rFonts w:ascii="宋体" w:eastAsia="宋体" w:hAnsi="宋体" w:cs="宋体" w:hint="eastAsia"/>
          <w:sz w:val="24"/>
          <w:szCs w:val="24"/>
        </w:rPr>
        <w:t>日至2</w:t>
      </w:r>
      <w:r>
        <w:rPr>
          <w:rFonts w:ascii="宋体" w:eastAsia="宋体" w:hAnsi="宋体" w:cs="宋体"/>
          <w:sz w:val="24"/>
          <w:szCs w:val="24"/>
        </w:rPr>
        <w:t>02</w:t>
      </w:r>
      <w:r w:rsidR="005F60E3">
        <w:rPr>
          <w:rFonts w:ascii="宋体" w:eastAsia="宋体" w:hAnsi="宋体" w:cs="宋体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年</w:t>
      </w:r>
      <w:r w:rsidR="005F60E3">
        <w:rPr>
          <w:rFonts w:ascii="宋体" w:eastAsia="宋体" w:hAnsi="宋体" w:cs="宋体"/>
          <w:sz w:val="24"/>
          <w:szCs w:val="24"/>
        </w:rPr>
        <w:t>6</w:t>
      </w:r>
      <w:r>
        <w:rPr>
          <w:rFonts w:ascii="宋体" w:eastAsia="宋体" w:hAnsi="宋体" w:cs="宋体" w:hint="eastAsia"/>
          <w:sz w:val="24"/>
          <w:szCs w:val="24"/>
        </w:rPr>
        <w:t>月</w:t>
      </w:r>
      <w:r w:rsidR="005F60E3">
        <w:rPr>
          <w:rFonts w:ascii="宋体" w:eastAsia="宋体" w:hAnsi="宋体" w:cs="宋体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日</w:t>
      </w:r>
      <w:r w:rsidR="005F60E3">
        <w:rPr>
          <w:rFonts w:ascii="宋体" w:eastAsia="宋体" w:hAnsi="宋体" w:cs="宋体" w:hint="eastAsia"/>
          <w:sz w:val="24"/>
          <w:szCs w:val="24"/>
        </w:rPr>
        <w:t>担任广州高速运营公司总经理，2</w:t>
      </w:r>
      <w:r w:rsidR="005F60E3">
        <w:rPr>
          <w:rFonts w:ascii="宋体" w:eastAsia="宋体" w:hAnsi="宋体" w:cs="宋体"/>
          <w:sz w:val="24"/>
          <w:szCs w:val="24"/>
        </w:rPr>
        <w:t>023</w:t>
      </w:r>
      <w:r w:rsidR="005F60E3">
        <w:rPr>
          <w:rFonts w:ascii="宋体" w:eastAsia="宋体" w:hAnsi="宋体" w:cs="宋体" w:hint="eastAsia"/>
          <w:sz w:val="24"/>
          <w:szCs w:val="24"/>
        </w:rPr>
        <w:t>年6月2日至2</w:t>
      </w:r>
      <w:r w:rsidR="005F60E3">
        <w:rPr>
          <w:rFonts w:ascii="宋体" w:eastAsia="宋体" w:hAnsi="宋体" w:cs="宋体"/>
          <w:sz w:val="24"/>
          <w:szCs w:val="24"/>
        </w:rPr>
        <w:t>024</w:t>
      </w:r>
      <w:r w:rsidR="005F60E3">
        <w:rPr>
          <w:rFonts w:ascii="宋体" w:eastAsia="宋体" w:hAnsi="宋体" w:cs="宋体" w:hint="eastAsia"/>
          <w:sz w:val="24"/>
          <w:szCs w:val="24"/>
        </w:rPr>
        <w:t>年9月4日担任广州高速运营公司董事长。</w:t>
      </w:r>
      <w:r w:rsidR="008C0938">
        <w:rPr>
          <w:rFonts w:ascii="宋体" w:eastAsia="宋体" w:hAnsi="宋体" w:cs="宋体" w:hint="eastAsia"/>
          <w:sz w:val="24"/>
          <w:szCs w:val="24"/>
        </w:rPr>
        <w:t>目前运营管理机构经营管理团队稳定，履职正常，本次</w:t>
      </w:r>
      <w:r w:rsidR="00283A47">
        <w:rPr>
          <w:rFonts w:ascii="宋体" w:eastAsia="宋体" w:hAnsi="宋体" w:cs="宋体" w:hint="eastAsia"/>
          <w:sz w:val="24"/>
          <w:szCs w:val="24"/>
        </w:rPr>
        <w:t>广州高速运营公司</w:t>
      </w:r>
      <w:r w:rsidR="008C0938">
        <w:rPr>
          <w:rFonts w:ascii="宋体" w:eastAsia="宋体" w:hAnsi="宋体" w:cs="宋体" w:hint="eastAsia"/>
          <w:sz w:val="24"/>
          <w:szCs w:val="24"/>
        </w:rPr>
        <w:t>高级管理人员变动系正常人事变动，不影响机构稳定运营管理能力，对基础设施项目运营情况、经营业绩、现金流和基金份额持有人权益无不利影响。</w:t>
      </w:r>
    </w:p>
    <w:p w:rsidR="00133997" w:rsidRDefault="008C0938" w:rsidP="003D7DAA">
      <w:pPr>
        <w:pStyle w:val="ac"/>
        <w:numPr>
          <w:ilvl w:val="0"/>
          <w:numId w:val="2"/>
        </w:numPr>
        <w:snapToGrid w:val="0"/>
        <w:spacing w:beforeLines="50" w:line="360" w:lineRule="auto"/>
        <w:ind w:firstLineChars="0"/>
        <w:outlineLvl w:val="0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其他说明事项</w:t>
      </w:r>
    </w:p>
    <w:p w:rsidR="00133997" w:rsidRDefault="008C0938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截至目前，本基金投资运作正常，无应披露而未披露的重大信息，基金管理人将严格按照法律法规及基金合同的规定进行投资运作，履行信息披露义务。</w:t>
      </w:r>
    </w:p>
    <w:p w:rsidR="00133997" w:rsidRDefault="008C0938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投资者可登陆平安基金管理有限公司网站www.fund.pingan.com或拨打客户服务电话：400-800-4800进行相关咨询。</w:t>
      </w:r>
    </w:p>
    <w:p w:rsidR="00133997" w:rsidRDefault="008C0938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基金管理人承诺以诚实信用、勤勉尽责的原则管理和运用基金资产，但不保证基金一定盈利，也不保证最低收益。</w:t>
      </w:r>
      <w:r>
        <w:rPr>
          <w:rFonts w:ascii="宋体" w:eastAsia="宋体" w:hAnsi="宋体" w:cs="Times New Roman" w:hint="eastAsia"/>
          <w:sz w:val="24"/>
          <w:szCs w:val="24"/>
        </w:rPr>
        <w:t>基金的过往业绩及其净值高低并不预示其未来业绩表现。基金管理人提醒投资者基金投资的“买者自负”原则，在做出投</w:t>
      </w:r>
      <w:r>
        <w:rPr>
          <w:rFonts w:ascii="宋体" w:eastAsia="宋体" w:hAnsi="宋体" w:cs="Times New Roman" w:hint="eastAsia"/>
          <w:sz w:val="24"/>
          <w:szCs w:val="24"/>
        </w:rPr>
        <w:lastRenderedPageBreak/>
        <w:t>资决策后，基金运营状况与基金净值变化引致的投资风险，由投资者自行负担。</w:t>
      </w:r>
      <w:r>
        <w:rPr>
          <w:rFonts w:ascii="宋体" w:eastAsia="宋体" w:hAnsi="宋体" w:cs="Times New Roman"/>
          <w:sz w:val="24"/>
          <w:szCs w:val="24"/>
        </w:rPr>
        <w:t>销售机构根据法规要求对投资者类别、风险承受能力和基金的风险等级进行划分，并提出适当性匹配意见。投资者在投资</w:t>
      </w:r>
      <w:r>
        <w:rPr>
          <w:rFonts w:ascii="宋体" w:eastAsia="宋体" w:hAnsi="宋体" w:cs="Times New Roman" w:hint="eastAsia"/>
          <w:sz w:val="24"/>
          <w:szCs w:val="24"/>
        </w:rPr>
        <w:t>本</w:t>
      </w:r>
      <w:r>
        <w:rPr>
          <w:rFonts w:ascii="宋体" w:eastAsia="宋体" w:hAnsi="宋体" w:cs="Times New Roman"/>
          <w:sz w:val="24"/>
          <w:szCs w:val="24"/>
        </w:rPr>
        <w:t>基金前</w:t>
      </w:r>
      <w:r>
        <w:rPr>
          <w:rFonts w:ascii="宋体" w:eastAsia="宋体" w:hAnsi="宋体" w:cs="Times New Roman" w:hint="eastAsia"/>
          <w:sz w:val="24"/>
          <w:szCs w:val="24"/>
        </w:rPr>
        <w:t>，应当认真阅读本基金基金合同、招募说明书、基金产品资料概要等法律文件，</w:t>
      </w:r>
      <w:r>
        <w:rPr>
          <w:rFonts w:ascii="宋体" w:eastAsia="宋体" w:hAnsi="宋体" w:cs="Times New Roman"/>
          <w:sz w:val="24"/>
          <w:szCs w:val="24"/>
        </w:rPr>
        <w:t>全面认识</w:t>
      </w:r>
      <w:r>
        <w:rPr>
          <w:rFonts w:ascii="宋体" w:eastAsia="宋体" w:hAnsi="宋体" w:cs="Times New Roman" w:hint="eastAsia"/>
          <w:sz w:val="24"/>
          <w:szCs w:val="24"/>
        </w:rPr>
        <w:t>本</w:t>
      </w:r>
      <w:r>
        <w:rPr>
          <w:rFonts w:ascii="宋体" w:eastAsia="宋体" w:hAnsi="宋体" w:cs="Times New Roman"/>
          <w:sz w:val="24"/>
          <w:szCs w:val="24"/>
        </w:rPr>
        <w:t>基金的风险收益特征</w:t>
      </w:r>
      <w:r>
        <w:rPr>
          <w:rFonts w:ascii="宋体" w:eastAsia="宋体" w:hAnsi="宋体" w:cs="Times New Roman" w:hint="eastAsia"/>
          <w:sz w:val="24"/>
          <w:szCs w:val="24"/>
        </w:rPr>
        <w:t>和产品特性</w:t>
      </w:r>
      <w:r>
        <w:rPr>
          <w:rFonts w:ascii="宋体" w:eastAsia="宋体" w:hAnsi="宋体" w:cs="Times New Roman"/>
          <w:sz w:val="24"/>
          <w:szCs w:val="24"/>
        </w:rPr>
        <w:t>，在了解产品情况及销售机构适当性意见的基础上，</w:t>
      </w:r>
      <w:r>
        <w:rPr>
          <w:rFonts w:ascii="宋体" w:eastAsia="宋体" w:hAnsi="宋体" w:cs="Times New Roman" w:hint="eastAsia"/>
          <w:sz w:val="24"/>
          <w:szCs w:val="24"/>
        </w:rPr>
        <w:t>根据自身的投资目标、投资期限、投资经验、资产状况等判断基金是否和自身风险承受能力相适应，理性判断市场，自主判断基金投资价值，自主、谨慎做出投资决策，并自行承担投资风险。</w:t>
      </w:r>
    </w:p>
    <w:p w:rsidR="00133997" w:rsidRDefault="008C0938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特此公告</w:t>
      </w:r>
    </w:p>
    <w:p w:rsidR="00133997" w:rsidRDefault="00133997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:rsidR="00133997" w:rsidRDefault="008C0938">
      <w:pPr>
        <w:spacing w:line="360" w:lineRule="auto"/>
        <w:ind w:firstLineChars="200" w:firstLine="480"/>
        <w:jc w:val="righ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平安</w:t>
      </w:r>
      <w:r>
        <w:rPr>
          <w:rFonts w:ascii="宋体" w:eastAsia="宋体" w:hAnsi="宋体" w:cs="Times New Roman"/>
          <w:sz w:val="24"/>
          <w:szCs w:val="24"/>
        </w:rPr>
        <w:t>基金管理有限公司</w:t>
      </w:r>
    </w:p>
    <w:p w:rsidR="00133997" w:rsidRDefault="008C0938">
      <w:pPr>
        <w:spacing w:line="360" w:lineRule="auto"/>
        <w:ind w:firstLineChars="200" w:firstLine="480"/>
        <w:jc w:val="righ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二〇二</w:t>
      </w:r>
      <w:r>
        <w:rPr>
          <w:rFonts w:ascii="宋体" w:eastAsia="宋体" w:hAnsi="宋体" w:cs="Times New Roman" w:hint="eastAsia"/>
          <w:sz w:val="24"/>
          <w:szCs w:val="24"/>
        </w:rPr>
        <w:t>四</w:t>
      </w:r>
      <w:r>
        <w:rPr>
          <w:rFonts w:ascii="宋体" w:eastAsia="宋体" w:hAnsi="宋体" w:cs="Times New Roman"/>
          <w:sz w:val="24"/>
          <w:szCs w:val="24"/>
        </w:rPr>
        <w:t>年</w:t>
      </w:r>
      <w:r w:rsidR="005F60E3">
        <w:rPr>
          <w:rFonts w:ascii="宋体" w:eastAsia="宋体" w:hAnsi="宋体" w:cs="Times New Roman" w:hint="eastAsia"/>
          <w:sz w:val="24"/>
          <w:szCs w:val="24"/>
        </w:rPr>
        <w:t>九</w:t>
      </w:r>
      <w:r>
        <w:rPr>
          <w:rFonts w:ascii="宋体" w:eastAsia="宋体" w:hAnsi="宋体" w:cs="Times New Roman"/>
          <w:sz w:val="24"/>
          <w:szCs w:val="24"/>
        </w:rPr>
        <w:t>月</w:t>
      </w:r>
      <w:r w:rsidR="00133F1B">
        <w:rPr>
          <w:rFonts w:ascii="宋体" w:eastAsia="宋体" w:hAnsi="宋体" w:cs="Times New Roman" w:hint="eastAsia"/>
          <w:sz w:val="24"/>
          <w:szCs w:val="24"/>
        </w:rPr>
        <w:t>七</w:t>
      </w:r>
      <w:bookmarkStart w:id="0" w:name="_GoBack"/>
      <w:bookmarkEnd w:id="0"/>
      <w:r>
        <w:rPr>
          <w:rFonts w:ascii="宋体" w:eastAsia="宋体" w:hAnsi="宋体" w:cs="Times New Roman"/>
          <w:sz w:val="24"/>
          <w:szCs w:val="24"/>
        </w:rPr>
        <w:t>日</w:t>
      </w:r>
    </w:p>
    <w:sectPr w:rsidR="00133997" w:rsidSect="00314522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936" w:rsidRDefault="007F0936">
      <w:r>
        <w:separator/>
      </w:r>
    </w:p>
  </w:endnote>
  <w:endnote w:type="continuationSeparator" w:id="0">
    <w:p w:rsidR="007F0936" w:rsidRDefault="007F09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  <w:embedRegular r:id="rId1" w:subsetted="1" w:fontKey="{76172624-A018-4ED0-B53A-EC51CB04A921}"/>
  </w:font>
  <w:font w:name="MHeiHK-Bold">
    <w:altName w:val="Microsoft JhengHei"/>
    <w:charset w:val="88"/>
    <w:family w:val="moder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imes LT St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7126808"/>
    </w:sdtPr>
    <w:sdtContent>
      <w:p w:rsidR="00133997" w:rsidRDefault="00314522">
        <w:pPr>
          <w:pStyle w:val="a6"/>
          <w:jc w:val="center"/>
        </w:pPr>
        <w:r>
          <w:fldChar w:fldCharType="begin"/>
        </w:r>
        <w:r w:rsidR="008C0938">
          <w:instrText>PAGE   \* MERGEFORMAT</w:instrText>
        </w:r>
        <w:r>
          <w:fldChar w:fldCharType="separate"/>
        </w:r>
        <w:r w:rsidR="003D7DAA" w:rsidRPr="003D7DAA">
          <w:rPr>
            <w:noProof/>
            <w:lang w:val="zh-CN"/>
          </w:rPr>
          <w:t>1</w:t>
        </w:r>
        <w:r>
          <w:fldChar w:fldCharType="end"/>
        </w:r>
      </w:p>
    </w:sdtContent>
  </w:sdt>
  <w:p w:rsidR="00133997" w:rsidRDefault="0013399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936" w:rsidRDefault="007F0936">
      <w:r>
        <w:separator/>
      </w:r>
    </w:p>
  </w:footnote>
  <w:footnote w:type="continuationSeparator" w:id="0">
    <w:p w:rsidR="007F0936" w:rsidRDefault="007F09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997" w:rsidRDefault="00133997">
    <w:pPr>
      <w:pStyle w:val="a7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D7B28"/>
    <w:multiLevelType w:val="multilevel"/>
    <w:tmpl w:val="2FDD7B28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47D73EE"/>
    <w:multiLevelType w:val="multilevel"/>
    <w:tmpl w:val="547D73EE"/>
    <w:lvl w:ilvl="0">
      <w:start w:val="1"/>
      <w:numFmt w:val="decimal"/>
      <w:suff w:val="space"/>
      <w:lvlText w:val="§%1"/>
      <w:lvlJc w:val="left"/>
      <w:pPr>
        <w:ind w:left="425" w:hanging="425"/>
      </w:pPr>
      <w:rPr>
        <w:sz w:val="28"/>
        <w:szCs w:val="28"/>
      </w:rPr>
    </w:lvl>
    <w:lvl w:ilvl="1">
      <w:start w:val="1"/>
      <w:numFmt w:val="decimal"/>
      <w:pStyle w:val="XBRLTitle2"/>
      <w:suff w:val="space"/>
      <w:lvlText w:val="%1.%2"/>
      <w:lvlJc w:val="left"/>
      <w:pPr>
        <w:ind w:left="454" w:hanging="454"/>
      </w:pPr>
    </w:lvl>
    <w:lvl w:ilvl="2">
      <w:start w:val="1"/>
      <w:numFmt w:val="decimal"/>
      <w:suff w:val="space"/>
      <w:lvlText w:val="%1.%2.%3"/>
      <w:lvlJc w:val="left"/>
      <w:pPr>
        <w:ind w:left="1050" w:hanging="624"/>
      </w:pPr>
      <w:rPr>
        <w:sz w:val="24"/>
        <w:szCs w:val="24"/>
      </w:rPr>
    </w:lvl>
    <w:lvl w:ilvl="3">
      <w:start w:val="1"/>
      <w:numFmt w:val="decimal"/>
      <w:suff w:val="space"/>
      <w:lvlText w:val="%1.%2.%3.%4"/>
      <w:lvlJc w:val="left"/>
      <w:pPr>
        <w:ind w:left="794" w:hanging="794"/>
      </w:pPr>
    </w:lvl>
    <w:lvl w:ilvl="4">
      <w:start w:val="1"/>
      <w:numFmt w:val="decimal"/>
      <w:suff w:val="space"/>
      <w:lvlText w:val="%1.%2.%3.%4.%5"/>
      <w:lvlJc w:val="left"/>
      <w:pPr>
        <w:ind w:left="1021" w:hanging="1021"/>
      </w:pPr>
    </w:lvl>
    <w:lvl w:ilvl="5">
      <w:start w:val="1"/>
      <w:numFmt w:val="decimal"/>
      <w:suff w:val="space"/>
      <w:lvlText w:val="%1.%2.%3.%4.%5.%6"/>
      <w:lvlJc w:val="left"/>
      <w:pPr>
        <w:ind w:left="1021" w:hanging="1021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djZTA0ZGNjY2EyNGI3MGJiZDVmZDNkNTMwODg0NjYifQ=="/>
  </w:docVars>
  <w:rsids>
    <w:rsidRoot w:val="007424C2"/>
    <w:rsid w:val="00005671"/>
    <w:rsid w:val="00013184"/>
    <w:rsid w:val="000412CE"/>
    <w:rsid w:val="000568B1"/>
    <w:rsid w:val="00064532"/>
    <w:rsid w:val="00070D5C"/>
    <w:rsid w:val="00071B7E"/>
    <w:rsid w:val="000720F1"/>
    <w:rsid w:val="0009198E"/>
    <w:rsid w:val="000926F9"/>
    <w:rsid w:val="000B3539"/>
    <w:rsid w:val="000E17C0"/>
    <w:rsid w:val="000E6095"/>
    <w:rsid w:val="000F537E"/>
    <w:rsid w:val="000F6620"/>
    <w:rsid w:val="00112907"/>
    <w:rsid w:val="00126457"/>
    <w:rsid w:val="00133997"/>
    <w:rsid w:val="00133F1B"/>
    <w:rsid w:val="00136D2C"/>
    <w:rsid w:val="001452A6"/>
    <w:rsid w:val="0016059B"/>
    <w:rsid w:val="00161A8C"/>
    <w:rsid w:val="00166770"/>
    <w:rsid w:val="00173CB4"/>
    <w:rsid w:val="0017660A"/>
    <w:rsid w:val="00180EEA"/>
    <w:rsid w:val="0019304B"/>
    <w:rsid w:val="001A5A8D"/>
    <w:rsid w:val="001B715D"/>
    <w:rsid w:val="001F461F"/>
    <w:rsid w:val="0021082F"/>
    <w:rsid w:val="0021254E"/>
    <w:rsid w:val="00214B41"/>
    <w:rsid w:val="00242771"/>
    <w:rsid w:val="002434DE"/>
    <w:rsid w:val="0024420F"/>
    <w:rsid w:val="00264B37"/>
    <w:rsid w:val="002661D2"/>
    <w:rsid w:val="00270F77"/>
    <w:rsid w:val="00275EE4"/>
    <w:rsid w:val="00283A47"/>
    <w:rsid w:val="0028776E"/>
    <w:rsid w:val="0029281E"/>
    <w:rsid w:val="002930C7"/>
    <w:rsid w:val="002A115D"/>
    <w:rsid w:val="002A59D0"/>
    <w:rsid w:val="002C49EB"/>
    <w:rsid w:val="002D2DD1"/>
    <w:rsid w:val="002D5A6C"/>
    <w:rsid w:val="002D6E7A"/>
    <w:rsid w:val="00301622"/>
    <w:rsid w:val="00314522"/>
    <w:rsid w:val="00317A8E"/>
    <w:rsid w:val="003308F5"/>
    <w:rsid w:val="00335DA9"/>
    <w:rsid w:val="00350614"/>
    <w:rsid w:val="00373C5E"/>
    <w:rsid w:val="00393584"/>
    <w:rsid w:val="003A5C21"/>
    <w:rsid w:val="003C7D54"/>
    <w:rsid w:val="003D7DAA"/>
    <w:rsid w:val="003E58F6"/>
    <w:rsid w:val="00437603"/>
    <w:rsid w:val="00440200"/>
    <w:rsid w:val="0044684A"/>
    <w:rsid w:val="004627A5"/>
    <w:rsid w:val="004961DE"/>
    <w:rsid w:val="004A702B"/>
    <w:rsid w:val="004B197B"/>
    <w:rsid w:val="004C74AE"/>
    <w:rsid w:val="004D4422"/>
    <w:rsid w:val="004D72A8"/>
    <w:rsid w:val="004F08DA"/>
    <w:rsid w:val="004F141E"/>
    <w:rsid w:val="00507CEC"/>
    <w:rsid w:val="00511829"/>
    <w:rsid w:val="00520C6C"/>
    <w:rsid w:val="005460B0"/>
    <w:rsid w:val="0055034C"/>
    <w:rsid w:val="00552C67"/>
    <w:rsid w:val="005713F4"/>
    <w:rsid w:val="00593510"/>
    <w:rsid w:val="00595006"/>
    <w:rsid w:val="005A0CE9"/>
    <w:rsid w:val="005A35DE"/>
    <w:rsid w:val="005A6845"/>
    <w:rsid w:val="005B4CD8"/>
    <w:rsid w:val="005B7C34"/>
    <w:rsid w:val="005F4BD3"/>
    <w:rsid w:val="005F60E3"/>
    <w:rsid w:val="005F7C71"/>
    <w:rsid w:val="0060110D"/>
    <w:rsid w:val="006152A9"/>
    <w:rsid w:val="006219C3"/>
    <w:rsid w:val="0062303D"/>
    <w:rsid w:val="006313FB"/>
    <w:rsid w:val="00645BDB"/>
    <w:rsid w:val="00651F57"/>
    <w:rsid w:val="006558C5"/>
    <w:rsid w:val="006C11B3"/>
    <w:rsid w:val="006C1798"/>
    <w:rsid w:val="006C3036"/>
    <w:rsid w:val="006C49F9"/>
    <w:rsid w:val="006D6E1A"/>
    <w:rsid w:val="006E2049"/>
    <w:rsid w:val="006E3CFD"/>
    <w:rsid w:val="006E474E"/>
    <w:rsid w:val="006F5BD4"/>
    <w:rsid w:val="007108C1"/>
    <w:rsid w:val="00733C63"/>
    <w:rsid w:val="007424C2"/>
    <w:rsid w:val="00746318"/>
    <w:rsid w:val="00774D64"/>
    <w:rsid w:val="00783276"/>
    <w:rsid w:val="00791F78"/>
    <w:rsid w:val="00794D8D"/>
    <w:rsid w:val="007A25E7"/>
    <w:rsid w:val="007B211C"/>
    <w:rsid w:val="007D45AE"/>
    <w:rsid w:val="007E1470"/>
    <w:rsid w:val="007F0523"/>
    <w:rsid w:val="007F0936"/>
    <w:rsid w:val="00814655"/>
    <w:rsid w:val="00827E94"/>
    <w:rsid w:val="008336C6"/>
    <w:rsid w:val="008409F1"/>
    <w:rsid w:val="0085148B"/>
    <w:rsid w:val="008774CD"/>
    <w:rsid w:val="008811FB"/>
    <w:rsid w:val="008C0938"/>
    <w:rsid w:val="008D7B8B"/>
    <w:rsid w:val="00920AD7"/>
    <w:rsid w:val="009343A1"/>
    <w:rsid w:val="0095068E"/>
    <w:rsid w:val="00964D3F"/>
    <w:rsid w:val="009678E3"/>
    <w:rsid w:val="00975173"/>
    <w:rsid w:val="0098311A"/>
    <w:rsid w:val="009A1D92"/>
    <w:rsid w:val="009B759F"/>
    <w:rsid w:val="009E18F0"/>
    <w:rsid w:val="009E37A9"/>
    <w:rsid w:val="009E5294"/>
    <w:rsid w:val="009F1E6F"/>
    <w:rsid w:val="009F4025"/>
    <w:rsid w:val="009F4A83"/>
    <w:rsid w:val="00A20A9A"/>
    <w:rsid w:val="00A20BBB"/>
    <w:rsid w:val="00A40E84"/>
    <w:rsid w:val="00A7013B"/>
    <w:rsid w:val="00A70A0B"/>
    <w:rsid w:val="00A83AD1"/>
    <w:rsid w:val="00AB29AA"/>
    <w:rsid w:val="00AC336B"/>
    <w:rsid w:val="00AC447D"/>
    <w:rsid w:val="00AE0EFE"/>
    <w:rsid w:val="00AE6205"/>
    <w:rsid w:val="00B13153"/>
    <w:rsid w:val="00B16D11"/>
    <w:rsid w:val="00B17E1C"/>
    <w:rsid w:val="00B32A52"/>
    <w:rsid w:val="00B35A36"/>
    <w:rsid w:val="00B51F9C"/>
    <w:rsid w:val="00B804E9"/>
    <w:rsid w:val="00B84C25"/>
    <w:rsid w:val="00B9360E"/>
    <w:rsid w:val="00B93BDD"/>
    <w:rsid w:val="00BA37ED"/>
    <w:rsid w:val="00BB2E84"/>
    <w:rsid w:val="00BC10CE"/>
    <w:rsid w:val="00BC1BA7"/>
    <w:rsid w:val="00BF13A2"/>
    <w:rsid w:val="00BF2648"/>
    <w:rsid w:val="00BF724B"/>
    <w:rsid w:val="00C25201"/>
    <w:rsid w:val="00C6128B"/>
    <w:rsid w:val="00C63188"/>
    <w:rsid w:val="00C7054F"/>
    <w:rsid w:val="00C7797B"/>
    <w:rsid w:val="00C84700"/>
    <w:rsid w:val="00C957D8"/>
    <w:rsid w:val="00C95DFD"/>
    <w:rsid w:val="00CD584E"/>
    <w:rsid w:val="00D05991"/>
    <w:rsid w:val="00D22791"/>
    <w:rsid w:val="00D23C20"/>
    <w:rsid w:val="00D42BC7"/>
    <w:rsid w:val="00D43EAA"/>
    <w:rsid w:val="00D43EED"/>
    <w:rsid w:val="00D63EBA"/>
    <w:rsid w:val="00D74EB9"/>
    <w:rsid w:val="00D76EE1"/>
    <w:rsid w:val="00D8338A"/>
    <w:rsid w:val="00D9295A"/>
    <w:rsid w:val="00D963D9"/>
    <w:rsid w:val="00DB54B5"/>
    <w:rsid w:val="00DE2618"/>
    <w:rsid w:val="00DF0D0B"/>
    <w:rsid w:val="00E0201B"/>
    <w:rsid w:val="00E17DD2"/>
    <w:rsid w:val="00E244FE"/>
    <w:rsid w:val="00E278A3"/>
    <w:rsid w:val="00E3436A"/>
    <w:rsid w:val="00E448FB"/>
    <w:rsid w:val="00E66950"/>
    <w:rsid w:val="00E66F05"/>
    <w:rsid w:val="00E91558"/>
    <w:rsid w:val="00EB36F7"/>
    <w:rsid w:val="00EB7D8D"/>
    <w:rsid w:val="00F10BEA"/>
    <w:rsid w:val="00F269A3"/>
    <w:rsid w:val="00F30CAF"/>
    <w:rsid w:val="00F32EB0"/>
    <w:rsid w:val="00F716A6"/>
    <w:rsid w:val="00F757B5"/>
    <w:rsid w:val="00F96BCE"/>
    <w:rsid w:val="00FD4A42"/>
    <w:rsid w:val="00FE2576"/>
    <w:rsid w:val="00FE74C6"/>
    <w:rsid w:val="02380892"/>
    <w:rsid w:val="05151950"/>
    <w:rsid w:val="08DC4077"/>
    <w:rsid w:val="0B726A3B"/>
    <w:rsid w:val="131071CE"/>
    <w:rsid w:val="15507C66"/>
    <w:rsid w:val="162344C7"/>
    <w:rsid w:val="1BCE12B7"/>
    <w:rsid w:val="1C91614A"/>
    <w:rsid w:val="21F81B03"/>
    <w:rsid w:val="27BD74F4"/>
    <w:rsid w:val="29955129"/>
    <w:rsid w:val="29F40719"/>
    <w:rsid w:val="34C56C0E"/>
    <w:rsid w:val="35E46D55"/>
    <w:rsid w:val="392F3454"/>
    <w:rsid w:val="3AFB107B"/>
    <w:rsid w:val="43C73BDB"/>
    <w:rsid w:val="46D1347A"/>
    <w:rsid w:val="4B08210B"/>
    <w:rsid w:val="4B643A12"/>
    <w:rsid w:val="5443460E"/>
    <w:rsid w:val="54FE5CD2"/>
    <w:rsid w:val="57B8376D"/>
    <w:rsid w:val="5A8F01E3"/>
    <w:rsid w:val="62AD3E0F"/>
    <w:rsid w:val="668313EA"/>
    <w:rsid w:val="6AD3005D"/>
    <w:rsid w:val="6C807CBC"/>
    <w:rsid w:val="7A7E5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Body Text" w:uiPriority="0" w:unhideWhenUsed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31452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314522"/>
    <w:pPr>
      <w:autoSpaceDE w:val="0"/>
      <w:autoSpaceDN w:val="0"/>
      <w:ind w:left="130" w:right="154"/>
      <w:jc w:val="center"/>
      <w:outlineLvl w:val="1"/>
    </w:pPr>
    <w:rPr>
      <w:rFonts w:ascii="MHeiHK-Bold" w:eastAsia="MHeiHK-Bold" w:hAnsi="MHeiHK-Bold" w:cs="MHeiHK-Bold"/>
      <w:b/>
      <w:bCs/>
      <w:kern w:val="0"/>
      <w:sz w:val="24"/>
      <w:szCs w:val="24"/>
      <w:lang w:val="zh-TW" w:eastAsia="zh-TW" w:bidi="zh-TW"/>
    </w:rPr>
  </w:style>
  <w:style w:type="paragraph" w:styleId="3">
    <w:name w:val="heading 3"/>
    <w:basedOn w:val="a"/>
    <w:next w:val="a"/>
    <w:autoRedefine/>
    <w:uiPriority w:val="9"/>
    <w:qFormat/>
    <w:rsid w:val="00314522"/>
    <w:pPr>
      <w:keepNext/>
      <w:keepLines/>
      <w:spacing w:before="260" w:after="260" w:line="408" w:lineRule="auto"/>
      <w:outlineLvl w:val="2"/>
    </w:pPr>
    <w:rPr>
      <w:b/>
      <w:bCs/>
      <w:kern w:val="0"/>
      <w:sz w:val="32"/>
      <w:szCs w:val="32"/>
    </w:rPr>
  </w:style>
  <w:style w:type="paragraph" w:styleId="4">
    <w:name w:val="heading 4"/>
    <w:basedOn w:val="a"/>
    <w:next w:val="a"/>
    <w:autoRedefine/>
    <w:qFormat/>
    <w:rsid w:val="00314522"/>
    <w:pPr>
      <w:keepNext/>
      <w:keepLines/>
      <w:spacing w:before="280" w:after="290" w:line="372" w:lineRule="auto"/>
      <w:outlineLvl w:val="3"/>
    </w:pPr>
    <w:rPr>
      <w:rFonts w:ascii="Cambria" w:hAnsi="Cambria" w:cs="宋体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autoRedefine/>
    <w:uiPriority w:val="99"/>
    <w:semiHidden/>
    <w:unhideWhenUsed/>
    <w:qFormat/>
    <w:rsid w:val="00314522"/>
    <w:pPr>
      <w:jc w:val="left"/>
    </w:pPr>
  </w:style>
  <w:style w:type="paragraph" w:styleId="a4">
    <w:name w:val="Body Text"/>
    <w:basedOn w:val="a"/>
    <w:autoRedefine/>
    <w:semiHidden/>
    <w:qFormat/>
    <w:rsid w:val="00314522"/>
    <w:pPr>
      <w:spacing w:before="78" w:line="360" w:lineRule="auto"/>
      <w:ind w:right="74" w:firstLineChars="200" w:firstLine="458"/>
    </w:pPr>
    <w:rPr>
      <w:rFonts w:ascii="宋体" w:eastAsia="宋体" w:hAnsi="宋体" w:cs="宋体"/>
      <w:sz w:val="24"/>
      <w:szCs w:val="24"/>
    </w:rPr>
  </w:style>
  <w:style w:type="paragraph" w:styleId="a5">
    <w:name w:val="Balloon Text"/>
    <w:basedOn w:val="a"/>
    <w:link w:val="Char0"/>
    <w:autoRedefine/>
    <w:uiPriority w:val="99"/>
    <w:semiHidden/>
    <w:unhideWhenUsed/>
    <w:qFormat/>
    <w:rsid w:val="00314522"/>
    <w:rPr>
      <w:sz w:val="18"/>
      <w:szCs w:val="18"/>
    </w:rPr>
  </w:style>
  <w:style w:type="paragraph" w:styleId="a6">
    <w:name w:val="footer"/>
    <w:basedOn w:val="a"/>
    <w:link w:val="Char1"/>
    <w:autoRedefine/>
    <w:uiPriority w:val="99"/>
    <w:unhideWhenUsed/>
    <w:qFormat/>
    <w:rsid w:val="003145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autoRedefine/>
    <w:uiPriority w:val="99"/>
    <w:unhideWhenUsed/>
    <w:qFormat/>
    <w:rsid w:val="003145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2"/>
    <w:next w:val="3"/>
    <w:autoRedefine/>
    <w:qFormat/>
    <w:rsid w:val="00314522"/>
    <w:pPr>
      <w:spacing w:before="240" w:after="60" w:line="312" w:lineRule="auto"/>
      <w:jc w:val="left"/>
    </w:pPr>
    <w:rPr>
      <w:rFonts w:cs="Times New Roman"/>
      <w:bCs w:val="0"/>
      <w:kern w:val="28"/>
    </w:rPr>
  </w:style>
  <w:style w:type="paragraph" w:styleId="a9">
    <w:name w:val="annotation subject"/>
    <w:basedOn w:val="a3"/>
    <w:next w:val="a3"/>
    <w:link w:val="Char3"/>
    <w:autoRedefine/>
    <w:uiPriority w:val="99"/>
    <w:semiHidden/>
    <w:unhideWhenUsed/>
    <w:qFormat/>
    <w:rsid w:val="00314522"/>
    <w:rPr>
      <w:b/>
      <w:bCs/>
    </w:rPr>
  </w:style>
  <w:style w:type="table" w:styleId="aa">
    <w:name w:val="Table Grid"/>
    <w:basedOn w:val="a1"/>
    <w:autoRedefine/>
    <w:uiPriority w:val="39"/>
    <w:qFormat/>
    <w:rsid w:val="003145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autoRedefine/>
    <w:uiPriority w:val="99"/>
    <w:semiHidden/>
    <w:unhideWhenUsed/>
    <w:qFormat/>
    <w:rsid w:val="00314522"/>
    <w:rPr>
      <w:sz w:val="21"/>
      <w:szCs w:val="21"/>
    </w:rPr>
  </w:style>
  <w:style w:type="character" w:customStyle="1" w:styleId="Char2">
    <w:name w:val="页眉 Char"/>
    <w:basedOn w:val="a0"/>
    <w:link w:val="a7"/>
    <w:autoRedefine/>
    <w:uiPriority w:val="99"/>
    <w:qFormat/>
    <w:rsid w:val="00314522"/>
    <w:rPr>
      <w:sz w:val="18"/>
      <w:szCs w:val="18"/>
    </w:rPr>
  </w:style>
  <w:style w:type="character" w:customStyle="1" w:styleId="Char1">
    <w:name w:val="页脚 Char"/>
    <w:basedOn w:val="a0"/>
    <w:link w:val="a6"/>
    <w:autoRedefine/>
    <w:uiPriority w:val="99"/>
    <w:qFormat/>
    <w:rsid w:val="00314522"/>
    <w:rPr>
      <w:sz w:val="18"/>
      <w:szCs w:val="18"/>
    </w:rPr>
  </w:style>
  <w:style w:type="paragraph" w:styleId="ac">
    <w:name w:val="List Paragraph"/>
    <w:basedOn w:val="a"/>
    <w:autoRedefine/>
    <w:uiPriority w:val="1"/>
    <w:qFormat/>
    <w:rsid w:val="00314522"/>
    <w:pPr>
      <w:ind w:firstLineChars="200" w:firstLine="420"/>
    </w:pPr>
  </w:style>
  <w:style w:type="character" w:customStyle="1" w:styleId="Char">
    <w:name w:val="批注文字 Char"/>
    <w:basedOn w:val="a0"/>
    <w:link w:val="a3"/>
    <w:autoRedefine/>
    <w:uiPriority w:val="99"/>
    <w:semiHidden/>
    <w:qFormat/>
    <w:rsid w:val="00314522"/>
  </w:style>
  <w:style w:type="character" w:customStyle="1" w:styleId="Char3">
    <w:name w:val="批注主题 Char"/>
    <w:basedOn w:val="Char"/>
    <w:link w:val="a9"/>
    <w:autoRedefine/>
    <w:uiPriority w:val="99"/>
    <w:semiHidden/>
    <w:qFormat/>
    <w:rsid w:val="00314522"/>
    <w:rPr>
      <w:b/>
      <w:bCs/>
    </w:rPr>
  </w:style>
  <w:style w:type="paragraph" w:customStyle="1" w:styleId="1">
    <w:name w:val="修订1"/>
    <w:autoRedefine/>
    <w:hidden/>
    <w:uiPriority w:val="99"/>
    <w:semiHidden/>
    <w:qFormat/>
    <w:rsid w:val="00314522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Default">
    <w:name w:val="Default"/>
    <w:autoRedefine/>
    <w:qFormat/>
    <w:rsid w:val="00314522"/>
    <w:pPr>
      <w:widowControl w:val="0"/>
      <w:autoSpaceDE w:val="0"/>
      <w:autoSpaceDN w:val="0"/>
      <w:adjustRightInd w:val="0"/>
    </w:pPr>
    <w:rPr>
      <w:rFonts w:ascii="黑体" w:eastAsia="黑体" w:hAnsiTheme="minorHAnsi" w:cs="黑体"/>
      <w:color w:val="000000"/>
      <w:sz w:val="24"/>
      <w:szCs w:val="24"/>
    </w:rPr>
  </w:style>
  <w:style w:type="character" w:customStyle="1" w:styleId="Char0">
    <w:name w:val="批注框文本 Char"/>
    <w:basedOn w:val="a0"/>
    <w:link w:val="a5"/>
    <w:autoRedefine/>
    <w:uiPriority w:val="99"/>
    <w:semiHidden/>
    <w:qFormat/>
    <w:rsid w:val="00314522"/>
    <w:rPr>
      <w:sz w:val="18"/>
      <w:szCs w:val="18"/>
    </w:rPr>
  </w:style>
  <w:style w:type="table" w:customStyle="1" w:styleId="TableNormal1">
    <w:name w:val="Table Normal1"/>
    <w:autoRedefine/>
    <w:uiPriority w:val="2"/>
    <w:semiHidden/>
    <w:unhideWhenUsed/>
    <w:qFormat/>
    <w:rsid w:val="0031452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autoRedefine/>
    <w:uiPriority w:val="1"/>
    <w:qFormat/>
    <w:rsid w:val="00314522"/>
    <w:pPr>
      <w:autoSpaceDE w:val="0"/>
      <w:autoSpaceDN w:val="0"/>
      <w:spacing w:before="95"/>
      <w:ind w:right="97"/>
      <w:jc w:val="right"/>
    </w:pPr>
    <w:rPr>
      <w:rFonts w:ascii="Times LT Std" w:eastAsia="Times LT Std" w:hAnsi="Times LT Std" w:cs="Times LT Std"/>
      <w:kern w:val="0"/>
      <w:sz w:val="22"/>
      <w:lang w:val="zh-TW" w:eastAsia="zh-TW" w:bidi="zh-TW"/>
    </w:rPr>
  </w:style>
  <w:style w:type="character" w:customStyle="1" w:styleId="2Char">
    <w:name w:val="标题 2 Char"/>
    <w:basedOn w:val="a0"/>
    <w:link w:val="2"/>
    <w:autoRedefine/>
    <w:uiPriority w:val="9"/>
    <w:qFormat/>
    <w:rsid w:val="00314522"/>
    <w:rPr>
      <w:rFonts w:ascii="MHeiHK-Bold" w:eastAsia="MHeiHK-Bold" w:hAnsi="MHeiHK-Bold" w:cs="MHeiHK-Bold"/>
      <w:b/>
      <w:bCs/>
      <w:kern w:val="0"/>
      <w:sz w:val="24"/>
      <w:szCs w:val="24"/>
      <w:lang w:val="zh-TW" w:eastAsia="zh-TW" w:bidi="zh-TW"/>
    </w:rPr>
  </w:style>
  <w:style w:type="paragraph" w:customStyle="1" w:styleId="20">
    <w:name w:val="修订2"/>
    <w:autoRedefine/>
    <w:hidden/>
    <w:uiPriority w:val="99"/>
    <w:unhideWhenUsed/>
    <w:qFormat/>
    <w:rsid w:val="00314522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30">
    <w:name w:val="修订3"/>
    <w:autoRedefine/>
    <w:hidden/>
    <w:uiPriority w:val="99"/>
    <w:unhideWhenUsed/>
    <w:qFormat/>
    <w:rsid w:val="00314522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XBRLTitle2">
    <w:name w:val="XBRLTitle2"/>
    <w:basedOn w:val="a8"/>
    <w:next w:val="4"/>
    <w:autoRedefine/>
    <w:qFormat/>
    <w:rsid w:val="00314522"/>
    <w:pPr>
      <w:numPr>
        <w:ilvl w:val="1"/>
        <w:numId w:val="1"/>
      </w:numPr>
      <w:spacing w:beforeLines="50" w:after="0" w:line="240" w:lineRule="auto"/>
    </w:pPr>
    <w:rPr>
      <w:rFonts w:ascii="宋体"/>
      <w:bCs/>
    </w:rPr>
  </w:style>
  <w:style w:type="character" w:customStyle="1" w:styleId="spelle">
    <w:name w:val="spelle"/>
    <w:basedOn w:val="a0"/>
    <w:autoRedefine/>
    <w:qFormat/>
    <w:rsid w:val="003145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FD152-C579-428E-AA8D-09DA85BD4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249</Words>
  <Characters>1420</Characters>
  <Application>Microsoft Office Word</Application>
  <DocSecurity>4</DocSecurity>
  <Lines>11</Lines>
  <Paragraphs>3</Paragraphs>
  <ScaleCrop>false</ScaleCrop>
  <Company>PAIG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huiq</dc:creator>
  <cp:lastModifiedBy>ZHONGM</cp:lastModifiedBy>
  <cp:revision>2</cp:revision>
  <dcterms:created xsi:type="dcterms:W3CDTF">2024-09-06T16:02:00Z</dcterms:created>
  <dcterms:modified xsi:type="dcterms:W3CDTF">2024-09-06T16:02:00Z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9BDD62E2D3D74735A828684A24F00639</vt:lpwstr>
  </property>
</Properties>
</file>