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6B6D">
      <w:pPr>
        <w:autoSpaceDE w:val="0"/>
        <w:autoSpaceDN w:val="0"/>
        <w:adjustRightInd w:val="0"/>
        <w:spacing w:line="360" w:lineRule="auto"/>
        <w:jc w:val="left"/>
        <w:rPr>
          <w:rFonts w:ascii="宋体" w:hAnsi="宋体" w:cs="宋体" w:hint="eastAsia"/>
          <w:color w:val="000000"/>
          <w:kern w:val="0"/>
          <w:sz w:val="24"/>
          <w:szCs w:val="24"/>
        </w:rPr>
      </w:pPr>
    </w:p>
    <w:p w:rsidR="00000000" w:rsidRDefault="00BB6B6D">
      <w:pPr>
        <w:autoSpaceDE w:val="0"/>
        <w:autoSpaceDN w:val="0"/>
        <w:adjustRightInd w:val="0"/>
        <w:spacing w:before="30" w:line="360" w:lineRule="auto"/>
        <w:ind w:left="15"/>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安信基金管理有限责任公司关于安信稳健阿尔法定期开放混合型发起式证券投资基金</w:t>
      </w:r>
    </w:p>
    <w:p w:rsidR="00000000" w:rsidRDefault="00BB6B6D">
      <w:pPr>
        <w:autoSpaceDE w:val="0"/>
        <w:autoSpaceDN w:val="0"/>
        <w:adjustRightInd w:val="0"/>
        <w:spacing w:before="30" w:line="360" w:lineRule="auto"/>
        <w:ind w:left="15"/>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202</w:t>
      </w:r>
      <w:r>
        <w:rPr>
          <w:rFonts w:ascii="宋体" w:hAnsi="宋体" w:cs="宋体"/>
          <w:b/>
          <w:bCs/>
          <w:color w:val="000000"/>
          <w:kern w:val="0"/>
          <w:sz w:val="24"/>
          <w:szCs w:val="24"/>
        </w:rPr>
        <w:t>4</w:t>
      </w:r>
      <w:r>
        <w:rPr>
          <w:rFonts w:ascii="宋体" w:hAnsi="宋体" w:cs="宋体" w:hint="eastAsia"/>
          <w:b/>
          <w:bCs/>
          <w:color w:val="000000"/>
          <w:kern w:val="0"/>
          <w:sz w:val="24"/>
          <w:szCs w:val="24"/>
        </w:rPr>
        <w:t>年度</w:t>
      </w:r>
      <w:r>
        <w:rPr>
          <w:rFonts w:ascii="宋体" w:hAnsi="宋体" w:cs="宋体" w:hint="eastAsia"/>
          <w:b/>
          <w:bCs/>
          <w:color w:val="000000"/>
          <w:kern w:val="0"/>
          <w:sz w:val="24"/>
          <w:szCs w:val="24"/>
        </w:rPr>
        <w:t>第三</w:t>
      </w:r>
      <w:r>
        <w:rPr>
          <w:rFonts w:ascii="宋体" w:hAnsi="宋体" w:cs="宋体" w:hint="eastAsia"/>
          <w:b/>
          <w:bCs/>
          <w:color w:val="000000"/>
          <w:kern w:val="0"/>
          <w:sz w:val="24"/>
          <w:szCs w:val="24"/>
        </w:rPr>
        <w:t>次开放申购、赎回和转换业务的公告</w:t>
      </w:r>
    </w:p>
    <w:p w:rsidR="00000000" w:rsidRDefault="00BB6B6D">
      <w:pPr>
        <w:autoSpaceDE w:val="0"/>
        <w:autoSpaceDN w:val="0"/>
        <w:adjustRightInd w:val="0"/>
        <w:spacing w:line="360" w:lineRule="auto"/>
        <w:jc w:val="right"/>
        <w:rPr>
          <w:rFonts w:ascii="宋体" w:hAnsi="宋体" w:cs="宋体" w:hint="eastAsia"/>
          <w:color w:val="000000"/>
          <w:kern w:val="0"/>
          <w:sz w:val="8"/>
          <w:szCs w:val="8"/>
        </w:rPr>
      </w:pPr>
    </w:p>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公告送出日期：</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6</w:t>
      </w:r>
      <w:r>
        <w:rPr>
          <w:rFonts w:ascii="宋体" w:hAnsi="宋体" w:cs="宋体" w:hint="eastAsia"/>
          <w:color w:val="000000"/>
          <w:kern w:val="0"/>
          <w:sz w:val="24"/>
          <w:szCs w:val="24"/>
        </w:rPr>
        <w:t>日</w:t>
      </w: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1 </w:t>
      </w:r>
      <w:r>
        <w:rPr>
          <w:rFonts w:ascii="宋体" w:hAnsi="宋体" w:cs="宋体" w:hint="eastAsia"/>
          <w:b/>
          <w:bCs/>
          <w:color w:val="000000"/>
          <w:kern w:val="0"/>
          <w:sz w:val="24"/>
          <w:szCs w:val="24"/>
        </w:rPr>
        <w:t>公告基本信息</w:t>
      </w:r>
    </w:p>
    <w:tbl>
      <w:tblPr>
        <w:tblW w:w="0" w:type="auto"/>
        <w:tblInd w:w="108" w:type="dxa"/>
        <w:tblLayout w:type="fixed"/>
        <w:tblLook w:val="0000"/>
      </w:tblPr>
      <w:tblGrid>
        <w:gridCol w:w="3612"/>
        <w:gridCol w:w="2805"/>
        <w:gridCol w:w="2613"/>
      </w:tblGrid>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安信稳健阿尔法定期开放混合型发起式证券投资基金</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基金简称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安信阿尔法定开混合</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基金主代码</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sz w:val="24"/>
                <w:szCs w:val="24"/>
              </w:rPr>
              <w:t>005280</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基金运作方式</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rPr>
                <w:rFonts w:ascii="宋体" w:hAnsi="宋体" w:cs="宋体" w:hint="eastAsia"/>
                <w:sz w:val="24"/>
                <w:szCs w:val="24"/>
              </w:rPr>
            </w:pPr>
            <w:r>
              <w:rPr>
                <w:rFonts w:ascii="宋体" w:hAnsi="宋体" w:cs="宋体" w:hint="eastAsia"/>
                <w:sz w:val="24"/>
                <w:szCs w:val="24"/>
              </w:rPr>
              <w:t>契约型开放式</w:t>
            </w:r>
          </w:p>
          <w:p w:rsidR="00000000" w:rsidRDefault="00BB6B6D">
            <w:pPr>
              <w:rPr>
                <w:rFonts w:ascii="宋体" w:hAnsi="宋体" w:cs="宋体" w:hint="eastAsia"/>
                <w:sz w:val="24"/>
                <w:szCs w:val="24"/>
              </w:rPr>
            </w:pPr>
            <w:r>
              <w:rPr>
                <w:rFonts w:ascii="宋体" w:hAnsi="宋体" w:cs="宋体" w:hint="eastAsia"/>
                <w:sz w:val="24"/>
                <w:szCs w:val="24"/>
              </w:rPr>
              <w:t>本基金以定期开放方式运作，即采取在封闭期内封闭运作、封闭期与封闭期之间定期开放的运作方式。本基金的首个封闭期为自基金合同生效日起至第一个开放期的首日（不含该日）之间的期间，之后的封闭</w:t>
            </w:r>
            <w:r>
              <w:rPr>
                <w:rFonts w:ascii="宋体" w:hAnsi="宋体" w:cs="宋体" w:hint="eastAsia"/>
                <w:sz w:val="24"/>
                <w:szCs w:val="24"/>
              </w:rPr>
              <w:t>期为每相邻两个开放期之间的期间。本基金在封闭期内不办理申购与赎回业务，且不上市交易。</w:t>
            </w:r>
          </w:p>
          <w:p w:rsidR="00000000" w:rsidRDefault="00BB6B6D">
            <w:pPr>
              <w:rPr>
                <w:rFonts w:ascii="宋体" w:hAnsi="宋体" w:cs="宋体" w:hint="eastAsia"/>
                <w:sz w:val="24"/>
                <w:szCs w:val="24"/>
              </w:rPr>
            </w:pPr>
            <w:r>
              <w:rPr>
                <w:rFonts w:ascii="宋体" w:hAnsi="宋体" w:cs="宋体" w:hint="eastAsia"/>
                <w:sz w:val="24"/>
                <w:szCs w:val="24"/>
              </w:rPr>
              <w:t>本基金每三个月开放一次，每次开放期不超过</w:t>
            </w:r>
            <w:r>
              <w:rPr>
                <w:rFonts w:ascii="宋体" w:hAnsi="宋体" w:cs="宋体" w:hint="eastAsia"/>
                <w:sz w:val="24"/>
                <w:szCs w:val="24"/>
              </w:rPr>
              <w:t>5</w:t>
            </w:r>
            <w:r>
              <w:rPr>
                <w:rFonts w:ascii="宋体" w:hAnsi="宋体" w:cs="宋体" w:hint="eastAsia"/>
                <w:sz w:val="24"/>
                <w:szCs w:val="24"/>
              </w:rPr>
              <w:t>个工作日，每个开放期所在月份为基金合同生效日所在月份在后续每三个日历月中最后一个日历月，每个开放期的首日为当月沪深</w:t>
            </w:r>
            <w:r>
              <w:rPr>
                <w:rFonts w:ascii="宋体" w:hAnsi="宋体" w:cs="宋体" w:hint="eastAsia"/>
                <w:sz w:val="24"/>
                <w:szCs w:val="24"/>
              </w:rPr>
              <w:t>300</w:t>
            </w:r>
            <w:r>
              <w:rPr>
                <w:rFonts w:ascii="宋体" w:hAnsi="宋体" w:cs="宋体" w:hint="eastAsia"/>
                <w:sz w:val="24"/>
                <w:szCs w:val="24"/>
              </w:rPr>
              <w:t>股指期货交割日前五个工作日的第一个工作日。</w:t>
            </w:r>
          </w:p>
          <w:p w:rsidR="00000000" w:rsidRDefault="00BB6B6D">
            <w:pPr>
              <w:rPr>
                <w:rFonts w:ascii="宋体" w:hAnsi="宋体" w:cs="宋体" w:hint="eastAsia"/>
                <w:kern w:val="0"/>
                <w:sz w:val="24"/>
                <w:szCs w:val="24"/>
              </w:rPr>
            </w:pPr>
            <w:r>
              <w:rPr>
                <w:rFonts w:ascii="宋体" w:hAnsi="宋体" w:cs="宋体" w:hint="eastAsia"/>
                <w:sz w:val="24"/>
                <w:szCs w:val="24"/>
              </w:rPr>
              <w:t>开放期的具体时间以基金管理人届时公告为准，且基金管理人最迟应于开放期开始前</w:t>
            </w:r>
            <w:r>
              <w:rPr>
                <w:rFonts w:ascii="宋体" w:hAnsi="宋体" w:cs="宋体" w:hint="eastAsia"/>
                <w:sz w:val="24"/>
                <w:szCs w:val="24"/>
              </w:rPr>
              <w:t>2</w:t>
            </w:r>
            <w:r>
              <w:rPr>
                <w:rFonts w:ascii="宋体" w:hAnsi="宋体" w:cs="宋体" w:hint="eastAsia"/>
                <w:sz w:val="24"/>
                <w:szCs w:val="24"/>
              </w:rPr>
              <w:t>日进行公告。如在开放期内发生不可抗力或其他情形致使基金无法按时开放申购与赎回业务的，开放期时间中止计算，在不可抗力或其他影响因素消除之日次一个工</w:t>
            </w:r>
            <w:r>
              <w:rPr>
                <w:rFonts w:ascii="宋体" w:hAnsi="宋体" w:cs="宋体" w:hint="eastAsia"/>
                <w:sz w:val="24"/>
                <w:szCs w:val="24"/>
              </w:rPr>
              <w:t>作日起，继续计算该开放时间，直到满足开放期的时间要求。</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基金合同生效日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sz w:val="24"/>
                <w:szCs w:val="24"/>
              </w:rPr>
              <w:t>2017</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w:t>
            </w:r>
            <w:r>
              <w:rPr>
                <w:rFonts w:ascii="宋体" w:hAnsi="宋体" w:cs="宋体" w:hint="eastAsia"/>
                <w:sz w:val="24"/>
                <w:szCs w:val="24"/>
              </w:rPr>
              <w:t>6</w:t>
            </w:r>
            <w:r>
              <w:rPr>
                <w:rFonts w:ascii="宋体" w:hAnsi="宋体" w:cs="宋体" w:hint="eastAsia"/>
                <w:sz w:val="24"/>
                <w:szCs w:val="24"/>
              </w:rPr>
              <w:t>日</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基金管理人名称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安信基金管理有限责任公司</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基金托管人名称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招商银行股份有限公司</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sz w:val="24"/>
                <w:szCs w:val="24"/>
              </w:rPr>
              <w:t>基金注册登记机构名称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安信基金管理有限责任公司</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公告依据</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《中华人民共和国证券投资基金法》、《公开募集证券投资基金运作管理办法》、《公开募集证券投</w:t>
            </w:r>
            <w:r>
              <w:rPr>
                <w:rFonts w:ascii="宋体" w:hAnsi="宋体" w:cs="宋体" w:hint="eastAsia"/>
                <w:color w:val="000000"/>
                <w:kern w:val="0"/>
                <w:sz w:val="24"/>
                <w:szCs w:val="24"/>
              </w:rPr>
              <w:lastRenderedPageBreak/>
              <w:t>资基金信息披露管理办法》等相关法律法规以及《安信稳健阿尔法定期开放混合型发起式证券投资基金基金合同》、《安信稳健阿尔法定期开放混合型发起式证券投资基金招募说明书》及相关公告。</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lastRenderedPageBreak/>
              <w:t>申购</w:t>
            </w:r>
            <w:r>
              <w:rPr>
                <w:rFonts w:ascii="宋体" w:hAnsi="宋体" w:cs="宋体" w:hint="eastAsia"/>
                <w:color w:val="000000"/>
                <w:kern w:val="0"/>
                <w:sz w:val="24"/>
                <w:szCs w:val="24"/>
              </w:rPr>
              <w:t>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赎回起始日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转换转入起始日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转换转出起始日</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pStyle w:val="Default"/>
              <w:rPr>
                <w:rFonts w:hint="eastAsia"/>
              </w:rPr>
            </w:pPr>
            <w:r>
              <w:rPr>
                <w:rFonts w:hint="eastAsia"/>
              </w:rPr>
              <w:t>下属分级基金的基金简称</w:t>
            </w:r>
          </w:p>
        </w:tc>
        <w:tc>
          <w:tcPr>
            <w:tcW w:w="2805" w:type="dxa"/>
            <w:tcBorders>
              <w:top w:val="single" w:sz="8" w:space="0" w:color="000000"/>
              <w:left w:val="single" w:sz="8" w:space="0" w:color="000000"/>
              <w:bottom w:val="single" w:sz="8" w:space="0" w:color="000000"/>
              <w:right w:val="single" w:sz="4" w:space="0" w:color="auto"/>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安信阿尔法定开混合</w:t>
            </w:r>
            <w:r>
              <w:rPr>
                <w:rFonts w:ascii="宋体" w:hAnsi="宋体" w:cs="宋体" w:hint="eastAsia"/>
                <w:color w:val="000000"/>
                <w:kern w:val="0"/>
                <w:sz w:val="24"/>
                <w:szCs w:val="24"/>
              </w:rPr>
              <w:t>A</w:t>
            </w:r>
          </w:p>
        </w:tc>
        <w:tc>
          <w:tcPr>
            <w:tcW w:w="2613" w:type="dxa"/>
            <w:tcBorders>
              <w:top w:val="single" w:sz="8" w:space="0" w:color="000000"/>
              <w:left w:val="single" w:sz="4" w:space="0" w:color="auto"/>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安信阿尔法定开混合</w:t>
            </w:r>
            <w:r>
              <w:rPr>
                <w:rFonts w:ascii="宋体" w:hAnsi="宋体" w:cs="宋体" w:hint="eastAsia"/>
                <w:color w:val="000000"/>
                <w:kern w:val="0"/>
                <w:sz w:val="24"/>
                <w:szCs w:val="24"/>
              </w:rPr>
              <w:t>C</w:t>
            </w:r>
          </w:p>
        </w:tc>
      </w:tr>
      <w:tr w:rsidR="00000000">
        <w:tc>
          <w:tcPr>
            <w:tcW w:w="3612" w:type="dxa"/>
            <w:tcBorders>
              <w:top w:val="single" w:sz="8" w:space="0" w:color="000000"/>
              <w:left w:val="single" w:sz="8" w:space="0" w:color="000000"/>
              <w:bottom w:val="single" w:sz="8" w:space="0" w:color="000000"/>
              <w:right w:val="single" w:sz="8" w:space="0" w:color="000000"/>
            </w:tcBorders>
            <w:vAlign w:val="center"/>
          </w:tcPr>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sz w:val="24"/>
                <w:szCs w:val="24"/>
              </w:rPr>
              <w:t>下属分级基金的交易代码</w:t>
            </w:r>
          </w:p>
        </w:tc>
        <w:tc>
          <w:tcPr>
            <w:tcW w:w="2805" w:type="dxa"/>
            <w:tcBorders>
              <w:top w:val="single" w:sz="8" w:space="0" w:color="000000"/>
              <w:left w:val="single" w:sz="8" w:space="0" w:color="000000"/>
              <w:bottom w:val="single" w:sz="8" w:space="0" w:color="000000"/>
              <w:right w:val="single" w:sz="4" w:space="0" w:color="auto"/>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005280</w:t>
            </w:r>
          </w:p>
        </w:tc>
        <w:tc>
          <w:tcPr>
            <w:tcW w:w="2613" w:type="dxa"/>
            <w:tcBorders>
              <w:top w:val="single" w:sz="8" w:space="0" w:color="000000"/>
              <w:left w:val="single" w:sz="4" w:space="0" w:color="auto"/>
              <w:bottom w:val="single" w:sz="8" w:space="0" w:color="000000"/>
              <w:right w:val="single" w:sz="8" w:space="0" w:color="000000"/>
            </w:tcBorders>
            <w:vAlign w:val="center"/>
          </w:tcPr>
          <w:p w:rsidR="00000000" w:rsidRDefault="00BB6B6D">
            <w:pPr>
              <w:autoSpaceDE w:val="0"/>
              <w:autoSpaceDN w:val="0"/>
              <w:adjustRightInd w:val="0"/>
              <w:spacing w:line="360" w:lineRule="auto"/>
              <w:jc w:val="left"/>
              <w:rPr>
                <w:rFonts w:ascii="宋体" w:hAnsi="宋体" w:cs="宋体" w:hint="eastAsia"/>
                <w:color w:val="000000"/>
                <w:kern w:val="0"/>
                <w:sz w:val="24"/>
                <w:szCs w:val="24"/>
              </w:rPr>
            </w:pPr>
            <w:r>
              <w:rPr>
                <w:rFonts w:ascii="宋体" w:hAnsi="宋体" w:cs="宋体" w:hint="eastAsia"/>
                <w:color w:val="000000"/>
                <w:kern w:val="0"/>
                <w:sz w:val="24"/>
                <w:szCs w:val="24"/>
              </w:rPr>
              <w:t>009624</w:t>
            </w:r>
          </w:p>
        </w:tc>
      </w:tr>
      <w:tr w:rsidR="00000000">
        <w:tc>
          <w:tcPr>
            <w:tcW w:w="3612" w:type="dxa"/>
            <w:tcBorders>
              <w:top w:val="single" w:sz="8" w:space="0" w:color="000000"/>
              <w:left w:val="single" w:sz="8" w:space="0" w:color="000000"/>
              <w:bottom w:val="single" w:sz="8" w:space="0" w:color="000000"/>
              <w:right w:val="single" w:sz="8" w:space="0" w:color="000000"/>
            </w:tcBorders>
          </w:tcPr>
          <w:p w:rsidR="00000000" w:rsidRDefault="00BB6B6D">
            <w:pPr>
              <w:autoSpaceDE w:val="0"/>
              <w:autoSpaceDN w:val="0"/>
              <w:adjustRightInd w:val="0"/>
              <w:spacing w:before="30" w:line="360" w:lineRule="auto"/>
              <w:ind w:left="15"/>
              <w:jc w:val="left"/>
              <w:rPr>
                <w:rFonts w:ascii="宋体" w:hAnsi="宋体" w:cs="宋体" w:hint="eastAsia"/>
                <w:sz w:val="24"/>
                <w:szCs w:val="24"/>
              </w:rPr>
            </w:pPr>
            <w:r>
              <w:rPr>
                <w:rFonts w:ascii="宋体" w:hAnsi="宋体" w:cs="宋体" w:hint="eastAsia"/>
                <w:sz w:val="24"/>
                <w:szCs w:val="24"/>
              </w:rPr>
              <w:t>该分级基金是否开放申购、赎回、转换业务</w:t>
            </w:r>
          </w:p>
        </w:tc>
        <w:tc>
          <w:tcPr>
            <w:tcW w:w="2805" w:type="dxa"/>
            <w:tcBorders>
              <w:top w:val="single" w:sz="8" w:space="0" w:color="000000"/>
              <w:left w:val="single" w:sz="8" w:space="0" w:color="000000"/>
              <w:bottom w:val="single" w:sz="8" w:space="0" w:color="000000"/>
              <w:right w:val="single" w:sz="4" w:space="0" w:color="auto"/>
            </w:tcBorders>
          </w:tcPr>
          <w:p w:rsidR="00000000" w:rsidRDefault="00BB6B6D">
            <w:pPr>
              <w:autoSpaceDE w:val="0"/>
              <w:autoSpaceDN w:val="0"/>
              <w:adjustRightInd w:val="0"/>
              <w:spacing w:line="360" w:lineRule="auto"/>
              <w:jc w:val="left"/>
              <w:rPr>
                <w:rFonts w:ascii="宋体" w:hAnsi="宋体" w:cs="宋体" w:hint="eastAsia"/>
                <w:sz w:val="24"/>
                <w:szCs w:val="24"/>
              </w:rPr>
            </w:pPr>
            <w:r>
              <w:rPr>
                <w:rFonts w:ascii="宋体" w:hAnsi="宋体" w:cs="宋体" w:hint="eastAsia"/>
                <w:sz w:val="24"/>
                <w:szCs w:val="24"/>
              </w:rPr>
              <w:t>是</w:t>
            </w:r>
          </w:p>
        </w:tc>
        <w:tc>
          <w:tcPr>
            <w:tcW w:w="2613" w:type="dxa"/>
            <w:tcBorders>
              <w:top w:val="single" w:sz="8" w:space="0" w:color="000000"/>
              <w:left w:val="single" w:sz="4" w:space="0" w:color="auto"/>
              <w:bottom w:val="single" w:sz="8" w:space="0" w:color="000000"/>
              <w:right w:val="single" w:sz="8" w:space="0" w:color="000000"/>
            </w:tcBorders>
          </w:tcPr>
          <w:p w:rsidR="00000000" w:rsidRDefault="00BB6B6D">
            <w:pPr>
              <w:autoSpaceDE w:val="0"/>
              <w:autoSpaceDN w:val="0"/>
              <w:adjustRightInd w:val="0"/>
              <w:spacing w:line="360" w:lineRule="auto"/>
              <w:jc w:val="left"/>
              <w:rPr>
                <w:rFonts w:ascii="宋体" w:hAnsi="宋体" w:cs="宋体" w:hint="eastAsia"/>
                <w:sz w:val="24"/>
                <w:szCs w:val="24"/>
              </w:rPr>
            </w:pPr>
            <w:r>
              <w:rPr>
                <w:rFonts w:ascii="宋体" w:hAnsi="宋体" w:cs="宋体" w:hint="eastAsia"/>
                <w:sz w:val="24"/>
                <w:szCs w:val="24"/>
              </w:rPr>
              <w:t>是</w:t>
            </w:r>
          </w:p>
        </w:tc>
      </w:tr>
    </w:tbl>
    <w:p w:rsidR="00000000" w:rsidRDefault="00BB6B6D">
      <w:pPr>
        <w:autoSpaceDE w:val="0"/>
        <w:autoSpaceDN w:val="0"/>
        <w:adjustRightInd w:val="0"/>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注：安信稳健阿尔法定期开放混合型发起式证券投资基金（以下简称“本基金”）的本次开放期为</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日至</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19</w:t>
      </w:r>
      <w:r>
        <w:rPr>
          <w:rFonts w:ascii="宋体" w:hAnsi="宋体" w:cs="宋体" w:hint="eastAsia"/>
          <w:color w:val="000000"/>
          <w:kern w:val="0"/>
          <w:sz w:val="24"/>
          <w:szCs w:val="24"/>
        </w:rPr>
        <w:t>日，即以上时间段期间办理本基金的申购、赎回和转换业务。本基金暂不</w:t>
      </w:r>
      <w:r>
        <w:rPr>
          <w:rFonts w:ascii="宋体" w:hAnsi="宋体" w:cs="宋体" w:hint="eastAsia"/>
          <w:color w:val="000000"/>
          <w:kern w:val="0"/>
          <w:sz w:val="24"/>
          <w:szCs w:val="24"/>
        </w:rPr>
        <w:t>开通定期定额投资业务。</w:t>
      </w:r>
    </w:p>
    <w:p w:rsidR="00000000" w:rsidRDefault="00BB6B6D">
      <w:pPr>
        <w:autoSpaceDE w:val="0"/>
        <w:autoSpaceDN w:val="0"/>
        <w:adjustRightInd w:val="0"/>
        <w:spacing w:line="360" w:lineRule="auto"/>
        <w:jc w:val="left"/>
        <w:rPr>
          <w:rFonts w:ascii="宋体" w:hAnsi="宋体" w:cs="宋体" w:hint="eastAsia"/>
          <w:color w:val="000000"/>
          <w:kern w:val="0"/>
          <w:sz w:val="24"/>
          <w:szCs w:val="24"/>
        </w:rPr>
      </w:pP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2 </w:t>
      </w:r>
      <w:r>
        <w:rPr>
          <w:rFonts w:ascii="宋体" w:hAnsi="宋体" w:cs="宋体" w:hint="eastAsia"/>
          <w:b/>
          <w:bCs/>
          <w:color w:val="000000"/>
          <w:kern w:val="0"/>
          <w:sz w:val="24"/>
          <w:szCs w:val="24"/>
        </w:rPr>
        <w:t>日常申购、赎回、转换业务的办理时间</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开放期内，投资人在开放日办理基金份额的申购、赎回和转换业务，具体办理时间为上海证券交易所、深圳证券交易所的正常交易日的交易时间，但基金管理人根据法律法规、中国证监会的要求或本基金基金合同的规定公告暂停申购、赎回和转换业务时除外。</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合同生效后，若出现新的证券交易市场、证券交易所交易时间变更或其他特殊情况，基金管理人将视情况对前述开放日及开放时间进行相应的调整，但应在实施日前依照《公开募集证券投资基金信息披露管理办法》的有关规定在规定媒介上公</w:t>
      </w:r>
      <w:r>
        <w:rPr>
          <w:rFonts w:ascii="宋体" w:hAnsi="宋体" w:cs="宋体" w:hint="eastAsia"/>
          <w:color w:val="000000"/>
          <w:kern w:val="0"/>
          <w:sz w:val="24"/>
          <w:szCs w:val="24"/>
        </w:rPr>
        <w:t>告。</w:t>
      </w:r>
    </w:p>
    <w:p w:rsidR="00000000" w:rsidRDefault="00BB6B6D">
      <w:pPr>
        <w:autoSpaceDE w:val="0"/>
        <w:autoSpaceDN w:val="0"/>
        <w:adjustRightInd w:val="0"/>
        <w:spacing w:before="30"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按照基金合同的规定，本基金的本次开放期为</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日至</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19</w:t>
      </w:r>
      <w:r>
        <w:rPr>
          <w:rFonts w:ascii="宋体" w:hAnsi="宋体" w:cs="宋体" w:hint="eastAsia"/>
          <w:color w:val="000000"/>
          <w:kern w:val="0"/>
          <w:sz w:val="24"/>
          <w:szCs w:val="24"/>
        </w:rPr>
        <w:t>日，即以上时间段期间办理本基金的申购、赎回或转换业务。基金管理人应最迟在开放期前</w:t>
      </w:r>
      <w:r>
        <w:rPr>
          <w:rFonts w:ascii="宋体" w:hAnsi="宋体" w:cs="宋体" w:hint="eastAsia"/>
          <w:color w:val="000000"/>
          <w:kern w:val="0"/>
          <w:sz w:val="24"/>
          <w:szCs w:val="24"/>
        </w:rPr>
        <w:t>2</w:t>
      </w:r>
      <w:r>
        <w:rPr>
          <w:rFonts w:ascii="宋体" w:hAnsi="宋体" w:cs="宋体" w:hint="eastAsia"/>
          <w:color w:val="000000"/>
          <w:kern w:val="0"/>
          <w:sz w:val="24"/>
          <w:szCs w:val="24"/>
        </w:rPr>
        <w:t>日依照《公开募集证券投资基金信息披露管理办法》的有关规定在规定媒介上公告开放期的开始与结束时间。</w:t>
      </w:r>
    </w:p>
    <w:p w:rsidR="00000000" w:rsidRDefault="00BB6B6D">
      <w:pPr>
        <w:autoSpaceDE w:val="0"/>
        <w:autoSpaceDN w:val="0"/>
        <w:adjustRightInd w:val="0"/>
        <w:spacing w:before="30"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lastRenderedPageBreak/>
        <w:t>基金管理人不得在基金合同约定之外的日期或者时间办理基金份额的申购、赎回或者转换。开放期内，投资人在基金合同约定之外的时间提出申购、赎回或转换申请且登记机构确认接受的，其基金份额申购、赎回价格为下一开放日基金份额申购、赎回的价格。开放期最后一日，投</w:t>
      </w:r>
      <w:r>
        <w:rPr>
          <w:rFonts w:ascii="宋体" w:hAnsi="宋体" w:cs="宋体" w:hint="eastAsia"/>
          <w:color w:val="000000"/>
          <w:kern w:val="0"/>
          <w:sz w:val="24"/>
          <w:szCs w:val="24"/>
        </w:rPr>
        <w:t>资人在基金合同约定之外的时间提出申购、赎回或转换申请，视为无效申请。</w:t>
      </w:r>
    </w:p>
    <w:p w:rsidR="00000000" w:rsidRDefault="00BB6B6D">
      <w:pPr>
        <w:autoSpaceDE w:val="0"/>
        <w:autoSpaceDN w:val="0"/>
        <w:adjustRightInd w:val="0"/>
        <w:spacing w:before="30" w:line="360" w:lineRule="auto"/>
        <w:ind w:firstLineChars="200" w:firstLine="480"/>
        <w:jc w:val="left"/>
        <w:rPr>
          <w:rFonts w:ascii="宋体" w:hAnsi="宋体" w:cs="宋体" w:hint="eastAsia"/>
          <w:color w:val="000000"/>
          <w:kern w:val="0"/>
          <w:sz w:val="24"/>
          <w:szCs w:val="24"/>
        </w:rPr>
      </w:pP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3 </w:t>
      </w:r>
      <w:r>
        <w:rPr>
          <w:rFonts w:ascii="宋体" w:hAnsi="宋体" w:cs="宋体" w:hint="eastAsia"/>
          <w:b/>
          <w:bCs/>
          <w:color w:val="000000"/>
          <w:kern w:val="0"/>
          <w:sz w:val="24"/>
          <w:szCs w:val="24"/>
        </w:rPr>
        <w:t>日常申购业务</w:t>
      </w: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3.1 </w:t>
      </w:r>
      <w:r>
        <w:rPr>
          <w:rFonts w:ascii="宋体" w:hAnsi="宋体" w:cs="宋体" w:hint="eastAsia"/>
          <w:b/>
          <w:bCs/>
          <w:color w:val="000000"/>
          <w:kern w:val="0"/>
          <w:sz w:val="24"/>
          <w:szCs w:val="24"/>
        </w:rPr>
        <w:t>申购金额限制</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通过本基金代销机构进行申购，首次申购最低金额为人民币</w:t>
      </w:r>
      <w:r>
        <w:rPr>
          <w:rFonts w:ascii="宋体" w:hAnsi="宋体" w:cs="宋体" w:hint="eastAsia"/>
          <w:color w:val="000000"/>
          <w:kern w:val="0"/>
          <w:sz w:val="24"/>
          <w:szCs w:val="24"/>
        </w:rPr>
        <w:t>1</w:t>
      </w:r>
      <w:r>
        <w:rPr>
          <w:rFonts w:ascii="宋体" w:hAnsi="宋体" w:cs="宋体" w:hint="eastAsia"/>
          <w:color w:val="000000"/>
          <w:kern w:val="0"/>
          <w:sz w:val="24"/>
          <w:szCs w:val="24"/>
        </w:rPr>
        <w:t>元（含申购费），追加申购的最低金额为人民币</w:t>
      </w:r>
      <w:r>
        <w:rPr>
          <w:rFonts w:ascii="宋体" w:hAnsi="宋体" w:cs="宋体" w:hint="eastAsia"/>
          <w:color w:val="000000"/>
          <w:kern w:val="0"/>
          <w:sz w:val="24"/>
          <w:szCs w:val="24"/>
        </w:rPr>
        <w:t>1</w:t>
      </w:r>
      <w:r>
        <w:rPr>
          <w:rFonts w:ascii="宋体" w:hAnsi="宋体" w:cs="宋体" w:hint="eastAsia"/>
          <w:color w:val="000000"/>
          <w:kern w:val="0"/>
          <w:sz w:val="24"/>
          <w:szCs w:val="24"/>
        </w:rPr>
        <w:t>元（含申购费）；各销售机构对最低申购限额及交易级差有其他规定的，以各销售机构的业务规定为准；</w:t>
      </w:r>
    </w:p>
    <w:p w:rsidR="00000000" w:rsidRDefault="00BB6B6D">
      <w:pPr>
        <w:autoSpaceDE w:val="0"/>
        <w:autoSpaceDN w:val="0"/>
        <w:adjustRightInd w:val="0"/>
        <w:spacing w:before="30" w:line="360" w:lineRule="auto"/>
        <w:ind w:left="15"/>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通过基金管理人的直销柜台进行申购，单个基金账户单笔首次申购最低金额为</w:t>
      </w:r>
      <w:r>
        <w:rPr>
          <w:rFonts w:ascii="宋体" w:hAnsi="宋体" w:cs="宋体" w:hint="eastAsia"/>
          <w:color w:val="000000"/>
          <w:kern w:val="0"/>
          <w:sz w:val="24"/>
          <w:szCs w:val="24"/>
        </w:rPr>
        <w:t>50,000</w:t>
      </w:r>
      <w:r>
        <w:rPr>
          <w:rFonts w:ascii="宋体" w:hAnsi="宋体" w:cs="宋体" w:hint="eastAsia"/>
          <w:color w:val="000000"/>
          <w:kern w:val="0"/>
          <w:sz w:val="24"/>
          <w:szCs w:val="24"/>
        </w:rPr>
        <w:t>元（含申购费），追加申购最低金额为单笔</w:t>
      </w:r>
      <w:r>
        <w:rPr>
          <w:rFonts w:ascii="宋体" w:hAnsi="宋体" w:cs="宋体" w:hint="eastAsia"/>
          <w:color w:val="000000"/>
          <w:kern w:val="0"/>
          <w:sz w:val="24"/>
          <w:szCs w:val="24"/>
        </w:rPr>
        <w:t>10,000</w:t>
      </w:r>
      <w:r>
        <w:rPr>
          <w:rFonts w:ascii="宋体" w:hAnsi="宋体" w:cs="宋体" w:hint="eastAsia"/>
          <w:color w:val="000000"/>
          <w:kern w:val="0"/>
          <w:sz w:val="24"/>
          <w:szCs w:val="24"/>
        </w:rPr>
        <w:t>元（含申购费）；</w:t>
      </w:r>
    </w:p>
    <w:p w:rsidR="00000000" w:rsidRDefault="00BB6B6D">
      <w:pPr>
        <w:autoSpaceDE w:val="0"/>
        <w:autoSpaceDN w:val="0"/>
        <w:adjustRightInd w:val="0"/>
        <w:spacing w:line="360" w:lineRule="auto"/>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通过本公司网上直销进行申购，单个基金账户单笔</w:t>
      </w:r>
      <w:r>
        <w:rPr>
          <w:rFonts w:ascii="宋体" w:hAnsi="宋体" w:cs="宋体" w:hint="eastAsia"/>
          <w:color w:val="000000"/>
          <w:kern w:val="0"/>
          <w:sz w:val="24"/>
          <w:szCs w:val="24"/>
        </w:rPr>
        <w:t>最低申购金额为</w:t>
      </w:r>
      <w:r>
        <w:rPr>
          <w:rFonts w:ascii="宋体" w:hAnsi="宋体" w:cs="宋体" w:hint="eastAsia"/>
          <w:color w:val="000000"/>
          <w:kern w:val="0"/>
          <w:sz w:val="24"/>
          <w:szCs w:val="24"/>
        </w:rPr>
        <w:t>1</w:t>
      </w:r>
      <w:r>
        <w:rPr>
          <w:rFonts w:ascii="宋体" w:hAnsi="宋体" w:cs="宋体" w:hint="eastAsia"/>
          <w:color w:val="000000"/>
          <w:kern w:val="0"/>
          <w:sz w:val="24"/>
          <w:szCs w:val="24"/>
        </w:rPr>
        <w:t>元（含申购费），追加申购最低金额为单笔</w:t>
      </w:r>
      <w:r>
        <w:rPr>
          <w:rFonts w:ascii="宋体" w:hAnsi="宋体" w:cs="宋体" w:hint="eastAsia"/>
          <w:color w:val="000000"/>
          <w:kern w:val="0"/>
          <w:sz w:val="24"/>
          <w:szCs w:val="24"/>
        </w:rPr>
        <w:t>1</w:t>
      </w:r>
      <w:r>
        <w:rPr>
          <w:rFonts w:ascii="宋体" w:hAnsi="宋体" w:cs="宋体" w:hint="eastAsia"/>
          <w:color w:val="000000"/>
          <w:kern w:val="0"/>
          <w:sz w:val="24"/>
          <w:szCs w:val="24"/>
        </w:rPr>
        <w:t>元（含申购费），网上直销单笔交易上限及单日累计交易上限请参照网上直销说明。</w:t>
      </w: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3.2 </w:t>
      </w:r>
      <w:r>
        <w:rPr>
          <w:rFonts w:ascii="宋体" w:hAnsi="宋体" w:cs="宋体" w:hint="eastAsia"/>
          <w:b/>
          <w:bCs/>
          <w:color w:val="000000"/>
          <w:kern w:val="0"/>
          <w:sz w:val="24"/>
          <w:szCs w:val="24"/>
        </w:rPr>
        <w:t>申购费率</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本基金</w:t>
      </w:r>
      <w:r>
        <w:rPr>
          <w:rFonts w:ascii="宋体" w:hAnsi="宋体" w:cs="宋体" w:hint="eastAsia"/>
          <w:color w:val="000000"/>
          <w:kern w:val="0"/>
          <w:sz w:val="24"/>
          <w:szCs w:val="24"/>
        </w:rPr>
        <w:t>A</w:t>
      </w:r>
      <w:r>
        <w:rPr>
          <w:rFonts w:ascii="宋体" w:hAnsi="宋体" w:cs="宋体" w:hint="eastAsia"/>
          <w:color w:val="000000"/>
          <w:kern w:val="0"/>
          <w:sz w:val="24"/>
          <w:szCs w:val="24"/>
        </w:rPr>
        <w:t>类基金份额收取申购费，并不再从本类别基金资产中计提销售服务费；</w:t>
      </w:r>
      <w:r>
        <w:rPr>
          <w:rFonts w:ascii="宋体" w:hAnsi="宋体" w:cs="宋体" w:hint="eastAsia"/>
          <w:color w:val="000000"/>
          <w:kern w:val="0"/>
          <w:sz w:val="24"/>
          <w:szCs w:val="24"/>
        </w:rPr>
        <w:t>C</w:t>
      </w:r>
      <w:r>
        <w:rPr>
          <w:rFonts w:ascii="宋体" w:hAnsi="宋体" w:cs="宋体" w:hint="eastAsia"/>
          <w:color w:val="000000"/>
          <w:kern w:val="0"/>
          <w:sz w:val="24"/>
          <w:szCs w:val="24"/>
        </w:rPr>
        <w:t>类基金份额从本类别基金资产中计提销售服务费、不收取申购费用。</w:t>
      </w:r>
      <w:r>
        <w:rPr>
          <w:rFonts w:ascii="宋体" w:hAnsi="宋体" w:cs="宋体" w:hint="eastAsia"/>
          <w:color w:val="000000"/>
          <w:kern w:val="0"/>
          <w:sz w:val="24"/>
          <w:szCs w:val="24"/>
        </w:rPr>
        <w:cr/>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本基金</w:t>
      </w:r>
      <w:r>
        <w:rPr>
          <w:rFonts w:ascii="宋体" w:hAnsi="宋体" w:cs="宋体" w:hint="eastAsia"/>
          <w:color w:val="000000"/>
          <w:kern w:val="0"/>
          <w:sz w:val="24"/>
          <w:szCs w:val="24"/>
        </w:rPr>
        <w:t>A</w:t>
      </w:r>
      <w:r>
        <w:rPr>
          <w:rFonts w:ascii="宋体" w:hAnsi="宋体" w:cs="宋体" w:hint="eastAsia"/>
          <w:color w:val="000000"/>
          <w:kern w:val="0"/>
          <w:sz w:val="24"/>
          <w:szCs w:val="24"/>
        </w:rPr>
        <w:t>类基金份额对申购设置级差费率，申购费率随申购金额的增加而递减。投资人在一天之内如果有多笔申购，适用费率按单笔分别计算。</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本基金对通过直销中心申购本基金</w:t>
      </w: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类基金份额的的养老金客户与除此之外的其他投资者实施差别的申购</w:t>
      </w:r>
      <w:r>
        <w:rPr>
          <w:rFonts w:ascii="宋体" w:hAnsi="宋体" w:cs="宋体" w:hint="eastAsia"/>
          <w:color w:val="000000"/>
          <w:kern w:val="0"/>
          <w:sz w:val="24"/>
          <w:szCs w:val="24"/>
        </w:rPr>
        <w:t>费率。</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）通过基金管理人的直销中心申购本基金</w:t>
      </w: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类基金份额的养老金客户申购费率见下表：</w:t>
      </w:r>
    </w:p>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类基金份额的申购费率结构表</w:t>
      </w:r>
    </w:p>
    <w:tbl>
      <w:tblPr>
        <w:tblW w:w="496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8"/>
        <w:gridCol w:w="1774"/>
      </w:tblGrid>
      <w:tr w:rsidR="00000000">
        <w:trPr>
          <w:trHeight w:val="170"/>
          <w:jc w:val="center"/>
        </w:trPr>
        <w:tc>
          <w:tcPr>
            <w:tcW w:w="3188"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申购金额</w:t>
            </w:r>
            <w:r>
              <w:rPr>
                <w:rFonts w:ascii="宋体" w:hAnsi="宋体" w:cs="宋体" w:hint="eastAsia"/>
                <w:color w:val="000000"/>
                <w:kern w:val="0"/>
                <w:sz w:val="24"/>
                <w:szCs w:val="24"/>
              </w:rPr>
              <w:t>M</w:t>
            </w:r>
            <w:r>
              <w:rPr>
                <w:rFonts w:ascii="宋体" w:hAnsi="宋体" w:cs="宋体" w:hint="eastAsia"/>
                <w:color w:val="000000"/>
                <w:kern w:val="0"/>
                <w:sz w:val="24"/>
                <w:szCs w:val="24"/>
              </w:rPr>
              <w:t>（含申购费用）</w:t>
            </w:r>
          </w:p>
        </w:tc>
        <w:tc>
          <w:tcPr>
            <w:tcW w:w="1774"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申购费率</w:t>
            </w:r>
          </w:p>
        </w:tc>
      </w:tr>
      <w:tr w:rsidR="00000000">
        <w:trPr>
          <w:trHeight w:val="170"/>
          <w:jc w:val="center"/>
        </w:trPr>
        <w:tc>
          <w:tcPr>
            <w:tcW w:w="3188"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M</w:t>
            </w:r>
            <w:r>
              <w:rPr>
                <w:rFonts w:ascii="宋体" w:hAnsi="宋体" w:cs="宋体" w:hint="eastAsia"/>
                <w:color w:val="000000"/>
                <w:kern w:val="0"/>
                <w:sz w:val="24"/>
                <w:szCs w:val="24"/>
              </w:rPr>
              <w:t>＜</w:t>
            </w:r>
            <w:r>
              <w:rPr>
                <w:rFonts w:ascii="宋体" w:hAnsi="宋体" w:cs="宋体" w:hint="eastAsia"/>
                <w:color w:val="000000"/>
                <w:kern w:val="0"/>
                <w:sz w:val="24"/>
                <w:szCs w:val="24"/>
              </w:rPr>
              <w:t>1000</w:t>
            </w:r>
            <w:r>
              <w:rPr>
                <w:rFonts w:ascii="宋体" w:hAnsi="宋体" w:cs="宋体" w:hint="eastAsia"/>
                <w:color w:val="000000"/>
                <w:kern w:val="0"/>
                <w:sz w:val="24"/>
                <w:szCs w:val="24"/>
              </w:rPr>
              <w:t>万元</w:t>
            </w:r>
          </w:p>
        </w:tc>
        <w:tc>
          <w:tcPr>
            <w:tcW w:w="1774"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0.13%</w:t>
            </w:r>
          </w:p>
        </w:tc>
      </w:tr>
      <w:tr w:rsidR="00000000">
        <w:trPr>
          <w:trHeight w:val="170"/>
          <w:jc w:val="center"/>
        </w:trPr>
        <w:tc>
          <w:tcPr>
            <w:tcW w:w="3188"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M</w:t>
            </w:r>
            <w:r>
              <w:rPr>
                <w:rFonts w:ascii="宋体" w:hAnsi="宋体" w:cs="宋体" w:hint="eastAsia"/>
                <w:color w:val="000000"/>
                <w:kern w:val="0"/>
                <w:sz w:val="24"/>
                <w:szCs w:val="24"/>
              </w:rPr>
              <w:t>≥</w:t>
            </w:r>
            <w:r>
              <w:rPr>
                <w:rFonts w:ascii="宋体" w:hAnsi="宋体" w:cs="宋体" w:hint="eastAsia"/>
                <w:color w:val="000000"/>
                <w:kern w:val="0"/>
                <w:sz w:val="24"/>
                <w:szCs w:val="24"/>
              </w:rPr>
              <w:t>1000</w:t>
            </w:r>
            <w:r>
              <w:rPr>
                <w:rFonts w:ascii="宋体" w:hAnsi="宋体" w:cs="宋体" w:hint="eastAsia"/>
                <w:color w:val="000000"/>
                <w:kern w:val="0"/>
                <w:sz w:val="24"/>
                <w:szCs w:val="24"/>
              </w:rPr>
              <w:t>万元</w:t>
            </w:r>
          </w:p>
        </w:tc>
        <w:tc>
          <w:tcPr>
            <w:tcW w:w="1774"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1000</w:t>
            </w:r>
            <w:r>
              <w:rPr>
                <w:rFonts w:ascii="宋体" w:hAnsi="宋体" w:cs="宋体" w:hint="eastAsia"/>
                <w:color w:val="000000"/>
                <w:kern w:val="0"/>
                <w:sz w:val="24"/>
                <w:szCs w:val="24"/>
              </w:rPr>
              <w:t>元</w:t>
            </w:r>
            <w:r>
              <w:rPr>
                <w:rFonts w:ascii="宋体" w:hAnsi="宋体" w:cs="宋体" w:hint="eastAsia"/>
                <w:color w:val="000000"/>
                <w:kern w:val="0"/>
                <w:sz w:val="24"/>
                <w:szCs w:val="24"/>
              </w:rPr>
              <w:t>/</w:t>
            </w:r>
            <w:r>
              <w:rPr>
                <w:rFonts w:ascii="宋体" w:hAnsi="宋体" w:cs="宋体" w:hint="eastAsia"/>
                <w:color w:val="000000"/>
                <w:kern w:val="0"/>
                <w:sz w:val="24"/>
                <w:szCs w:val="24"/>
              </w:rPr>
              <w:t>笔</w:t>
            </w:r>
          </w:p>
        </w:tc>
      </w:tr>
    </w:tbl>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养老金客户指基本养老基金与依法成立的养老计划筹集的资金及其投资运营收益形成的补充养老基金，具体包括：依法设立的基本养老保险基金、依法制定的企业年金计划筹集的资金及其投资运营收益形成的企业补充养老保险基金（包括全国社会保障基金、经监管部门批准可以投资基金的地方社会保险基金、企业年金单一计</w:t>
      </w:r>
      <w:r>
        <w:rPr>
          <w:rFonts w:ascii="宋体" w:hAnsi="宋体" w:cs="宋体" w:hint="eastAsia"/>
          <w:color w:val="000000"/>
          <w:kern w:val="0"/>
          <w:sz w:val="24"/>
          <w:szCs w:val="24"/>
        </w:rPr>
        <w:t>划以及集合计划、企业年金理事会委托的特定客户资产管理计划）、企业年金养老金产品、个人税收递延型商业养老保险产品、享受税收优惠的个人养老账户、养老目标基金及个人养老金投资基金、职业年金计划、养老保障管理产品、经监管部门批准可以投资基金的其他社会保险基金、企业年金或其他养老金客户类型。如将来出现经养老基金监管部门认可的新的养老基金类型，本公司将在招募说明书更新时或发布临时公告将其纳入养老金客户范围。</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kern w:val="0"/>
          <w:sz w:val="24"/>
          <w:szCs w:val="24"/>
        </w:rPr>
        <w:t>2</w:t>
      </w:r>
      <w:r>
        <w:rPr>
          <w:rFonts w:ascii="宋体" w:hAnsi="宋体" w:cs="宋体" w:hint="eastAsia"/>
          <w:color w:val="000000"/>
          <w:kern w:val="0"/>
          <w:sz w:val="24"/>
          <w:szCs w:val="24"/>
        </w:rPr>
        <w:t>）本基金其他投资者申购本基金</w:t>
      </w: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类基金份额的申购费率如下表：</w:t>
      </w:r>
    </w:p>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类基金份额的申购费率结构表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8"/>
        <w:gridCol w:w="1774"/>
      </w:tblGrid>
      <w:tr w:rsidR="00000000">
        <w:trPr>
          <w:trHeight w:val="170"/>
          <w:jc w:val="center"/>
        </w:trPr>
        <w:tc>
          <w:tcPr>
            <w:tcW w:w="3188"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申购金额</w:t>
            </w:r>
            <w:r>
              <w:rPr>
                <w:rFonts w:ascii="宋体" w:hAnsi="宋体" w:cs="宋体" w:hint="eastAsia"/>
                <w:color w:val="000000"/>
                <w:kern w:val="0"/>
                <w:sz w:val="24"/>
                <w:szCs w:val="24"/>
              </w:rPr>
              <w:t>M</w:t>
            </w:r>
            <w:r>
              <w:rPr>
                <w:rFonts w:ascii="宋体" w:hAnsi="宋体" w:cs="宋体" w:hint="eastAsia"/>
                <w:color w:val="000000"/>
                <w:kern w:val="0"/>
                <w:sz w:val="24"/>
                <w:szCs w:val="24"/>
              </w:rPr>
              <w:t>（含申购</w:t>
            </w:r>
            <w:r>
              <w:rPr>
                <w:rFonts w:ascii="宋体" w:hAnsi="宋体" w:cs="宋体" w:hint="eastAsia"/>
                <w:color w:val="000000"/>
                <w:kern w:val="0"/>
                <w:sz w:val="24"/>
                <w:szCs w:val="24"/>
              </w:rPr>
              <w:t>费用）</w:t>
            </w:r>
          </w:p>
        </w:tc>
        <w:tc>
          <w:tcPr>
            <w:tcW w:w="1774"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申购费率</w:t>
            </w:r>
          </w:p>
        </w:tc>
      </w:tr>
      <w:tr w:rsidR="00000000">
        <w:trPr>
          <w:trHeight w:val="170"/>
          <w:jc w:val="center"/>
        </w:trPr>
        <w:tc>
          <w:tcPr>
            <w:tcW w:w="3188"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M</w:t>
            </w:r>
            <w:r>
              <w:rPr>
                <w:rFonts w:ascii="宋体" w:hAnsi="宋体" w:cs="宋体" w:hint="eastAsia"/>
                <w:color w:val="000000"/>
                <w:kern w:val="0"/>
                <w:sz w:val="24"/>
                <w:szCs w:val="24"/>
              </w:rPr>
              <w:t>＜</w:t>
            </w:r>
            <w:r>
              <w:rPr>
                <w:rFonts w:ascii="宋体" w:hAnsi="宋体" w:cs="宋体" w:hint="eastAsia"/>
                <w:color w:val="000000"/>
                <w:kern w:val="0"/>
                <w:sz w:val="24"/>
                <w:szCs w:val="24"/>
              </w:rPr>
              <w:t>1000</w:t>
            </w:r>
            <w:r>
              <w:rPr>
                <w:rFonts w:ascii="宋体" w:hAnsi="宋体" w:cs="宋体" w:hint="eastAsia"/>
                <w:color w:val="000000"/>
                <w:kern w:val="0"/>
                <w:sz w:val="24"/>
                <w:szCs w:val="24"/>
              </w:rPr>
              <w:t>万元</w:t>
            </w:r>
          </w:p>
        </w:tc>
        <w:tc>
          <w:tcPr>
            <w:tcW w:w="1774"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1.30%</w:t>
            </w:r>
          </w:p>
        </w:tc>
      </w:tr>
      <w:tr w:rsidR="00000000">
        <w:trPr>
          <w:trHeight w:val="170"/>
          <w:jc w:val="center"/>
        </w:trPr>
        <w:tc>
          <w:tcPr>
            <w:tcW w:w="3188"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M</w:t>
            </w:r>
            <w:r>
              <w:rPr>
                <w:rFonts w:ascii="宋体" w:hAnsi="宋体" w:cs="宋体" w:hint="eastAsia"/>
                <w:color w:val="000000"/>
                <w:kern w:val="0"/>
                <w:sz w:val="24"/>
                <w:szCs w:val="24"/>
              </w:rPr>
              <w:t>≥</w:t>
            </w:r>
            <w:r>
              <w:rPr>
                <w:rFonts w:ascii="宋体" w:hAnsi="宋体" w:cs="宋体" w:hint="eastAsia"/>
                <w:color w:val="000000"/>
                <w:kern w:val="0"/>
                <w:sz w:val="24"/>
                <w:szCs w:val="24"/>
              </w:rPr>
              <w:t>1000</w:t>
            </w:r>
            <w:r>
              <w:rPr>
                <w:rFonts w:ascii="宋体" w:hAnsi="宋体" w:cs="宋体" w:hint="eastAsia"/>
                <w:color w:val="000000"/>
                <w:kern w:val="0"/>
                <w:sz w:val="24"/>
                <w:szCs w:val="24"/>
              </w:rPr>
              <w:t>万元</w:t>
            </w:r>
          </w:p>
        </w:tc>
        <w:tc>
          <w:tcPr>
            <w:tcW w:w="1774" w:type="dxa"/>
            <w:tcMar>
              <w:top w:w="0" w:type="dxa"/>
              <w:left w:w="108" w:type="dxa"/>
              <w:bottom w:w="0" w:type="dxa"/>
              <w:right w:w="108" w:type="dxa"/>
            </w:tcMar>
            <w:vAlign w:val="center"/>
          </w:tcPr>
          <w:p w:rsidR="00000000" w:rsidRDefault="00BB6B6D">
            <w:pPr>
              <w:autoSpaceDE w:val="0"/>
              <w:autoSpaceDN w:val="0"/>
              <w:adjustRightInd w:val="0"/>
              <w:spacing w:before="30" w:line="360" w:lineRule="auto"/>
              <w:ind w:left="15"/>
              <w:jc w:val="center"/>
              <w:rPr>
                <w:rFonts w:ascii="宋体" w:hAnsi="宋体" w:cs="宋体" w:hint="eastAsia"/>
                <w:color w:val="000000"/>
                <w:kern w:val="0"/>
                <w:sz w:val="24"/>
                <w:szCs w:val="24"/>
              </w:rPr>
            </w:pPr>
            <w:r>
              <w:rPr>
                <w:rFonts w:ascii="宋体" w:hAnsi="宋体" w:cs="宋体" w:hint="eastAsia"/>
                <w:color w:val="000000"/>
                <w:kern w:val="0"/>
                <w:sz w:val="24"/>
                <w:szCs w:val="24"/>
              </w:rPr>
              <w:t>1000</w:t>
            </w:r>
            <w:r>
              <w:rPr>
                <w:rFonts w:ascii="宋体" w:hAnsi="宋体" w:cs="宋体" w:hint="eastAsia"/>
                <w:color w:val="000000"/>
                <w:kern w:val="0"/>
                <w:sz w:val="24"/>
                <w:szCs w:val="24"/>
              </w:rPr>
              <w:t>元</w:t>
            </w:r>
            <w:r>
              <w:rPr>
                <w:rFonts w:ascii="宋体" w:hAnsi="宋体" w:cs="宋体" w:hint="eastAsia"/>
                <w:color w:val="000000"/>
                <w:kern w:val="0"/>
                <w:sz w:val="24"/>
                <w:szCs w:val="24"/>
              </w:rPr>
              <w:t>/</w:t>
            </w:r>
            <w:r>
              <w:rPr>
                <w:rFonts w:ascii="宋体" w:hAnsi="宋体" w:cs="宋体" w:hint="eastAsia"/>
                <w:color w:val="000000"/>
                <w:kern w:val="0"/>
                <w:sz w:val="24"/>
                <w:szCs w:val="24"/>
              </w:rPr>
              <w:t>笔</w:t>
            </w:r>
          </w:p>
        </w:tc>
      </w:tr>
    </w:tbl>
    <w:p w:rsidR="00000000" w:rsidRDefault="00BB6B6D">
      <w:pPr>
        <w:autoSpaceDE w:val="0"/>
        <w:autoSpaceDN w:val="0"/>
        <w:adjustRightInd w:val="0"/>
        <w:spacing w:before="30" w:line="360" w:lineRule="auto"/>
        <w:rPr>
          <w:rFonts w:ascii="宋体" w:hAnsi="宋体" w:cs="宋体" w:hint="eastAsia"/>
          <w:color w:val="000000"/>
          <w:kern w:val="0"/>
          <w:sz w:val="24"/>
          <w:szCs w:val="24"/>
        </w:rPr>
      </w:pPr>
      <w:r>
        <w:rPr>
          <w:rFonts w:ascii="宋体" w:hAnsi="宋体" w:cs="宋体" w:hint="eastAsia"/>
          <w:color w:val="000000"/>
          <w:kern w:val="0"/>
          <w:sz w:val="24"/>
          <w:szCs w:val="24"/>
        </w:rPr>
        <w:t xml:space="preserve">    A</w:t>
      </w:r>
      <w:r>
        <w:rPr>
          <w:rFonts w:ascii="宋体" w:hAnsi="宋体" w:cs="宋体" w:hint="eastAsia"/>
          <w:color w:val="000000"/>
          <w:kern w:val="0"/>
          <w:sz w:val="24"/>
          <w:szCs w:val="24"/>
        </w:rPr>
        <w:t>类基金份额的申购费用由申购</w:t>
      </w: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类基金份额的投资者承担，不列入基金资产，申购费用用于本基金的市场推广、登记和销售。</w:t>
      </w:r>
    </w:p>
    <w:p w:rsidR="00000000" w:rsidRDefault="00BB6B6D">
      <w:pPr>
        <w:autoSpaceDE w:val="0"/>
        <w:autoSpaceDN w:val="0"/>
        <w:adjustRightInd w:val="0"/>
        <w:spacing w:before="30" w:line="360"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本基金</w:t>
      </w:r>
      <w:r>
        <w:rPr>
          <w:rFonts w:ascii="宋体" w:hAnsi="宋体" w:cs="宋体" w:hint="eastAsia"/>
          <w:color w:val="000000"/>
          <w:kern w:val="0"/>
          <w:sz w:val="24"/>
          <w:szCs w:val="24"/>
        </w:rPr>
        <w:t>C</w:t>
      </w:r>
      <w:r>
        <w:rPr>
          <w:rFonts w:ascii="宋体" w:hAnsi="宋体" w:cs="宋体" w:hint="eastAsia"/>
          <w:color w:val="000000"/>
          <w:kern w:val="0"/>
          <w:sz w:val="24"/>
          <w:szCs w:val="24"/>
        </w:rPr>
        <w:t>类基金份额不收取申购费用。</w:t>
      </w:r>
    </w:p>
    <w:p w:rsidR="00000000" w:rsidRDefault="00BB6B6D">
      <w:pPr>
        <w:autoSpaceDE w:val="0"/>
        <w:autoSpaceDN w:val="0"/>
        <w:adjustRightInd w:val="0"/>
        <w:spacing w:before="30" w:line="360" w:lineRule="auto"/>
        <w:ind w:left="15" w:firstLine="1"/>
        <w:jc w:val="left"/>
        <w:rPr>
          <w:rFonts w:ascii="宋体" w:hAnsi="宋体" w:cs="宋体" w:hint="eastAsia"/>
          <w:color w:val="000000"/>
          <w:kern w:val="0"/>
          <w:sz w:val="24"/>
          <w:szCs w:val="24"/>
        </w:rPr>
      </w:pPr>
    </w:p>
    <w:p w:rsidR="00000000" w:rsidRDefault="00BB6B6D">
      <w:pPr>
        <w:autoSpaceDE w:val="0"/>
        <w:autoSpaceDN w:val="0"/>
        <w:adjustRightInd w:val="0"/>
        <w:spacing w:before="30" w:line="360" w:lineRule="auto"/>
        <w:ind w:left="15" w:firstLine="1"/>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3.3 </w:t>
      </w:r>
      <w:r>
        <w:rPr>
          <w:rFonts w:ascii="宋体" w:hAnsi="宋体" w:cs="宋体" w:hint="eastAsia"/>
          <w:b/>
          <w:bCs/>
          <w:color w:val="000000"/>
          <w:kern w:val="0"/>
          <w:sz w:val="24"/>
          <w:szCs w:val="24"/>
        </w:rPr>
        <w:t>其他与申购相关的事项</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基金管理人可根据市场情况，在法律法规允许的情况下，调整上述对申购金额的数量限制，基金管理人必须在调整生效前依照《公开募集证券投资基金信息披露管理办法》的有关规定在规定媒介上公告。</w:t>
      </w:r>
    </w:p>
    <w:p w:rsidR="00000000" w:rsidRDefault="00BB6B6D">
      <w:pPr>
        <w:spacing w:line="360" w:lineRule="auto"/>
        <w:ind w:firstLineChars="200" w:firstLine="480"/>
        <w:rPr>
          <w:rFonts w:ascii="宋体" w:hAnsi="宋体" w:cs="宋体" w:hint="eastAsia"/>
          <w:color w:val="000000"/>
          <w:kern w:val="0"/>
          <w:sz w:val="24"/>
          <w:szCs w:val="24"/>
        </w:rPr>
      </w:pP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4 </w:t>
      </w:r>
      <w:r>
        <w:rPr>
          <w:rFonts w:ascii="宋体" w:hAnsi="宋体" w:cs="宋体" w:hint="eastAsia"/>
          <w:b/>
          <w:bCs/>
          <w:color w:val="000000"/>
          <w:kern w:val="0"/>
          <w:sz w:val="24"/>
          <w:szCs w:val="24"/>
        </w:rPr>
        <w:t>日常赎回业务</w:t>
      </w:r>
    </w:p>
    <w:p w:rsidR="00000000" w:rsidRDefault="00BB6B6D">
      <w:pPr>
        <w:autoSpaceDE w:val="0"/>
        <w:autoSpaceDN w:val="0"/>
        <w:adjustRightInd w:val="0"/>
        <w:spacing w:before="30"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4.1 </w:t>
      </w:r>
      <w:r>
        <w:rPr>
          <w:rFonts w:ascii="宋体" w:hAnsi="宋体" w:cs="宋体" w:hint="eastAsia"/>
          <w:b/>
          <w:bCs/>
          <w:color w:val="000000"/>
          <w:kern w:val="0"/>
          <w:sz w:val="24"/>
          <w:szCs w:val="24"/>
        </w:rPr>
        <w:t>赎回份额限制</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3"/>
          <w:szCs w:val="23"/>
        </w:rPr>
      </w:pPr>
      <w:r>
        <w:rPr>
          <w:rFonts w:ascii="宋体" w:hAnsi="宋体" w:cs="宋体" w:hint="eastAsia"/>
          <w:color w:val="000000"/>
          <w:kern w:val="0"/>
          <w:sz w:val="24"/>
          <w:szCs w:val="24"/>
        </w:rPr>
        <w:t>基金份额持有</w:t>
      </w:r>
      <w:r>
        <w:rPr>
          <w:rFonts w:ascii="宋体" w:hAnsi="宋体" w:cs="宋体" w:hint="eastAsia"/>
          <w:color w:val="000000"/>
          <w:kern w:val="0"/>
          <w:sz w:val="24"/>
          <w:szCs w:val="24"/>
        </w:rPr>
        <w:t>人在销售机构赎回基金份额时，每笔赎回申请不得低于</w:t>
      </w:r>
      <w:r>
        <w:rPr>
          <w:rFonts w:ascii="宋体" w:hAnsi="宋体" w:cs="宋体" w:hint="eastAsia"/>
          <w:color w:val="000000"/>
          <w:kern w:val="0"/>
          <w:sz w:val="24"/>
          <w:szCs w:val="24"/>
        </w:rPr>
        <w:t>1</w:t>
      </w:r>
      <w:r>
        <w:rPr>
          <w:rFonts w:ascii="宋体" w:hAnsi="宋体" w:cs="宋体" w:hint="eastAsia"/>
          <w:color w:val="000000"/>
          <w:kern w:val="0"/>
          <w:sz w:val="24"/>
          <w:szCs w:val="24"/>
        </w:rPr>
        <w:t>份基金份额。若基金份额持有人某笔交易类业务（如赎回、基金转换、转托管等）导致在销售机构（网点）单个交易账户保留的基金份额余额少于</w:t>
      </w:r>
      <w:r>
        <w:rPr>
          <w:rFonts w:ascii="宋体" w:hAnsi="宋体" w:cs="宋体" w:hint="eastAsia"/>
          <w:color w:val="000000"/>
          <w:kern w:val="0"/>
          <w:sz w:val="24"/>
          <w:szCs w:val="24"/>
        </w:rPr>
        <w:t>1</w:t>
      </w:r>
      <w:r>
        <w:rPr>
          <w:rFonts w:ascii="宋体" w:hAnsi="宋体" w:cs="宋体" w:hint="eastAsia"/>
          <w:color w:val="000000"/>
          <w:kern w:val="0"/>
          <w:sz w:val="24"/>
          <w:szCs w:val="24"/>
        </w:rPr>
        <w:t>份时，系统会将剩余份额进行强制赎回。各销售机构对最低赎回限额及交易级差有其他规定的，以各销售机构的业务规定为准。</w:t>
      </w: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4.2 </w:t>
      </w:r>
      <w:r>
        <w:rPr>
          <w:rFonts w:ascii="宋体" w:hAnsi="宋体" w:cs="宋体" w:hint="eastAsia"/>
          <w:b/>
          <w:bCs/>
          <w:color w:val="000000"/>
          <w:kern w:val="0"/>
          <w:sz w:val="24"/>
          <w:szCs w:val="24"/>
        </w:rPr>
        <w:t>赎回费率</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A</w:t>
      </w:r>
      <w:r>
        <w:rPr>
          <w:rFonts w:ascii="宋体" w:hAnsi="宋体" w:cs="宋体" w:hint="eastAsia"/>
          <w:color w:val="000000"/>
          <w:kern w:val="0"/>
          <w:sz w:val="24"/>
          <w:szCs w:val="24"/>
        </w:rPr>
        <w:t>类基金份额的赎回费率具体如下：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25"/>
        <w:gridCol w:w="2268"/>
      </w:tblGrid>
      <w:tr w:rsidR="00000000">
        <w:trPr>
          <w:trHeight w:val="255"/>
          <w:jc w:val="center"/>
        </w:trPr>
        <w:tc>
          <w:tcPr>
            <w:tcW w:w="3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份额存续时间（</w:t>
            </w:r>
            <w:r>
              <w:rPr>
                <w:rFonts w:ascii="宋体" w:hAnsi="宋体" w:cs="宋体" w:hint="eastAsia"/>
                <w:color w:val="000000"/>
                <w:kern w:val="0"/>
                <w:sz w:val="24"/>
                <w:szCs w:val="24"/>
              </w:rPr>
              <w:t>L</w:t>
            </w:r>
            <w:r>
              <w:rPr>
                <w:rFonts w:ascii="宋体" w:hAnsi="宋体" w:cs="宋体" w:hint="eastAsia"/>
                <w:color w:val="000000"/>
                <w:kern w:val="0"/>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适用赎回费率</w:t>
            </w:r>
          </w:p>
        </w:tc>
      </w:tr>
      <w:tr w:rsidR="00000000">
        <w:trPr>
          <w:trHeight w:val="255"/>
          <w:jc w:val="center"/>
        </w:trPr>
        <w:tc>
          <w:tcPr>
            <w:tcW w:w="3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L&lt;7</w:t>
            </w:r>
            <w:r>
              <w:rPr>
                <w:rFonts w:ascii="宋体" w:hAnsi="宋体" w:cs="宋体" w:hint="eastAsia"/>
                <w:color w:val="000000"/>
                <w:kern w:val="0"/>
                <w:sz w:val="24"/>
                <w:szCs w:val="24"/>
              </w:rPr>
              <w:t>个自然日</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1.50%</w:t>
            </w:r>
          </w:p>
        </w:tc>
      </w:tr>
      <w:tr w:rsidR="00000000">
        <w:trPr>
          <w:trHeight w:val="255"/>
          <w:jc w:val="center"/>
        </w:trPr>
        <w:tc>
          <w:tcPr>
            <w:tcW w:w="3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7</w:t>
            </w:r>
            <w:r>
              <w:rPr>
                <w:rFonts w:ascii="宋体" w:hAnsi="宋体" w:cs="宋体" w:hint="eastAsia"/>
                <w:color w:val="000000"/>
                <w:kern w:val="0"/>
                <w:sz w:val="24"/>
                <w:szCs w:val="24"/>
              </w:rPr>
              <w:t>个自然日≤</w:t>
            </w:r>
            <w:r>
              <w:rPr>
                <w:rFonts w:ascii="宋体" w:hAnsi="宋体" w:cs="宋体" w:hint="eastAsia"/>
                <w:color w:val="000000"/>
                <w:kern w:val="0"/>
                <w:sz w:val="24"/>
                <w:szCs w:val="24"/>
              </w:rPr>
              <w:t>L&lt;30</w:t>
            </w:r>
            <w:r>
              <w:rPr>
                <w:rFonts w:ascii="宋体" w:hAnsi="宋体" w:cs="宋体" w:hint="eastAsia"/>
                <w:color w:val="000000"/>
                <w:kern w:val="0"/>
                <w:sz w:val="24"/>
                <w:szCs w:val="24"/>
              </w:rPr>
              <w:t>个自然日</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0.75%</w:t>
            </w:r>
          </w:p>
        </w:tc>
      </w:tr>
      <w:tr w:rsidR="00000000">
        <w:trPr>
          <w:trHeight w:val="255"/>
          <w:jc w:val="center"/>
        </w:trPr>
        <w:tc>
          <w:tcPr>
            <w:tcW w:w="3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30</w:t>
            </w:r>
            <w:r>
              <w:rPr>
                <w:rFonts w:ascii="宋体" w:hAnsi="宋体" w:cs="宋体" w:hint="eastAsia"/>
                <w:color w:val="000000"/>
                <w:kern w:val="0"/>
                <w:sz w:val="24"/>
                <w:szCs w:val="24"/>
              </w:rPr>
              <w:t>个自然日≤</w:t>
            </w:r>
            <w:r>
              <w:rPr>
                <w:rFonts w:ascii="宋体" w:hAnsi="宋体" w:cs="宋体" w:hint="eastAsia"/>
                <w:color w:val="000000"/>
                <w:kern w:val="0"/>
                <w:sz w:val="24"/>
                <w:szCs w:val="24"/>
              </w:rPr>
              <w:t>L&lt;365</w:t>
            </w:r>
            <w:r>
              <w:rPr>
                <w:rFonts w:ascii="宋体" w:hAnsi="宋体" w:cs="宋体" w:hint="eastAsia"/>
                <w:color w:val="000000"/>
                <w:kern w:val="0"/>
                <w:sz w:val="24"/>
                <w:szCs w:val="24"/>
              </w:rPr>
              <w:t>个自然日</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0.50%</w:t>
            </w:r>
          </w:p>
        </w:tc>
      </w:tr>
      <w:tr w:rsidR="00000000">
        <w:trPr>
          <w:trHeight w:val="255"/>
          <w:jc w:val="center"/>
        </w:trPr>
        <w:tc>
          <w:tcPr>
            <w:tcW w:w="3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365</w:t>
            </w:r>
            <w:r>
              <w:rPr>
                <w:rFonts w:ascii="宋体" w:hAnsi="宋体" w:cs="宋体" w:hint="eastAsia"/>
                <w:color w:val="000000"/>
                <w:kern w:val="0"/>
                <w:sz w:val="24"/>
                <w:szCs w:val="24"/>
              </w:rPr>
              <w:t>个</w:t>
            </w:r>
            <w:r>
              <w:rPr>
                <w:rFonts w:ascii="宋体" w:hAnsi="宋体" w:cs="宋体" w:hint="eastAsia"/>
                <w:color w:val="000000"/>
                <w:kern w:val="0"/>
                <w:sz w:val="24"/>
                <w:szCs w:val="24"/>
              </w:rPr>
              <w:t>自然日≤</w:t>
            </w:r>
            <w:r>
              <w:rPr>
                <w:rFonts w:ascii="宋体" w:hAnsi="宋体" w:cs="宋体" w:hint="eastAsia"/>
                <w:color w:val="000000"/>
                <w:kern w:val="0"/>
                <w:sz w:val="24"/>
                <w:szCs w:val="24"/>
              </w:rPr>
              <w:t>L&lt;730</w:t>
            </w:r>
            <w:r>
              <w:rPr>
                <w:rFonts w:ascii="宋体" w:hAnsi="宋体" w:cs="宋体" w:hint="eastAsia"/>
                <w:color w:val="000000"/>
                <w:kern w:val="0"/>
                <w:sz w:val="24"/>
                <w:szCs w:val="24"/>
              </w:rPr>
              <w:t>个自然日</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0.25%</w:t>
            </w:r>
          </w:p>
        </w:tc>
      </w:tr>
      <w:tr w:rsidR="00000000">
        <w:trPr>
          <w:trHeight w:val="255"/>
          <w:jc w:val="center"/>
        </w:trPr>
        <w:tc>
          <w:tcPr>
            <w:tcW w:w="3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w:t>
            </w:r>
            <w:r>
              <w:rPr>
                <w:rFonts w:ascii="宋体" w:hAnsi="宋体" w:cs="宋体" w:hint="eastAsia"/>
                <w:color w:val="000000"/>
                <w:kern w:val="0"/>
                <w:sz w:val="24"/>
                <w:szCs w:val="24"/>
              </w:rPr>
              <w:t>730</w:t>
            </w:r>
            <w:r>
              <w:rPr>
                <w:rFonts w:ascii="宋体" w:hAnsi="宋体" w:cs="宋体" w:hint="eastAsia"/>
                <w:color w:val="000000"/>
                <w:kern w:val="0"/>
                <w:sz w:val="24"/>
                <w:szCs w:val="24"/>
              </w:rPr>
              <w:t>个自然日</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0</w:t>
            </w:r>
          </w:p>
        </w:tc>
      </w:tr>
    </w:tbl>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赎回费用由赎回基金份额的基金份额持有人承担。对持续持有期少于</w:t>
      </w:r>
      <w:r>
        <w:rPr>
          <w:rFonts w:ascii="宋体" w:hAnsi="宋体" w:cs="宋体" w:hint="eastAsia"/>
          <w:color w:val="000000"/>
          <w:kern w:val="0"/>
          <w:sz w:val="24"/>
          <w:szCs w:val="24"/>
        </w:rPr>
        <w:t>30</w:t>
      </w:r>
      <w:r>
        <w:rPr>
          <w:rFonts w:ascii="宋体" w:hAnsi="宋体" w:cs="宋体" w:hint="eastAsia"/>
          <w:color w:val="000000"/>
          <w:kern w:val="0"/>
          <w:sz w:val="24"/>
          <w:szCs w:val="24"/>
        </w:rPr>
        <w:t>天的投资人收取的赎回费，</w:t>
      </w:r>
      <w:r>
        <w:rPr>
          <w:rFonts w:ascii="宋体" w:hAnsi="宋体" w:cs="宋体" w:hint="eastAsia"/>
          <w:color w:val="000000"/>
          <w:kern w:val="0"/>
          <w:sz w:val="24"/>
          <w:szCs w:val="24"/>
        </w:rPr>
        <w:t>100%</w:t>
      </w:r>
      <w:r>
        <w:rPr>
          <w:rFonts w:ascii="宋体" w:hAnsi="宋体" w:cs="宋体" w:hint="eastAsia"/>
          <w:color w:val="000000"/>
          <w:kern w:val="0"/>
          <w:sz w:val="24"/>
          <w:szCs w:val="24"/>
        </w:rPr>
        <w:t>归入基金资产；对持续持有期超过</w:t>
      </w:r>
      <w:r>
        <w:rPr>
          <w:rFonts w:ascii="宋体" w:hAnsi="宋体" w:cs="宋体" w:hint="eastAsia"/>
          <w:color w:val="000000"/>
          <w:kern w:val="0"/>
          <w:sz w:val="24"/>
          <w:szCs w:val="24"/>
        </w:rPr>
        <w:t>30</w:t>
      </w:r>
      <w:r>
        <w:rPr>
          <w:rFonts w:ascii="宋体" w:hAnsi="宋体" w:cs="宋体" w:hint="eastAsia"/>
          <w:color w:val="000000"/>
          <w:kern w:val="0"/>
          <w:sz w:val="24"/>
          <w:szCs w:val="24"/>
        </w:rPr>
        <w:t>天（含</w:t>
      </w:r>
      <w:r>
        <w:rPr>
          <w:rFonts w:ascii="宋体" w:hAnsi="宋体" w:cs="宋体" w:hint="eastAsia"/>
          <w:color w:val="000000"/>
          <w:kern w:val="0"/>
          <w:sz w:val="24"/>
          <w:szCs w:val="24"/>
        </w:rPr>
        <w:t>30</w:t>
      </w:r>
      <w:r>
        <w:rPr>
          <w:rFonts w:ascii="宋体" w:hAnsi="宋体" w:cs="宋体" w:hint="eastAsia"/>
          <w:color w:val="000000"/>
          <w:kern w:val="0"/>
          <w:sz w:val="24"/>
          <w:szCs w:val="24"/>
        </w:rPr>
        <w:t>天）但少于</w:t>
      </w:r>
      <w:r>
        <w:rPr>
          <w:rFonts w:ascii="宋体" w:hAnsi="宋体" w:cs="宋体" w:hint="eastAsia"/>
          <w:color w:val="000000"/>
          <w:kern w:val="0"/>
          <w:sz w:val="24"/>
          <w:szCs w:val="24"/>
        </w:rPr>
        <w:t>90</w:t>
      </w:r>
      <w:r>
        <w:rPr>
          <w:rFonts w:ascii="宋体" w:hAnsi="宋体" w:cs="宋体" w:hint="eastAsia"/>
          <w:color w:val="000000"/>
          <w:kern w:val="0"/>
          <w:sz w:val="24"/>
          <w:szCs w:val="24"/>
        </w:rPr>
        <w:t>天的投资人收取的赎回费，</w:t>
      </w:r>
      <w:r>
        <w:rPr>
          <w:rFonts w:ascii="宋体" w:hAnsi="宋体" w:cs="宋体" w:hint="eastAsia"/>
          <w:color w:val="000000"/>
          <w:kern w:val="0"/>
          <w:sz w:val="24"/>
          <w:szCs w:val="24"/>
        </w:rPr>
        <w:t>75%</w:t>
      </w:r>
      <w:r>
        <w:rPr>
          <w:rFonts w:ascii="宋体" w:hAnsi="宋体" w:cs="宋体" w:hint="eastAsia"/>
          <w:color w:val="000000"/>
          <w:kern w:val="0"/>
          <w:sz w:val="24"/>
          <w:szCs w:val="24"/>
        </w:rPr>
        <w:t>归入基金资产；对持续持有期超过</w:t>
      </w:r>
      <w:r>
        <w:rPr>
          <w:rFonts w:ascii="宋体" w:hAnsi="宋体" w:cs="宋体" w:hint="eastAsia"/>
          <w:color w:val="000000"/>
          <w:kern w:val="0"/>
          <w:sz w:val="24"/>
          <w:szCs w:val="24"/>
        </w:rPr>
        <w:t>90</w:t>
      </w:r>
      <w:r>
        <w:rPr>
          <w:rFonts w:ascii="宋体" w:hAnsi="宋体" w:cs="宋体" w:hint="eastAsia"/>
          <w:color w:val="000000"/>
          <w:kern w:val="0"/>
          <w:sz w:val="24"/>
          <w:szCs w:val="24"/>
        </w:rPr>
        <w:t>天（含</w:t>
      </w:r>
      <w:r>
        <w:rPr>
          <w:rFonts w:ascii="宋体" w:hAnsi="宋体" w:cs="宋体" w:hint="eastAsia"/>
          <w:color w:val="000000"/>
          <w:kern w:val="0"/>
          <w:sz w:val="24"/>
          <w:szCs w:val="24"/>
        </w:rPr>
        <w:t>90</w:t>
      </w:r>
      <w:r>
        <w:rPr>
          <w:rFonts w:ascii="宋体" w:hAnsi="宋体" w:cs="宋体" w:hint="eastAsia"/>
          <w:color w:val="000000"/>
          <w:kern w:val="0"/>
          <w:sz w:val="24"/>
          <w:szCs w:val="24"/>
        </w:rPr>
        <w:t>天）但少于</w:t>
      </w:r>
      <w:r>
        <w:rPr>
          <w:rFonts w:ascii="宋体" w:hAnsi="宋体" w:cs="宋体" w:hint="eastAsia"/>
          <w:color w:val="000000"/>
          <w:kern w:val="0"/>
          <w:sz w:val="24"/>
          <w:szCs w:val="24"/>
        </w:rPr>
        <w:t>180</w:t>
      </w:r>
      <w:r>
        <w:rPr>
          <w:rFonts w:ascii="宋体" w:hAnsi="宋体" w:cs="宋体" w:hint="eastAsia"/>
          <w:color w:val="000000"/>
          <w:kern w:val="0"/>
          <w:sz w:val="24"/>
          <w:szCs w:val="24"/>
        </w:rPr>
        <w:t>天的投资人收取的赎回费，</w:t>
      </w:r>
      <w:r>
        <w:rPr>
          <w:rFonts w:ascii="宋体" w:hAnsi="宋体" w:cs="宋体" w:hint="eastAsia"/>
          <w:color w:val="000000"/>
          <w:kern w:val="0"/>
          <w:sz w:val="24"/>
          <w:szCs w:val="24"/>
        </w:rPr>
        <w:t>50%</w:t>
      </w:r>
      <w:r>
        <w:rPr>
          <w:rFonts w:ascii="宋体" w:hAnsi="宋体" w:cs="宋体" w:hint="eastAsia"/>
          <w:color w:val="000000"/>
          <w:kern w:val="0"/>
          <w:sz w:val="24"/>
          <w:szCs w:val="24"/>
        </w:rPr>
        <w:t>归入基金资产；对持续持有期超过</w:t>
      </w:r>
      <w:r>
        <w:rPr>
          <w:rFonts w:ascii="宋体" w:hAnsi="宋体" w:cs="宋体" w:hint="eastAsia"/>
          <w:color w:val="000000"/>
          <w:kern w:val="0"/>
          <w:sz w:val="24"/>
          <w:szCs w:val="24"/>
        </w:rPr>
        <w:t>180</w:t>
      </w:r>
      <w:r>
        <w:rPr>
          <w:rFonts w:ascii="宋体" w:hAnsi="宋体" w:cs="宋体" w:hint="eastAsia"/>
          <w:color w:val="000000"/>
          <w:kern w:val="0"/>
          <w:sz w:val="24"/>
          <w:szCs w:val="24"/>
        </w:rPr>
        <w:t>天（含</w:t>
      </w:r>
      <w:r>
        <w:rPr>
          <w:rFonts w:ascii="宋体" w:hAnsi="宋体" w:cs="宋体" w:hint="eastAsia"/>
          <w:color w:val="000000"/>
          <w:kern w:val="0"/>
          <w:sz w:val="24"/>
          <w:szCs w:val="24"/>
        </w:rPr>
        <w:t>180</w:t>
      </w:r>
      <w:r>
        <w:rPr>
          <w:rFonts w:ascii="宋体" w:hAnsi="宋体" w:cs="宋体" w:hint="eastAsia"/>
          <w:color w:val="000000"/>
          <w:kern w:val="0"/>
          <w:sz w:val="24"/>
          <w:szCs w:val="24"/>
        </w:rPr>
        <w:t>天）但少于</w:t>
      </w:r>
      <w:r>
        <w:rPr>
          <w:rFonts w:ascii="宋体" w:hAnsi="宋体" w:cs="宋体" w:hint="eastAsia"/>
          <w:color w:val="000000"/>
          <w:kern w:val="0"/>
          <w:sz w:val="24"/>
          <w:szCs w:val="24"/>
        </w:rPr>
        <w:t>730</w:t>
      </w:r>
      <w:r>
        <w:rPr>
          <w:rFonts w:ascii="宋体" w:hAnsi="宋体" w:cs="宋体" w:hint="eastAsia"/>
          <w:color w:val="000000"/>
          <w:kern w:val="0"/>
          <w:sz w:val="24"/>
          <w:szCs w:val="24"/>
        </w:rPr>
        <w:t>天的投资人收取的赎回费，</w:t>
      </w:r>
      <w:r>
        <w:rPr>
          <w:rFonts w:ascii="宋体" w:hAnsi="宋体" w:cs="宋体" w:hint="eastAsia"/>
          <w:color w:val="000000"/>
          <w:kern w:val="0"/>
          <w:sz w:val="24"/>
          <w:szCs w:val="24"/>
        </w:rPr>
        <w:t>25%</w:t>
      </w:r>
      <w:r>
        <w:rPr>
          <w:rFonts w:ascii="宋体" w:hAnsi="宋体" w:cs="宋体" w:hint="eastAsia"/>
          <w:color w:val="000000"/>
          <w:kern w:val="0"/>
          <w:sz w:val="24"/>
          <w:szCs w:val="24"/>
        </w:rPr>
        <w:t>归入基金资产。其余部分用于支付登记费和其他必要的手续费。在合法合规的前提下，</w:t>
      </w:r>
      <w:r>
        <w:rPr>
          <w:rFonts w:ascii="宋体" w:hAnsi="宋体" w:cs="宋体" w:hint="eastAsia"/>
          <w:color w:val="000000"/>
          <w:kern w:val="0"/>
          <w:sz w:val="24"/>
          <w:szCs w:val="24"/>
        </w:rPr>
        <w:t>对于通过基金管理人直销渠道赎回（含转换出）的养老金客户，可将不计入基金资产部分的赎回费免除。</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C</w:t>
      </w:r>
      <w:r>
        <w:rPr>
          <w:rFonts w:ascii="宋体" w:hAnsi="宋体" w:cs="宋体" w:hint="eastAsia"/>
          <w:color w:val="000000"/>
          <w:kern w:val="0"/>
          <w:sz w:val="24"/>
          <w:szCs w:val="24"/>
        </w:rPr>
        <w:t>类基金份额的赎回费率具体如下：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0"/>
        <w:gridCol w:w="2935"/>
      </w:tblGrid>
      <w:tr w:rsidR="00000000">
        <w:tc>
          <w:tcPr>
            <w:tcW w:w="3210"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份额存续时间（</w:t>
            </w:r>
            <w:r>
              <w:rPr>
                <w:rFonts w:ascii="宋体" w:hAnsi="宋体" w:cs="宋体" w:hint="eastAsia"/>
                <w:color w:val="000000"/>
                <w:kern w:val="0"/>
                <w:sz w:val="24"/>
                <w:szCs w:val="24"/>
              </w:rPr>
              <w:t>L</w:t>
            </w:r>
            <w:r>
              <w:rPr>
                <w:rFonts w:ascii="宋体" w:hAnsi="宋体" w:cs="宋体" w:hint="eastAsia"/>
                <w:color w:val="000000"/>
                <w:kern w:val="0"/>
                <w:sz w:val="24"/>
                <w:szCs w:val="24"/>
              </w:rPr>
              <w:t>）</w:t>
            </w:r>
          </w:p>
        </w:tc>
        <w:tc>
          <w:tcPr>
            <w:tcW w:w="2935"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适用赎回费率</w:t>
            </w:r>
          </w:p>
        </w:tc>
      </w:tr>
      <w:tr w:rsidR="00000000">
        <w:tc>
          <w:tcPr>
            <w:tcW w:w="3210"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L&lt;7</w:t>
            </w:r>
            <w:r>
              <w:rPr>
                <w:rFonts w:ascii="宋体" w:hAnsi="宋体" w:cs="宋体" w:hint="eastAsia"/>
                <w:color w:val="000000"/>
                <w:kern w:val="0"/>
                <w:sz w:val="24"/>
                <w:szCs w:val="24"/>
              </w:rPr>
              <w:t>个自然日</w:t>
            </w:r>
          </w:p>
        </w:tc>
        <w:tc>
          <w:tcPr>
            <w:tcW w:w="2935"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1.50%</w:t>
            </w:r>
          </w:p>
        </w:tc>
      </w:tr>
      <w:tr w:rsidR="00000000">
        <w:tc>
          <w:tcPr>
            <w:tcW w:w="3210"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7</w:t>
            </w:r>
            <w:r>
              <w:rPr>
                <w:rFonts w:ascii="宋体" w:hAnsi="宋体" w:cs="宋体" w:hint="eastAsia"/>
                <w:color w:val="000000"/>
                <w:kern w:val="0"/>
                <w:sz w:val="24"/>
                <w:szCs w:val="24"/>
              </w:rPr>
              <w:t>个自然日≤</w:t>
            </w:r>
            <w:r>
              <w:rPr>
                <w:rFonts w:ascii="宋体" w:hAnsi="宋体" w:cs="宋体" w:hint="eastAsia"/>
                <w:color w:val="000000"/>
                <w:kern w:val="0"/>
                <w:sz w:val="24"/>
                <w:szCs w:val="24"/>
              </w:rPr>
              <w:t>L&lt;30</w:t>
            </w:r>
            <w:r>
              <w:rPr>
                <w:rFonts w:ascii="宋体" w:hAnsi="宋体" w:cs="宋体" w:hint="eastAsia"/>
                <w:color w:val="000000"/>
                <w:kern w:val="0"/>
                <w:sz w:val="24"/>
                <w:szCs w:val="24"/>
              </w:rPr>
              <w:t>个自然日</w:t>
            </w:r>
          </w:p>
        </w:tc>
        <w:tc>
          <w:tcPr>
            <w:tcW w:w="2935"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0.5%</w:t>
            </w:r>
          </w:p>
        </w:tc>
      </w:tr>
      <w:tr w:rsidR="00000000">
        <w:tc>
          <w:tcPr>
            <w:tcW w:w="3210"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L</w:t>
            </w:r>
            <w:r>
              <w:rPr>
                <w:rFonts w:ascii="宋体" w:hAnsi="宋体" w:cs="宋体" w:hint="eastAsia"/>
                <w:color w:val="000000"/>
                <w:kern w:val="0"/>
                <w:sz w:val="24"/>
                <w:szCs w:val="24"/>
              </w:rPr>
              <w:t>≥</w:t>
            </w:r>
            <w:r>
              <w:rPr>
                <w:rFonts w:ascii="宋体" w:hAnsi="宋体" w:cs="宋体" w:hint="eastAsia"/>
                <w:color w:val="000000"/>
                <w:kern w:val="0"/>
                <w:sz w:val="24"/>
                <w:szCs w:val="24"/>
              </w:rPr>
              <w:t>30</w:t>
            </w:r>
            <w:r>
              <w:rPr>
                <w:rFonts w:ascii="宋体" w:hAnsi="宋体" w:cs="宋体" w:hint="eastAsia"/>
                <w:color w:val="000000"/>
                <w:kern w:val="0"/>
                <w:sz w:val="24"/>
                <w:szCs w:val="24"/>
              </w:rPr>
              <w:t>个自然日</w:t>
            </w:r>
          </w:p>
        </w:tc>
        <w:tc>
          <w:tcPr>
            <w:tcW w:w="2935" w:type="dxa"/>
          </w:tcPr>
          <w:p w:rsidR="00000000" w:rsidRDefault="00BB6B6D">
            <w:pPr>
              <w:spacing w:line="360" w:lineRule="auto"/>
              <w:jc w:val="center"/>
              <w:rPr>
                <w:rFonts w:ascii="宋体" w:hAnsi="宋体" w:cs="宋体" w:hint="eastAsia"/>
                <w:color w:val="000000"/>
                <w:kern w:val="0"/>
                <w:sz w:val="24"/>
                <w:szCs w:val="24"/>
              </w:rPr>
            </w:pPr>
            <w:r>
              <w:rPr>
                <w:rFonts w:ascii="宋体" w:hAnsi="宋体" w:cs="宋体" w:hint="eastAsia"/>
                <w:color w:val="000000"/>
                <w:kern w:val="0"/>
                <w:sz w:val="24"/>
                <w:szCs w:val="24"/>
              </w:rPr>
              <w:t>0</w:t>
            </w:r>
          </w:p>
        </w:tc>
      </w:tr>
    </w:tbl>
    <w:p w:rsidR="00000000" w:rsidRDefault="00BB6B6D">
      <w:pPr>
        <w:spacing w:line="360" w:lineRule="auto"/>
        <w:ind w:firstLine="480"/>
        <w:rPr>
          <w:rFonts w:ascii="宋体" w:hAnsi="宋体" w:cs="宋体" w:hint="eastAsia"/>
          <w:color w:val="000000"/>
          <w:kern w:val="0"/>
          <w:sz w:val="24"/>
          <w:szCs w:val="24"/>
        </w:rPr>
      </w:pPr>
      <w:r>
        <w:rPr>
          <w:rFonts w:ascii="宋体" w:hAnsi="宋体" w:cs="宋体" w:hint="eastAsia"/>
          <w:color w:val="000000"/>
          <w:kern w:val="0"/>
          <w:sz w:val="24"/>
          <w:szCs w:val="24"/>
        </w:rPr>
        <w:t>C</w:t>
      </w:r>
      <w:r>
        <w:rPr>
          <w:rFonts w:ascii="宋体" w:hAnsi="宋体" w:cs="宋体" w:hint="eastAsia"/>
          <w:color w:val="000000"/>
          <w:kern w:val="0"/>
          <w:sz w:val="24"/>
          <w:szCs w:val="24"/>
        </w:rPr>
        <w:t>类基金份额对持续持有期少于</w:t>
      </w:r>
      <w:r>
        <w:rPr>
          <w:rFonts w:ascii="宋体" w:hAnsi="宋体" w:cs="宋体" w:hint="eastAsia"/>
          <w:color w:val="000000"/>
          <w:kern w:val="0"/>
          <w:sz w:val="24"/>
          <w:szCs w:val="24"/>
        </w:rPr>
        <w:t>30</w:t>
      </w:r>
      <w:r>
        <w:rPr>
          <w:rFonts w:ascii="宋体" w:hAnsi="宋体" w:cs="宋体" w:hint="eastAsia"/>
          <w:color w:val="000000"/>
          <w:kern w:val="0"/>
          <w:sz w:val="24"/>
          <w:szCs w:val="24"/>
        </w:rPr>
        <w:t>日的投资者收取的赎回费，将全额计入基金财产。</w:t>
      </w:r>
    </w:p>
    <w:p w:rsidR="00000000" w:rsidRDefault="00BB6B6D">
      <w:pPr>
        <w:autoSpaceDE w:val="0"/>
        <w:autoSpaceDN w:val="0"/>
        <w:adjustRightInd w:val="0"/>
        <w:spacing w:before="29" w:line="360" w:lineRule="auto"/>
        <w:ind w:left="15"/>
        <w:jc w:val="left"/>
        <w:rPr>
          <w:rFonts w:ascii="宋体" w:hAnsi="宋体" w:cs="宋体" w:hint="eastAsia"/>
          <w:bCs/>
          <w:color w:val="000000"/>
          <w:kern w:val="0"/>
          <w:sz w:val="24"/>
          <w:szCs w:val="24"/>
        </w:rPr>
      </w:pP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4.3 </w:t>
      </w:r>
      <w:r>
        <w:rPr>
          <w:rFonts w:ascii="宋体" w:hAnsi="宋体" w:cs="宋体" w:hint="eastAsia"/>
          <w:b/>
          <w:bCs/>
          <w:color w:val="000000"/>
          <w:kern w:val="0"/>
          <w:sz w:val="24"/>
          <w:szCs w:val="24"/>
        </w:rPr>
        <w:t>其他与赎回相关的事项</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基金管理人可根据市场情况，在法律法规允许的情况下，调整上述对赎回的份额的数量限制，基金管理人必须在调整生效前依照《公开募集证券投资基金信息披露</w:t>
      </w:r>
      <w:r>
        <w:rPr>
          <w:rFonts w:ascii="宋体" w:hAnsi="宋体" w:cs="宋体" w:hint="eastAsia"/>
          <w:color w:val="000000"/>
          <w:kern w:val="0"/>
          <w:sz w:val="24"/>
          <w:szCs w:val="24"/>
        </w:rPr>
        <w:t>管理办法》的有关规定在规定媒介上公告。</w:t>
      </w:r>
    </w:p>
    <w:p w:rsidR="00000000" w:rsidRDefault="00BB6B6D">
      <w:pPr>
        <w:autoSpaceDE w:val="0"/>
        <w:autoSpaceDN w:val="0"/>
        <w:adjustRightInd w:val="0"/>
        <w:spacing w:line="360" w:lineRule="auto"/>
        <w:ind w:firstLineChars="200" w:firstLine="460"/>
        <w:jc w:val="left"/>
        <w:rPr>
          <w:rFonts w:ascii="宋体" w:hAnsi="宋体" w:cs="宋体" w:hint="eastAsia"/>
          <w:color w:val="000000"/>
          <w:kern w:val="0"/>
          <w:sz w:val="23"/>
          <w:szCs w:val="23"/>
        </w:rPr>
      </w:pP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5</w:t>
      </w:r>
      <w:r>
        <w:rPr>
          <w:rFonts w:ascii="宋体" w:hAnsi="宋体" w:cs="宋体" w:hint="eastAsia"/>
          <w:b/>
          <w:bCs/>
          <w:color w:val="000000"/>
          <w:kern w:val="0"/>
          <w:sz w:val="24"/>
          <w:szCs w:val="24"/>
        </w:rPr>
        <w:t>日常转换业务</w:t>
      </w:r>
    </w:p>
    <w:p w:rsidR="00000000" w:rsidRDefault="00BB6B6D">
      <w:pPr>
        <w:autoSpaceDE w:val="0"/>
        <w:autoSpaceDN w:val="0"/>
        <w:adjustRightInd w:val="0"/>
        <w:spacing w:before="29" w:line="288"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5.1 </w:t>
      </w:r>
      <w:r>
        <w:rPr>
          <w:rFonts w:ascii="宋体" w:hAnsi="宋体" w:cs="宋体" w:hint="eastAsia"/>
          <w:b/>
          <w:bCs/>
          <w:color w:val="000000"/>
          <w:kern w:val="0"/>
          <w:sz w:val="24"/>
          <w:szCs w:val="24"/>
        </w:rPr>
        <w:t>转换费率</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基金转换费用依照转出基金的赎回费用加上转出与转入基金申购费补差的标准收取，具体收取情况视每次转换时不同基金的申购费率和赎回费率的差异情况而定。基金转换费用由投资者承担。</w:t>
      </w:r>
    </w:p>
    <w:p w:rsidR="00000000" w:rsidRDefault="00BB6B6D">
      <w:pPr>
        <w:autoSpaceDE w:val="0"/>
        <w:autoSpaceDN w:val="0"/>
        <w:adjustRightInd w:val="0"/>
        <w:spacing w:before="29" w:line="288" w:lineRule="auto"/>
        <w:ind w:left="15"/>
        <w:jc w:val="left"/>
        <w:rPr>
          <w:rFonts w:ascii="宋体" w:hAnsi="宋体" w:cs="宋体" w:hint="eastAsia"/>
          <w:color w:val="000000"/>
          <w:kern w:val="0"/>
          <w:sz w:val="24"/>
          <w:szCs w:val="24"/>
        </w:rPr>
      </w:pPr>
      <w:r>
        <w:rPr>
          <w:rFonts w:ascii="宋体" w:hAnsi="宋体" w:cs="宋体" w:hint="eastAsia"/>
          <w:b/>
          <w:bCs/>
          <w:color w:val="000000"/>
          <w:kern w:val="0"/>
          <w:sz w:val="24"/>
          <w:szCs w:val="24"/>
        </w:rPr>
        <w:t xml:space="preserve">5.1.1 </w:t>
      </w:r>
      <w:r>
        <w:rPr>
          <w:rFonts w:ascii="宋体" w:hAnsi="宋体" w:cs="宋体" w:hint="eastAsia"/>
          <w:b/>
          <w:bCs/>
          <w:color w:val="000000"/>
          <w:kern w:val="0"/>
          <w:sz w:val="24"/>
          <w:szCs w:val="24"/>
        </w:rPr>
        <w:t>赎回费用</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在进行基金转换时，转出基金视同赎回申请，如涉及的转出基金有赎回费率</w:t>
      </w:r>
      <w:r>
        <w:rPr>
          <w:rFonts w:ascii="宋体" w:hAnsi="宋体" w:cs="宋体" w:hint="eastAsia"/>
          <w:color w:val="000000"/>
          <w:kern w:val="0"/>
          <w:sz w:val="24"/>
          <w:szCs w:val="24"/>
        </w:rPr>
        <w:t>,</w:t>
      </w:r>
      <w:r>
        <w:rPr>
          <w:rFonts w:ascii="宋体" w:hAnsi="宋体" w:cs="宋体" w:hint="eastAsia"/>
          <w:color w:val="000000"/>
          <w:kern w:val="0"/>
          <w:sz w:val="24"/>
          <w:szCs w:val="24"/>
        </w:rPr>
        <w:t>则收取该基金的赎回费用。收取的赎回费用不低于</w:t>
      </w:r>
      <w:r>
        <w:rPr>
          <w:rFonts w:ascii="宋体" w:hAnsi="宋体" w:cs="宋体" w:hint="eastAsia"/>
          <w:color w:val="000000"/>
          <w:kern w:val="0"/>
          <w:sz w:val="24"/>
          <w:szCs w:val="24"/>
        </w:rPr>
        <w:t>25%</w:t>
      </w:r>
      <w:r>
        <w:rPr>
          <w:rFonts w:ascii="宋体" w:hAnsi="宋体" w:cs="宋体" w:hint="eastAsia"/>
          <w:color w:val="000000"/>
          <w:kern w:val="0"/>
          <w:sz w:val="24"/>
          <w:szCs w:val="24"/>
        </w:rPr>
        <w:t>的部分归入转出基金的基金资产。</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同一笔转换业务中包含不同持有时间的基金份额，分别按照持有时间收取相应的赎回费用。基金管理人旗下</w:t>
      </w:r>
      <w:r>
        <w:rPr>
          <w:rFonts w:ascii="宋体" w:hAnsi="宋体" w:cs="宋体" w:hint="eastAsia"/>
          <w:color w:val="000000"/>
          <w:kern w:val="0"/>
          <w:sz w:val="24"/>
          <w:szCs w:val="24"/>
        </w:rPr>
        <w:t>基金的原赎回费率详见各基金的招募说明书。</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5.1.2 </w:t>
      </w:r>
      <w:r>
        <w:rPr>
          <w:rFonts w:ascii="宋体" w:hAnsi="宋体" w:cs="宋体" w:hint="eastAsia"/>
          <w:b/>
          <w:color w:val="000000"/>
          <w:kern w:val="0"/>
          <w:sz w:val="24"/>
          <w:szCs w:val="24"/>
        </w:rPr>
        <w:t>申购补差费</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转换申购补差费按转入基金与转出基金之间申购费的差额计算收取，若转入基金申购费高于转出基金申购费时，基金转换申购补差费为转入基金与转出基金的申购费之差；若转入基金申购费不高于（含等于或小于）转出基金申购费时，基金转换申购补差费为零。</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5.1.3 </w:t>
      </w:r>
      <w:r>
        <w:rPr>
          <w:rFonts w:ascii="宋体" w:hAnsi="宋体" w:cs="宋体" w:hint="eastAsia"/>
          <w:b/>
          <w:color w:val="000000"/>
          <w:kern w:val="0"/>
          <w:sz w:val="24"/>
          <w:szCs w:val="24"/>
        </w:rPr>
        <w:t>具体计算公式</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赎回费用＝转出基金份额×当日转出基金份额净值×赎回费率</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转出金额＝转出基金份额×当日转出基金份额净值－赎回费用</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申购补差费用＝</w:t>
      </w:r>
      <w:r>
        <w:rPr>
          <w:rFonts w:ascii="宋体" w:hAnsi="宋体" w:cs="宋体" w:hint="eastAsia"/>
          <w:color w:val="000000"/>
          <w:kern w:val="0"/>
          <w:sz w:val="24"/>
          <w:szCs w:val="24"/>
        </w:rPr>
        <w:t>max[</w:t>
      </w:r>
      <w:r>
        <w:rPr>
          <w:rFonts w:ascii="宋体" w:hAnsi="宋体" w:cs="宋体" w:hint="eastAsia"/>
          <w:color w:val="000000"/>
          <w:kern w:val="0"/>
          <w:sz w:val="24"/>
          <w:szCs w:val="24"/>
        </w:rPr>
        <w:t>转入基金申购费</w:t>
      </w:r>
      <w:r>
        <w:rPr>
          <w:rFonts w:ascii="宋体" w:hAnsi="宋体" w:cs="宋体" w:hint="eastAsia"/>
          <w:color w:val="000000"/>
          <w:kern w:val="0"/>
          <w:sz w:val="24"/>
          <w:szCs w:val="24"/>
        </w:rPr>
        <w:t>-</w:t>
      </w:r>
      <w:r>
        <w:rPr>
          <w:rFonts w:ascii="宋体" w:hAnsi="宋体" w:cs="宋体" w:hint="eastAsia"/>
          <w:color w:val="000000"/>
          <w:kern w:val="0"/>
          <w:sz w:val="24"/>
          <w:szCs w:val="24"/>
        </w:rPr>
        <w:t>转出基金申购费，</w:t>
      </w:r>
      <w:r>
        <w:rPr>
          <w:rFonts w:ascii="宋体" w:hAnsi="宋体" w:cs="宋体" w:hint="eastAsia"/>
          <w:color w:val="000000"/>
          <w:kern w:val="0"/>
          <w:sz w:val="24"/>
          <w:szCs w:val="24"/>
        </w:rPr>
        <w:t>0]</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转换费用＝赎</w:t>
      </w:r>
      <w:r>
        <w:rPr>
          <w:rFonts w:ascii="宋体" w:hAnsi="宋体" w:cs="宋体" w:hint="eastAsia"/>
          <w:color w:val="000000"/>
          <w:kern w:val="0"/>
          <w:sz w:val="24"/>
          <w:szCs w:val="24"/>
        </w:rPr>
        <w:t>回费用＋申购补差费用</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转入金额＝转出基金份额×当日转出基金份额净值－转换费用</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转入份额＝转入金额／当日转入基金份额净值</w:t>
      </w:r>
    </w:p>
    <w:p w:rsidR="00000000" w:rsidRDefault="00BB6B6D">
      <w:pPr>
        <w:autoSpaceDE w:val="0"/>
        <w:autoSpaceDN w:val="0"/>
        <w:adjustRightInd w:val="0"/>
        <w:spacing w:before="29" w:line="288" w:lineRule="auto"/>
        <w:ind w:left="15"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转换费用由基金份额持有人承担，对于转出基金赎回业务收取赎回费的，基金转出时，归入基金资产部分按赎回费的处理方法计算。</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可以在不违背法律法规规定及基金合同约定的情形下，根据市场情况制定基金促销计划，针对以特定交易方式（如网上交易等）或在特定时间段等进行基金交易的投资者定期或不定期地开展基金促销活动。在基金促销活动期间，基金管理人可以对促销活动范围内的投资者调低基金转换费率。</w:t>
      </w:r>
    </w:p>
    <w:p w:rsidR="00000000" w:rsidRDefault="00BB6B6D">
      <w:pPr>
        <w:autoSpaceDE w:val="0"/>
        <w:autoSpaceDN w:val="0"/>
        <w:adjustRightInd w:val="0"/>
        <w:spacing w:before="29" w:line="288"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5.2</w:t>
      </w:r>
      <w:r>
        <w:rPr>
          <w:rFonts w:ascii="宋体" w:hAnsi="宋体" w:cs="宋体" w:hint="eastAsia"/>
          <w:b/>
          <w:bCs/>
          <w:color w:val="000000"/>
          <w:kern w:val="0"/>
          <w:sz w:val="24"/>
          <w:szCs w:val="24"/>
        </w:rPr>
        <w:t xml:space="preserve"> </w:t>
      </w:r>
      <w:r>
        <w:rPr>
          <w:rFonts w:ascii="宋体" w:hAnsi="宋体" w:cs="宋体" w:hint="eastAsia"/>
          <w:b/>
          <w:bCs/>
          <w:color w:val="000000"/>
          <w:kern w:val="0"/>
          <w:sz w:val="24"/>
          <w:szCs w:val="24"/>
        </w:rPr>
        <w:t>其他与转换相关的事项</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5.2.1</w:t>
      </w:r>
      <w:r>
        <w:rPr>
          <w:rFonts w:ascii="宋体" w:hAnsi="宋体" w:cs="宋体" w:hint="eastAsia"/>
          <w:color w:val="000000"/>
          <w:kern w:val="0"/>
          <w:sz w:val="24"/>
          <w:szCs w:val="24"/>
        </w:rPr>
        <w:t xml:space="preserve"> </w:t>
      </w:r>
      <w:r>
        <w:rPr>
          <w:rFonts w:ascii="宋体" w:hAnsi="宋体" w:cs="宋体" w:hint="eastAsia"/>
          <w:b/>
          <w:color w:val="000000"/>
          <w:kern w:val="0"/>
          <w:sz w:val="24"/>
          <w:szCs w:val="24"/>
        </w:rPr>
        <w:t>基金转换的时间</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投资者需在转出基金和转入基金均有交易的当日，方可办理基金转换业务。</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5.2.2 </w:t>
      </w:r>
      <w:r>
        <w:rPr>
          <w:rFonts w:ascii="宋体" w:hAnsi="宋体" w:cs="宋体" w:hint="eastAsia"/>
          <w:b/>
          <w:color w:val="000000"/>
          <w:kern w:val="0"/>
          <w:sz w:val="24"/>
          <w:szCs w:val="24"/>
        </w:rPr>
        <w:t>基金转换的原则</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、采用份额转换原则，即基金转换以份额申请；</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、当日的转换申请可以在当日交易结束前撤销，在当日的交易时间结束后不得撤销；</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、基金转换价格以申请转换当日各基金份额净值为基础计算；</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、基金转换只能在同一销售机构进行。转换的两只基金必须都是该销售机构代理的同一基金管理人管理的、在同一注册登记人处注册登记的基金；</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、转出基金份额遵循“先进先出”的原则，对该持有人</w:t>
      </w:r>
      <w:r>
        <w:rPr>
          <w:rFonts w:ascii="宋体" w:hAnsi="宋体" w:cs="宋体" w:hint="eastAsia"/>
          <w:color w:val="000000"/>
          <w:kern w:val="0"/>
          <w:sz w:val="24"/>
          <w:szCs w:val="24"/>
        </w:rPr>
        <w:t>账户在该销售机构托管的基金份额进行处理，即先认（申）购的基金份额在转换时先转换。转入的基金份额的持有期将自转入的基金份额被确认之日起重新开始计算；</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6</w:t>
      </w:r>
      <w:r>
        <w:rPr>
          <w:rFonts w:ascii="宋体" w:hAnsi="宋体" w:cs="宋体" w:hint="eastAsia"/>
          <w:color w:val="000000"/>
          <w:kern w:val="0"/>
          <w:sz w:val="24"/>
          <w:szCs w:val="24"/>
        </w:rPr>
        <w:t>、基金管理人可在不损害基金份额持有人权益的情况下更改上述原则，但应在新的原则实施前在规定媒介公告。</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5.2.3 </w:t>
      </w:r>
      <w:r>
        <w:rPr>
          <w:rFonts w:ascii="宋体" w:hAnsi="宋体" w:cs="宋体" w:hint="eastAsia"/>
          <w:b/>
          <w:color w:val="000000"/>
          <w:kern w:val="0"/>
          <w:sz w:val="24"/>
          <w:szCs w:val="24"/>
        </w:rPr>
        <w:t>基金转换的程序</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、基金转换的申请方式</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基金投资者必须根据基金管理人和基金代销机构规定的手续，在开放日的业务办理时间提出转换的申请；</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投资者提交基金转换申请时，账户中必须有足够可用的转出基金份额余额；</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、基金转换申请的确认</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基金管理人应在规定的基金</w:t>
      </w:r>
      <w:r>
        <w:rPr>
          <w:rFonts w:ascii="宋体" w:hAnsi="宋体" w:cs="宋体" w:hint="eastAsia"/>
          <w:color w:val="000000"/>
          <w:kern w:val="0"/>
          <w:sz w:val="24"/>
          <w:szCs w:val="24"/>
        </w:rPr>
        <w:t>转换业务办理时间段内收到基金转换申请的当天作为基金转换的申请日（</w:t>
      </w:r>
      <w:r>
        <w:rPr>
          <w:rFonts w:ascii="宋体" w:hAnsi="宋体" w:cs="宋体" w:hint="eastAsia"/>
          <w:color w:val="000000"/>
          <w:kern w:val="0"/>
          <w:sz w:val="24"/>
          <w:szCs w:val="24"/>
        </w:rPr>
        <w:t>T</w:t>
      </w:r>
      <w:r>
        <w:rPr>
          <w:rFonts w:ascii="宋体" w:hAnsi="宋体" w:cs="宋体" w:hint="eastAsia"/>
          <w:color w:val="000000"/>
          <w:kern w:val="0"/>
          <w:sz w:val="24"/>
          <w:szCs w:val="24"/>
        </w:rPr>
        <w:t>日），并在</w:t>
      </w:r>
      <w:r>
        <w:rPr>
          <w:rFonts w:ascii="宋体" w:hAnsi="宋体" w:cs="宋体" w:hint="eastAsia"/>
          <w:color w:val="000000"/>
          <w:kern w:val="0"/>
          <w:sz w:val="24"/>
          <w:szCs w:val="24"/>
        </w:rPr>
        <w:t>T+1</w:t>
      </w:r>
      <w:r>
        <w:rPr>
          <w:rFonts w:ascii="宋体" w:hAnsi="宋体" w:cs="宋体" w:hint="eastAsia"/>
          <w:color w:val="000000"/>
          <w:kern w:val="0"/>
          <w:sz w:val="24"/>
          <w:szCs w:val="24"/>
        </w:rPr>
        <w:t>日对该交易的有效性进行确认。投资者可在</w:t>
      </w:r>
      <w:r>
        <w:rPr>
          <w:rFonts w:ascii="宋体" w:hAnsi="宋体" w:cs="宋体" w:hint="eastAsia"/>
          <w:color w:val="000000"/>
          <w:kern w:val="0"/>
          <w:sz w:val="24"/>
          <w:szCs w:val="24"/>
        </w:rPr>
        <w:t>T+2</w:t>
      </w:r>
      <w:r>
        <w:rPr>
          <w:rFonts w:ascii="宋体" w:hAnsi="宋体" w:cs="宋体" w:hint="eastAsia"/>
          <w:color w:val="000000"/>
          <w:kern w:val="0"/>
          <w:sz w:val="24"/>
          <w:szCs w:val="24"/>
        </w:rPr>
        <w:t>日及之后查询成交情况。</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5.2.4 </w:t>
      </w:r>
      <w:r>
        <w:rPr>
          <w:rFonts w:ascii="宋体" w:hAnsi="宋体" w:cs="宋体" w:hint="eastAsia"/>
          <w:b/>
          <w:color w:val="000000"/>
          <w:kern w:val="0"/>
          <w:sz w:val="24"/>
          <w:szCs w:val="24"/>
        </w:rPr>
        <w:t>基金转换的数额限制</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、直销机构</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基金管理人网上交易基金转换申请单笔的最低限额为</w:t>
      </w:r>
      <w:r>
        <w:rPr>
          <w:rFonts w:ascii="宋体" w:hAnsi="宋体" w:cs="宋体" w:hint="eastAsia"/>
          <w:color w:val="000000"/>
          <w:kern w:val="0"/>
          <w:sz w:val="24"/>
          <w:szCs w:val="24"/>
        </w:rPr>
        <w:t>1</w:t>
      </w:r>
      <w:r>
        <w:rPr>
          <w:rFonts w:ascii="宋体" w:hAnsi="宋体" w:cs="宋体" w:hint="eastAsia"/>
          <w:color w:val="000000"/>
          <w:kern w:val="0"/>
          <w:sz w:val="24"/>
          <w:szCs w:val="24"/>
        </w:rPr>
        <w:t>份。如转出基金份额低于</w:t>
      </w:r>
      <w:r>
        <w:rPr>
          <w:rFonts w:ascii="宋体" w:hAnsi="宋体" w:cs="宋体" w:hint="eastAsia"/>
          <w:color w:val="000000"/>
          <w:kern w:val="0"/>
          <w:sz w:val="24"/>
          <w:szCs w:val="24"/>
        </w:rPr>
        <w:t>1</w:t>
      </w:r>
      <w:r>
        <w:rPr>
          <w:rFonts w:ascii="宋体" w:hAnsi="宋体" w:cs="宋体" w:hint="eastAsia"/>
          <w:color w:val="000000"/>
          <w:kern w:val="0"/>
          <w:sz w:val="24"/>
          <w:szCs w:val="24"/>
        </w:rPr>
        <w:t>份将会确认失败，如减去申请份额后转出基金剩余份额低于</w:t>
      </w:r>
      <w:r>
        <w:rPr>
          <w:rFonts w:ascii="宋体" w:hAnsi="宋体" w:cs="宋体" w:hint="eastAsia"/>
          <w:color w:val="000000"/>
          <w:kern w:val="0"/>
          <w:sz w:val="24"/>
          <w:szCs w:val="24"/>
        </w:rPr>
        <w:t>1</w:t>
      </w:r>
      <w:r>
        <w:rPr>
          <w:rFonts w:ascii="宋体" w:hAnsi="宋体" w:cs="宋体" w:hint="eastAsia"/>
          <w:color w:val="000000"/>
          <w:kern w:val="0"/>
          <w:sz w:val="24"/>
          <w:szCs w:val="24"/>
        </w:rPr>
        <w:t>份，需将全部份额进行转换，如不转换，系统会将剩余份额进行强制赎回。</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基金管理人可根据市场情况制定或调整上述基金转换的有关限制并及时公告。</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、代销机构</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代销机构基金转换单笔的最低限额以各代销</w:t>
      </w:r>
      <w:r>
        <w:rPr>
          <w:rFonts w:ascii="宋体" w:hAnsi="宋体" w:cs="宋体" w:hint="eastAsia"/>
          <w:color w:val="000000"/>
          <w:kern w:val="0"/>
          <w:sz w:val="24"/>
          <w:szCs w:val="24"/>
        </w:rPr>
        <w:t>机构的具体规定为准。</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5.2.5 </w:t>
      </w:r>
      <w:r>
        <w:rPr>
          <w:rFonts w:ascii="宋体" w:hAnsi="宋体" w:cs="宋体" w:hint="eastAsia"/>
          <w:b/>
          <w:color w:val="000000"/>
          <w:kern w:val="0"/>
          <w:sz w:val="24"/>
          <w:szCs w:val="24"/>
        </w:rPr>
        <w:t>基金转换的注册登记</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投资者申请基金转换成功后，基金注册登记机构在</w:t>
      </w:r>
      <w:r>
        <w:rPr>
          <w:rFonts w:ascii="宋体" w:hAnsi="宋体" w:cs="宋体" w:hint="eastAsia"/>
          <w:color w:val="000000"/>
          <w:kern w:val="0"/>
          <w:sz w:val="24"/>
          <w:szCs w:val="24"/>
        </w:rPr>
        <w:t>T+1</w:t>
      </w:r>
      <w:r>
        <w:rPr>
          <w:rFonts w:ascii="宋体" w:hAnsi="宋体" w:cs="宋体" w:hint="eastAsia"/>
          <w:color w:val="000000"/>
          <w:kern w:val="0"/>
          <w:sz w:val="24"/>
          <w:szCs w:val="24"/>
        </w:rPr>
        <w:t>日为投资者办理减少转出基金份额、增加转入基金份额的权益登记手续。</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基金管理人可在法律法规允许的范围内，对上述注册登记办理时间进行调整，并于开始实施前在</w:t>
      </w:r>
      <w:r>
        <w:rPr>
          <w:rFonts w:ascii="宋体" w:hAnsi="宋体" w:cs="宋体" w:hint="eastAsia"/>
          <w:kern w:val="0"/>
          <w:sz w:val="24"/>
          <w:szCs w:val="24"/>
        </w:rPr>
        <w:t>规定媒介</w:t>
      </w:r>
      <w:r>
        <w:rPr>
          <w:rFonts w:ascii="宋体" w:hAnsi="宋体" w:cs="宋体" w:hint="eastAsia"/>
          <w:color w:val="000000"/>
          <w:kern w:val="0"/>
          <w:sz w:val="24"/>
          <w:szCs w:val="24"/>
        </w:rPr>
        <w:t>公告。</w:t>
      </w:r>
    </w:p>
    <w:p w:rsidR="00000000" w:rsidRDefault="00BB6B6D">
      <w:pPr>
        <w:autoSpaceDE w:val="0"/>
        <w:autoSpaceDN w:val="0"/>
        <w:adjustRightInd w:val="0"/>
        <w:spacing w:before="29" w:line="288" w:lineRule="auto"/>
        <w:ind w:left="15"/>
        <w:jc w:val="left"/>
        <w:rPr>
          <w:rFonts w:ascii="宋体" w:hAnsi="宋体" w:cs="宋体" w:hint="eastAsia"/>
          <w:b/>
          <w:color w:val="000000"/>
          <w:kern w:val="0"/>
          <w:sz w:val="24"/>
          <w:szCs w:val="24"/>
        </w:rPr>
      </w:pPr>
      <w:r>
        <w:rPr>
          <w:rFonts w:ascii="宋体" w:hAnsi="宋体" w:cs="宋体" w:hint="eastAsia"/>
          <w:b/>
          <w:color w:val="000000"/>
          <w:kern w:val="0"/>
          <w:sz w:val="24"/>
          <w:szCs w:val="24"/>
        </w:rPr>
        <w:t xml:space="preserve">5.2.6 </w:t>
      </w:r>
      <w:r>
        <w:rPr>
          <w:rFonts w:ascii="宋体" w:hAnsi="宋体" w:cs="宋体" w:hint="eastAsia"/>
          <w:b/>
          <w:color w:val="000000"/>
          <w:kern w:val="0"/>
          <w:sz w:val="24"/>
          <w:szCs w:val="24"/>
        </w:rPr>
        <w:t>暂停基金转换业务的情形及处理</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基金转换视同为转出基金的赎回和转入基金的申购，因此有关转出基金和转入基金基金合同和基金招募说明书更新中关于暂停或拒绝申购、赎回的有关规定适用于暂停基金转换。</w:t>
      </w:r>
    </w:p>
    <w:p w:rsidR="00000000" w:rsidRDefault="00BB6B6D">
      <w:pPr>
        <w:spacing w:line="360" w:lineRule="auto"/>
        <w:ind w:firstLineChars="200" w:firstLine="480"/>
        <w:rPr>
          <w:rFonts w:ascii="宋体" w:hAnsi="宋体" w:cs="宋体" w:hint="eastAsia"/>
          <w:color w:val="000000"/>
          <w:kern w:val="0"/>
          <w:sz w:val="24"/>
          <w:szCs w:val="24"/>
        </w:rPr>
      </w:pP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6 </w:t>
      </w:r>
      <w:r>
        <w:rPr>
          <w:rFonts w:ascii="宋体" w:hAnsi="宋体" w:cs="宋体" w:hint="eastAsia"/>
          <w:b/>
          <w:bCs/>
          <w:color w:val="000000"/>
          <w:kern w:val="0"/>
          <w:sz w:val="24"/>
          <w:szCs w:val="24"/>
        </w:rPr>
        <w:t>定期定额投资业务</w:t>
      </w:r>
    </w:p>
    <w:p w:rsidR="00000000" w:rsidRDefault="00BB6B6D">
      <w:pPr>
        <w:autoSpaceDE w:val="0"/>
        <w:autoSpaceDN w:val="0"/>
        <w:adjustRightInd w:val="0"/>
        <w:spacing w:before="29" w:line="360" w:lineRule="auto"/>
        <w:ind w:left="15" w:firstLine="495"/>
        <w:jc w:val="left"/>
        <w:rPr>
          <w:rFonts w:ascii="宋体" w:hAnsi="宋体" w:cs="宋体" w:hint="eastAsia"/>
          <w:color w:val="000000"/>
          <w:kern w:val="0"/>
          <w:sz w:val="24"/>
          <w:szCs w:val="24"/>
        </w:rPr>
      </w:pPr>
      <w:r>
        <w:rPr>
          <w:rFonts w:ascii="宋体" w:hAnsi="宋体" w:cs="宋体" w:hint="eastAsia"/>
          <w:color w:val="000000"/>
          <w:kern w:val="0"/>
          <w:sz w:val="24"/>
          <w:szCs w:val="24"/>
        </w:rPr>
        <w:t>本基金暂不开通此项</w:t>
      </w:r>
      <w:r>
        <w:rPr>
          <w:rFonts w:ascii="宋体" w:hAnsi="宋体" w:cs="宋体" w:hint="eastAsia"/>
          <w:color w:val="000000"/>
          <w:kern w:val="0"/>
          <w:sz w:val="24"/>
          <w:szCs w:val="24"/>
        </w:rPr>
        <w:t>业务。</w:t>
      </w:r>
    </w:p>
    <w:p w:rsidR="00000000" w:rsidRDefault="00BB6B6D">
      <w:pPr>
        <w:autoSpaceDE w:val="0"/>
        <w:autoSpaceDN w:val="0"/>
        <w:adjustRightInd w:val="0"/>
        <w:spacing w:before="29" w:line="360" w:lineRule="auto"/>
        <w:ind w:left="15" w:firstLine="495"/>
        <w:jc w:val="left"/>
        <w:rPr>
          <w:rFonts w:ascii="宋体" w:hAnsi="宋体" w:cs="宋体" w:hint="eastAsia"/>
          <w:b/>
          <w:bCs/>
          <w:color w:val="000000"/>
          <w:kern w:val="0"/>
          <w:sz w:val="24"/>
          <w:szCs w:val="24"/>
        </w:rPr>
      </w:pP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7 </w:t>
      </w:r>
      <w:r>
        <w:rPr>
          <w:rFonts w:ascii="宋体" w:hAnsi="宋体" w:cs="宋体" w:hint="eastAsia"/>
          <w:b/>
          <w:bCs/>
          <w:color w:val="000000"/>
          <w:kern w:val="0"/>
          <w:sz w:val="24"/>
          <w:szCs w:val="24"/>
        </w:rPr>
        <w:t>基金销售机构</w:t>
      </w: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7.1 </w:t>
      </w:r>
      <w:r>
        <w:rPr>
          <w:rFonts w:ascii="宋体" w:hAnsi="宋体" w:cs="宋体" w:hint="eastAsia"/>
          <w:b/>
          <w:bCs/>
          <w:color w:val="000000"/>
          <w:kern w:val="0"/>
          <w:sz w:val="24"/>
          <w:szCs w:val="24"/>
        </w:rPr>
        <w:t>场外销售机构</w:t>
      </w: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7.1.1 </w:t>
      </w:r>
      <w:r>
        <w:rPr>
          <w:rFonts w:ascii="宋体" w:hAnsi="宋体" w:cs="宋体" w:hint="eastAsia"/>
          <w:b/>
          <w:bCs/>
          <w:color w:val="000000"/>
          <w:kern w:val="0"/>
          <w:sz w:val="24"/>
          <w:szCs w:val="24"/>
        </w:rPr>
        <w:t>直销机构</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名称：安信基金管理有限责任公司</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住所：</w:t>
      </w:r>
      <w:r>
        <w:rPr>
          <w:rFonts w:ascii="宋体" w:hAnsi="宋体" w:cs="宋体"/>
          <w:sz w:val="24"/>
          <w:szCs w:val="24"/>
        </w:rPr>
        <w:t>深圳市福田区福田街道福安社区福华一路</w:t>
      </w:r>
      <w:r>
        <w:rPr>
          <w:rFonts w:ascii="宋体" w:hAnsi="宋体" w:cs="宋体"/>
          <w:sz w:val="24"/>
          <w:szCs w:val="24"/>
        </w:rPr>
        <w:t>119</w:t>
      </w:r>
      <w:r>
        <w:rPr>
          <w:rFonts w:ascii="宋体" w:hAnsi="宋体" w:cs="宋体"/>
          <w:sz w:val="24"/>
          <w:szCs w:val="24"/>
        </w:rPr>
        <w:t>号安信金融大厦</w:t>
      </w:r>
      <w:r>
        <w:rPr>
          <w:rFonts w:ascii="宋体" w:hAnsi="宋体" w:cs="宋体"/>
          <w:sz w:val="24"/>
          <w:szCs w:val="24"/>
        </w:rPr>
        <w:t>29</w:t>
      </w:r>
      <w:r>
        <w:rPr>
          <w:rFonts w:ascii="宋体" w:hAnsi="宋体" w:cs="宋体"/>
          <w:sz w:val="24"/>
          <w:szCs w:val="24"/>
        </w:rPr>
        <w:t>楼</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办公地址：</w:t>
      </w:r>
      <w:r>
        <w:rPr>
          <w:rFonts w:ascii="宋体" w:hAnsi="宋体" w:cs="宋体"/>
          <w:sz w:val="24"/>
          <w:szCs w:val="24"/>
        </w:rPr>
        <w:t>广东省深圳市福田区福田街道福华一路安信金融大厦</w:t>
      </w:r>
      <w:r>
        <w:rPr>
          <w:rFonts w:ascii="宋体" w:hAnsi="宋体" w:cs="宋体"/>
          <w:sz w:val="24"/>
          <w:szCs w:val="24"/>
        </w:rPr>
        <w:t>27</w:t>
      </w:r>
      <w:r>
        <w:rPr>
          <w:rFonts w:ascii="宋体" w:hAnsi="宋体" w:cs="宋体"/>
          <w:sz w:val="24"/>
          <w:szCs w:val="24"/>
        </w:rPr>
        <w:t>层</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电话：</w:t>
      </w:r>
      <w:r>
        <w:rPr>
          <w:rFonts w:ascii="宋体" w:hAnsi="宋体" w:cs="宋体" w:hint="eastAsia"/>
          <w:color w:val="000000"/>
          <w:kern w:val="0"/>
          <w:sz w:val="24"/>
          <w:szCs w:val="24"/>
        </w:rPr>
        <w:t>0755</w:t>
      </w:r>
      <w:r>
        <w:rPr>
          <w:rFonts w:ascii="宋体" w:hAnsi="宋体" w:cs="宋体" w:hint="eastAsia"/>
          <w:color w:val="000000"/>
          <w:kern w:val="0"/>
          <w:sz w:val="24"/>
          <w:szCs w:val="24"/>
        </w:rPr>
        <w:t>－</w:t>
      </w:r>
      <w:r>
        <w:rPr>
          <w:rFonts w:ascii="宋体" w:hAnsi="宋体" w:cs="宋体" w:hint="eastAsia"/>
          <w:color w:val="000000"/>
          <w:kern w:val="0"/>
          <w:sz w:val="24"/>
          <w:szCs w:val="24"/>
        </w:rPr>
        <w:t>82509820</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传真：</w:t>
      </w:r>
      <w:r>
        <w:rPr>
          <w:rFonts w:ascii="宋体" w:hAnsi="宋体" w:cs="宋体" w:hint="eastAsia"/>
          <w:color w:val="000000"/>
          <w:kern w:val="0"/>
          <w:sz w:val="24"/>
          <w:szCs w:val="24"/>
        </w:rPr>
        <w:t>0755</w:t>
      </w:r>
      <w:r>
        <w:rPr>
          <w:rFonts w:ascii="宋体" w:hAnsi="宋体" w:cs="宋体" w:hint="eastAsia"/>
          <w:color w:val="000000"/>
          <w:kern w:val="0"/>
          <w:sz w:val="24"/>
          <w:szCs w:val="24"/>
        </w:rPr>
        <w:t>－</w:t>
      </w:r>
      <w:r>
        <w:rPr>
          <w:rFonts w:ascii="宋体" w:hAnsi="宋体" w:cs="宋体" w:hint="eastAsia"/>
          <w:color w:val="000000"/>
          <w:kern w:val="0"/>
          <w:sz w:val="24"/>
          <w:szCs w:val="24"/>
        </w:rPr>
        <w:t>82509920</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联系人：江程</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客户服务电话：</w:t>
      </w:r>
      <w:r>
        <w:rPr>
          <w:rFonts w:ascii="宋体" w:hAnsi="宋体" w:cs="宋体" w:hint="eastAsia"/>
          <w:color w:val="000000"/>
          <w:kern w:val="0"/>
          <w:sz w:val="24"/>
          <w:szCs w:val="24"/>
        </w:rPr>
        <w:t>4008-088-088</w:t>
      </w:r>
    </w:p>
    <w:p w:rsidR="00000000" w:rsidRDefault="00BB6B6D">
      <w:pPr>
        <w:autoSpaceDE w:val="0"/>
        <w:autoSpaceDN w:val="0"/>
        <w:adjustRightInd w:val="0"/>
        <w:spacing w:before="30" w:line="360" w:lineRule="auto"/>
        <w:ind w:left="15"/>
        <w:jc w:val="left"/>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网址：</w:t>
      </w:r>
      <w:r>
        <w:rPr>
          <w:rFonts w:ascii="宋体" w:hAnsi="宋体" w:cs="宋体" w:hint="eastAsia"/>
          <w:color w:val="000000"/>
          <w:kern w:val="0"/>
          <w:sz w:val="24"/>
          <w:szCs w:val="24"/>
        </w:rPr>
        <w:t>www.essencefund.com</w:t>
      </w:r>
    </w:p>
    <w:p w:rsidR="00000000" w:rsidRDefault="00BB6B6D">
      <w:pPr>
        <w:autoSpaceDE w:val="0"/>
        <w:autoSpaceDN w:val="0"/>
        <w:adjustRightInd w:val="0"/>
        <w:spacing w:line="360" w:lineRule="auto"/>
        <w:jc w:val="left"/>
        <w:rPr>
          <w:rFonts w:ascii="宋体" w:hAnsi="宋体" w:cs="宋体" w:hint="eastAsia"/>
          <w:color w:val="000000"/>
          <w:kern w:val="0"/>
          <w:sz w:val="23"/>
          <w:szCs w:val="23"/>
        </w:rPr>
      </w:pP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7.1.2 </w:t>
      </w:r>
      <w:r>
        <w:rPr>
          <w:rFonts w:ascii="宋体" w:hAnsi="宋体" w:cs="宋体" w:hint="eastAsia"/>
          <w:b/>
          <w:bCs/>
          <w:color w:val="000000"/>
          <w:kern w:val="0"/>
          <w:sz w:val="24"/>
          <w:szCs w:val="24"/>
        </w:rPr>
        <w:t>场外非直销机构</w:t>
      </w:r>
    </w:p>
    <w:p w:rsidR="00000000" w:rsidRDefault="00BB6B6D">
      <w:pPr>
        <w:spacing w:line="360" w:lineRule="auto"/>
        <w:ind w:firstLineChars="200" w:firstLine="480"/>
        <w:rPr>
          <w:rFonts w:ascii="宋体" w:hAnsi="宋体" w:cs="宋体" w:hint="eastAsia"/>
          <w:color w:val="000000"/>
          <w:kern w:val="0"/>
          <w:sz w:val="24"/>
          <w:szCs w:val="24"/>
        </w:rPr>
      </w:pPr>
      <w:bookmarkStart w:id="0" w:name="_Hlk10036347"/>
      <w:r>
        <w:rPr>
          <w:rFonts w:ascii="宋体" w:hAnsi="宋体" w:cs="宋体" w:hint="eastAsia"/>
          <w:color w:val="000000"/>
          <w:kern w:val="0"/>
          <w:sz w:val="24"/>
          <w:szCs w:val="24"/>
        </w:rPr>
        <w:t>1</w:t>
      </w:r>
      <w:r>
        <w:rPr>
          <w:rFonts w:ascii="宋体" w:hAnsi="宋体" w:cs="宋体" w:hint="eastAsia"/>
          <w:color w:val="000000"/>
          <w:kern w:val="0"/>
          <w:sz w:val="24"/>
          <w:szCs w:val="24"/>
        </w:rPr>
        <w:t>、银行销售</w:t>
      </w:r>
      <w:r>
        <w:rPr>
          <w:rFonts w:ascii="宋体" w:hAnsi="宋体" w:cs="宋体" w:hint="eastAsia"/>
          <w:color w:val="000000"/>
          <w:kern w:val="0"/>
          <w:sz w:val="24"/>
          <w:szCs w:val="24"/>
        </w:rPr>
        <w:t>渠道：宁波银行股份有限公司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江苏张家港农村商业银行股份有限公司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平安银行股份有限公司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招商银行股份有限公司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江苏银行股份有限公司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兴业银行股份有限公司。</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、证券公司及期货公司销售渠道：国投证券股份有限公司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国泰君安证券股份有限公司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招商证券股份有限公司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海通证券股份有限公司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中信证券股份有限公司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中信证券（山东）有限责任公司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东海证券股份有限公司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申万宏源证券有限公司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中山证券有限责任公司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中信建投证券股份有限公司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中信期货有限公司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中国中金财富证券有限公司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东海期货有限责任公司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国信证券股份有限公司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东兴证券股份有限公司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华西证券股份有限公司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东北证券股份有限公司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第一创业证券股份有限公司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国金证券股份有限公司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中国银河证券股份有限公司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甬兴证券有限公司</w:t>
      </w:r>
      <w:r>
        <w:rPr>
          <w:rFonts w:ascii="宋体" w:hAnsi="宋体" w:cs="宋体" w:hint="eastAsia"/>
          <w:color w:val="000000"/>
          <w:kern w:val="0"/>
          <w:sz w:val="24"/>
          <w:szCs w:val="24"/>
        </w:rPr>
        <w:t>、</w:t>
      </w:r>
      <w:r>
        <w:rPr>
          <w:rFonts w:ascii="宋体" w:hAnsi="宋体" w:cs="宋体" w:hint="eastAsia"/>
          <w:color w:val="000000"/>
          <w:kern w:val="0"/>
          <w:sz w:val="24"/>
          <w:szCs w:val="24"/>
        </w:rPr>
        <w:t>五矿证券有限公司</w:t>
      </w:r>
      <w:r>
        <w:rPr>
          <w:rFonts w:ascii="宋体" w:hAnsi="宋体" w:cs="宋体" w:hint="eastAsia"/>
          <w:color w:val="000000"/>
          <w:kern w:val="0"/>
          <w:sz w:val="24"/>
          <w:szCs w:val="24"/>
        </w:rPr>
        <w:t>、</w:t>
      </w:r>
      <w:r>
        <w:rPr>
          <w:rFonts w:ascii="宋体" w:hAnsi="宋体" w:cs="宋体" w:hint="eastAsia"/>
          <w:color w:val="000000"/>
          <w:kern w:val="0"/>
          <w:sz w:val="24"/>
          <w:szCs w:val="24"/>
        </w:rPr>
        <w:t>物产中大期货有限公司</w:t>
      </w:r>
      <w:r>
        <w:rPr>
          <w:rFonts w:ascii="宋体" w:hAnsi="宋体" w:cs="宋体" w:hint="eastAsia"/>
          <w:color w:val="000000"/>
          <w:kern w:val="0"/>
          <w:sz w:val="24"/>
          <w:szCs w:val="24"/>
        </w:rPr>
        <w:t>、</w:t>
      </w:r>
      <w:r>
        <w:rPr>
          <w:rFonts w:ascii="宋体" w:hAnsi="宋体" w:cs="宋体" w:hint="eastAsia"/>
          <w:color w:val="000000"/>
          <w:kern w:val="0"/>
          <w:sz w:val="24"/>
          <w:szCs w:val="24"/>
        </w:rPr>
        <w:t>宏信证券有限责任公司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平安证券股份有限公司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世纪证券有限责任公司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申万宏源西部证券有限公司</w:t>
      </w:r>
      <w:r>
        <w:rPr>
          <w:rFonts w:ascii="宋体" w:hAnsi="宋体" w:cs="宋体" w:hint="eastAsia"/>
          <w:color w:val="000000"/>
          <w:kern w:val="0"/>
          <w:sz w:val="24"/>
          <w:szCs w:val="24"/>
        </w:rPr>
        <w:t>、</w:t>
      </w:r>
      <w:r>
        <w:rPr>
          <w:rFonts w:ascii="宋体" w:hAnsi="宋体" w:cs="宋体" w:hint="eastAsia"/>
          <w:color w:val="000000"/>
          <w:kern w:val="0"/>
          <w:sz w:val="24"/>
          <w:szCs w:val="24"/>
        </w:rPr>
        <w:t>天风证券股份有限公司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中信证券华南股份有限公司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长城证券股份有限公司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中泰证券股份有限公司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开源证券股份有限公司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东方财富证券股份有限公司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联储证券有限责任公司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大同证券有限责任公司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山西证券股份有限公司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东莞证券股份有限</w:t>
      </w:r>
      <w:r>
        <w:rPr>
          <w:rFonts w:ascii="宋体" w:hAnsi="宋体" w:cs="宋体" w:hint="eastAsia"/>
          <w:color w:val="000000"/>
          <w:kern w:val="0"/>
          <w:sz w:val="24"/>
          <w:szCs w:val="24"/>
        </w:rPr>
        <w:t>公司</w:t>
      </w:r>
      <w:r>
        <w:rPr>
          <w:rFonts w:ascii="宋体" w:hAnsi="宋体" w:cs="宋体" w:hint="eastAsia"/>
          <w:color w:val="000000"/>
          <w:kern w:val="0"/>
          <w:sz w:val="24"/>
          <w:szCs w:val="24"/>
        </w:rPr>
        <w:t>、</w:t>
      </w:r>
      <w:r>
        <w:rPr>
          <w:rFonts w:ascii="宋体" w:hAnsi="宋体" w:cs="宋体" w:hint="eastAsia"/>
          <w:color w:val="000000"/>
          <w:kern w:val="0"/>
          <w:sz w:val="24"/>
          <w:szCs w:val="24"/>
        </w:rPr>
        <w:t>中天证券股份有限公司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西部证券股份有限公司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万联证券股份有限公司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诚通证券股份有限公司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民生证券股份有限公司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长江证券股份有限公司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中邮证券有限责任公司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华林证券股份有限公司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华金证券股份有限公司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上海证券有限责任公司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爱建证券有限责任公司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英大证券有限责任公司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国新证券股份有限公司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粤开证券股份有限公司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国盛证券有限责任公司</w:t>
      </w:r>
      <w:r>
        <w:rPr>
          <w:rFonts w:ascii="宋体" w:hAnsi="宋体" w:cs="宋体" w:hint="eastAsia"/>
          <w:color w:val="000000"/>
          <w:kern w:val="0"/>
          <w:sz w:val="24"/>
          <w:szCs w:val="24"/>
        </w:rPr>
        <w:t>、</w:t>
      </w:r>
      <w:r>
        <w:rPr>
          <w:rFonts w:ascii="宋体" w:hAnsi="宋体" w:cs="宋体" w:hint="eastAsia"/>
          <w:color w:val="000000"/>
          <w:kern w:val="0"/>
          <w:sz w:val="24"/>
          <w:szCs w:val="24"/>
        </w:rPr>
        <w:t>华宝证券股份有限公司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华源证券股份有限公司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兴业证券股份有限公司</w:t>
      </w:r>
      <w:r>
        <w:rPr>
          <w:rFonts w:ascii="宋体" w:hAnsi="宋体" w:cs="宋体" w:hint="eastAsia"/>
          <w:color w:val="000000"/>
          <w:kern w:val="0"/>
          <w:sz w:val="24"/>
          <w:szCs w:val="24"/>
        </w:rPr>
        <w:t>、</w:t>
      </w:r>
      <w:r>
        <w:rPr>
          <w:rFonts w:ascii="宋体" w:hAnsi="宋体" w:cs="宋体" w:hint="eastAsia"/>
          <w:color w:val="000000"/>
          <w:kern w:val="0"/>
          <w:sz w:val="24"/>
          <w:szCs w:val="24"/>
        </w:rPr>
        <w:t>中航证券有限公司</w:t>
      </w:r>
      <w:r>
        <w:rPr>
          <w:rFonts w:ascii="宋体" w:hAnsi="宋体" w:cs="宋体" w:hint="eastAsia"/>
          <w:color w:val="000000"/>
          <w:kern w:val="0"/>
          <w:sz w:val="24"/>
          <w:szCs w:val="24"/>
        </w:rPr>
        <w:t>、</w:t>
      </w:r>
      <w:r>
        <w:rPr>
          <w:rFonts w:ascii="宋体" w:hAnsi="宋体" w:cs="宋体" w:hint="eastAsia"/>
          <w:color w:val="000000"/>
          <w:kern w:val="0"/>
          <w:sz w:val="24"/>
          <w:szCs w:val="24"/>
        </w:rPr>
        <w:t>麦高证券有限责任公司。</w:t>
      </w:r>
    </w:p>
    <w:p w:rsidR="00000000" w:rsidRDefault="00BB6B6D">
      <w:pPr>
        <w:pStyle w:val="a7"/>
        <w:spacing w:line="360" w:lineRule="auto"/>
        <w:ind w:firstLineChars="200" w:firstLine="480"/>
        <w:jc w:val="both"/>
        <w:rPr>
          <w:rFonts w:hint="eastAsia"/>
          <w:color w:val="000000"/>
        </w:rPr>
      </w:pPr>
      <w:r>
        <w:rPr>
          <w:rFonts w:hint="eastAsia"/>
          <w:color w:val="000000"/>
        </w:rPr>
        <w:t>3</w:t>
      </w:r>
      <w:r>
        <w:rPr>
          <w:rFonts w:hint="eastAsia"/>
          <w:color w:val="000000"/>
        </w:rPr>
        <w:t>、第三方销售渠道：北京汇成基金销售有限公司</w:t>
      </w:r>
      <w:r>
        <w:rPr>
          <w:rFonts w:hint="eastAsia"/>
          <w:color w:val="000000"/>
        </w:rPr>
        <w:t>、</w:t>
      </w:r>
      <w:r>
        <w:rPr>
          <w:rFonts w:hint="eastAsia"/>
          <w:color w:val="000000"/>
        </w:rPr>
        <w:t>乾道基金销售有限公司</w:t>
      </w:r>
      <w:r>
        <w:rPr>
          <w:rFonts w:hint="eastAsia"/>
          <w:color w:val="000000"/>
        </w:rPr>
        <w:t>、</w:t>
      </w:r>
      <w:r>
        <w:rPr>
          <w:rFonts w:hint="eastAsia"/>
          <w:color w:val="000000"/>
        </w:rPr>
        <w:t>上海基煜基金销售有限公司</w:t>
      </w:r>
      <w:r>
        <w:rPr>
          <w:rFonts w:hint="eastAsia"/>
          <w:color w:val="000000"/>
        </w:rPr>
        <w:t>、</w:t>
      </w:r>
      <w:r>
        <w:rPr>
          <w:rFonts w:hint="eastAsia"/>
          <w:color w:val="000000"/>
        </w:rPr>
        <w:t>诺亚正行基金销售有限公司</w:t>
      </w:r>
      <w:r>
        <w:rPr>
          <w:rFonts w:hint="eastAsia"/>
          <w:color w:val="000000"/>
        </w:rPr>
        <w:t>、</w:t>
      </w:r>
      <w:r>
        <w:rPr>
          <w:rFonts w:hint="eastAsia"/>
          <w:color w:val="000000"/>
        </w:rPr>
        <w:t>武汉佰鲲基金销售有限公司</w:t>
      </w:r>
      <w:r>
        <w:rPr>
          <w:rFonts w:hint="eastAsia"/>
          <w:color w:val="000000"/>
        </w:rPr>
        <w:t>、</w:t>
      </w:r>
      <w:r>
        <w:rPr>
          <w:rFonts w:hint="eastAsia"/>
          <w:color w:val="000000"/>
        </w:rPr>
        <w:t>深圳市新兰德证券投资咨询有限公司</w:t>
      </w:r>
      <w:r>
        <w:rPr>
          <w:rFonts w:hint="eastAsia"/>
          <w:color w:val="000000"/>
        </w:rPr>
        <w:t>、</w:t>
      </w:r>
      <w:r>
        <w:rPr>
          <w:rFonts w:hint="eastAsia"/>
          <w:color w:val="000000"/>
        </w:rPr>
        <w:t>一路财富（深圳）基金销售有限公司</w:t>
      </w:r>
      <w:r>
        <w:rPr>
          <w:rFonts w:hint="eastAsia"/>
          <w:color w:val="000000"/>
        </w:rPr>
        <w:t>、</w:t>
      </w:r>
      <w:r>
        <w:rPr>
          <w:rFonts w:hint="eastAsia"/>
          <w:color w:val="000000"/>
        </w:rPr>
        <w:t>万家财富基金销售（天津）有限公司</w:t>
      </w:r>
      <w:r>
        <w:rPr>
          <w:rFonts w:hint="eastAsia"/>
          <w:color w:val="000000"/>
        </w:rPr>
        <w:t>、</w:t>
      </w:r>
      <w:r>
        <w:rPr>
          <w:rFonts w:hint="eastAsia"/>
          <w:color w:val="000000"/>
        </w:rPr>
        <w:t>通华财富（上海）基金销售有限公司</w:t>
      </w:r>
      <w:r>
        <w:rPr>
          <w:rFonts w:hint="eastAsia"/>
          <w:color w:val="000000"/>
        </w:rPr>
        <w:t>、</w:t>
      </w:r>
      <w:r>
        <w:rPr>
          <w:rFonts w:hint="eastAsia"/>
          <w:color w:val="000000"/>
        </w:rPr>
        <w:t>上海华夏财富投资管理有限公司</w:t>
      </w:r>
      <w:r>
        <w:rPr>
          <w:rFonts w:hint="eastAsia"/>
          <w:color w:val="000000"/>
        </w:rPr>
        <w:t>、</w:t>
      </w:r>
      <w:r>
        <w:rPr>
          <w:rFonts w:hint="eastAsia"/>
          <w:color w:val="000000"/>
        </w:rPr>
        <w:t>嘉实财富管理有限公司</w:t>
      </w:r>
      <w:r>
        <w:rPr>
          <w:rFonts w:hint="eastAsia"/>
          <w:color w:val="000000"/>
        </w:rPr>
        <w:t>、</w:t>
      </w:r>
      <w:r>
        <w:rPr>
          <w:rFonts w:hint="eastAsia"/>
          <w:color w:val="000000"/>
        </w:rPr>
        <w:t>北京创金启富基金销售有限公司</w:t>
      </w:r>
      <w:r>
        <w:rPr>
          <w:rFonts w:hint="eastAsia"/>
          <w:color w:val="000000"/>
        </w:rPr>
        <w:t>、</w:t>
      </w:r>
      <w:r>
        <w:rPr>
          <w:rFonts w:hint="eastAsia"/>
          <w:color w:val="000000"/>
        </w:rPr>
        <w:t>奕丰基金销售有限公司</w:t>
      </w:r>
      <w:r>
        <w:rPr>
          <w:rFonts w:hint="eastAsia"/>
          <w:color w:val="000000"/>
        </w:rPr>
        <w:t>、</w:t>
      </w:r>
      <w:r>
        <w:rPr>
          <w:rFonts w:hint="eastAsia"/>
          <w:color w:val="000000"/>
        </w:rPr>
        <w:t>上海凯石财富基金销售有限公司</w:t>
      </w:r>
      <w:r>
        <w:rPr>
          <w:rFonts w:hint="eastAsia"/>
          <w:color w:val="000000"/>
        </w:rPr>
        <w:t>、</w:t>
      </w:r>
      <w:r>
        <w:rPr>
          <w:rFonts w:hint="eastAsia"/>
          <w:color w:val="000000"/>
        </w:rPr>
        <w:t>江苏汇林保大基金销售有限公司</w:t>
      </w:r>
      <w:r>
        <w:rPr>
          <w:rFonts w:hint="eastAsia"/>
          <w:color w:val="000000"/>
        </w:rPr>
        <w:t>、</w:t>
      </w:r>
      <w:r>
        <w:rPr>
          <w:rFonts w:hint="eastAsia"/>
          <w:color w:val="000000"/>
        </w:rPr>
        <w:t>阳光人寿保险股份有限公司</w:t>
      </w:r>
      <w:r>
        <w:rPr>
          <w:rFonts w:hint="eastAsia"/>
          <w:color w:val="000000"/>
        </w:rPr>
        <w:t>、</w:t>
      </w:r>
      <w:r>
        <w:rPr>
          <w:rFonts w:hint="eastAsia"/>
          <w:color w:val="000000"/>
        </w:rPr>
        <w:t>中国人寿保险股份有限公司</w:t>
      </w:r>
      <w:r>
        <w:rPr>
          <w:rFonts w:hint="eastAsia"/>
          <w:color w:val="000000"/>
        </w:rPr>
        <w:t>、</w:t>
      </w:r>
      <w:r>
        <w:rPr>
          <w:rFonts w:hint="eastAsia"/>
          <w:color w:val="000000"/>
        </w:rPr>
        <w:t>上海利得基金销售有限公司</w:t>
      </w:r>
      <w:r>
        <w:rPr>
          <w:rFonts w:hint="eastAsia"/>
          <w:color w:val="000000"/>
        </w:rPr>
        <w:t>、</w:t>
      </w:r>
      <w:r>
        <w:rPr>
          <w:rFonts w:hint="eastAsia"/>
          <w:color w:val="000000"/>
        </w:rPr>
        <w:t>众惠基金销售有限公司</w:t>
      </w:r>
      <w:r>
        <w:rPr>
          <w:rFonts w:hint="eastAsia"/>
          <w:color w:val="000000"/>
        </w:rPr>
        <w:t>、</w:t>
      </w:r>
      <w:r>
        <w:rPr>
          <w:rFonts w:hint="eastAsia"/>
          <w:color w:val="000000"/>
        </w:rPr>
        <w:t>上海攀赢基金销售有限公司</w:t>
      </w:r>
      <w:r>
        <w:rPr>
          <w:rFonts w:hint="eastAsia"/>
          <w:color w:val="000000"/>
        </w:rPr>
        <w:t>、</w:t>
      </w:r>
      <w:r>
        <w:rPr>
          <w:rFonts w:hint="eastAsia"/>
          <w:color w:val="000000"/>
        </w:rPr>
        <w:t>上海中欧</w:t>
      </w:r>
      <w:r>
        <w:rPr>
          <w:rFonts w:hint="eastAsia"/>
          <w:color w:val="000000"/>
        </w:rPr>
        <w:t>财富基金销售有限公司</w:t>
      </w:r>
      <w:r>
        <w:rPr>
          <w:rFonts w:hint="eastAsia"/>
          <w:color w:val="000000"/>
        </w:rPr>
        <w:t>、上海天天基金销售有限公司</w:t>
      </w:r>
      <w:r>
        <w:rPr>
          <w:rFonts w:hint="eastAsia"/>
          <w:color w:val="000000"/>
        </w:rPr>
        <w:t>、</w:t>
      </w:r>
      <w:r>
        <w:rPr>
          <w:rFonts w:hint="eastAsia"/>
          <w:color w:val="000000"/>
        </w:rPr>
        <w:t>蚂蚁（杭州）基金销售有限公司</w:t>
      </w:r>
      <w:r>
        <w:rPr>
          <w:rFonts w:hint="eastAsia"/>
          <w:color w:val="000000"/>
        </w:rPr>
        <w:t>、</w:t>
      </w:r>
      <w:r>
        <w:rPr>
          <w:rFonts w:hint="eastAsia"/>
          <w:color w:val="000000"/>
        </w:rPr>
        <w:t>上海长量基金销售有限公司</w:t>
      </w:r>
      <w:r>
        <w:rPr>
          <w:rFonts w:hint="eastAsia"/>
          <w:color w:val="000000"/>
        </w:rPr>
        <w:t>、</w:t>
      </w:r>
      <w:r>
        <w:rPr>
          <w:rFonts w:hint="eastAsia"/>
          <w:color w:val="000000"/>
        </w:rPr>
        <w:t>和讯信息科技有限公司</w:t>
      </w:r>
      <w:r>
        <w:rPr>
          <w:rFonts w:hint="eastAsia"/>
          <w:color w:val="000000"/>
        </w:rPr>
        <w:t>、</w:t>
      </w:r>
      <w:r>
        <w:rPr>
          <w:rFonts w:hint="eastAsia"/>
          <w:color w:val="000000"/>
        </w:rPr>
        <w:t>浙江同花顺基金销售有限公司</w:t>
      </w:r>
      <w:r>
        <w:rPr>
          <w:rFonts w:hint="eastAsia"/>
          <w:color w:val="000000"/>
        </w:rPr>
        <w:t>、</w:t>
      </w:r>
      <w:r>
        <w:rPr>
          <w:rFonts w:hint="eastAsia"/>
          <w:color w:val="000000"/>
        </w:rPr>
        <w:t>上海好买基金销售有限公司</w:t>
      </w:r>
      <w:r>
        <w:rPr>
          <w:rFonts w:hint="eastAsia"/>
          <w:color w:val="000000"/>
        </w:rPr>
        <w:t>、</w:t>
      </w:r>
      <w:r>
        <w:rPr>
          <w:rFonts w:hint="eastAsia"/>
          <w:color w:val="000000"/>
        </w:rPr>
        <w:t>深圳市金斧子基金销售有限公司</w:t>
      </w:r>
      <w:r>
        <w:rPr>
          <w:rFonts w:hint="eastAsia"/>
          <w:color w:val="000000"/>
        </w:rPr>
        <w:t>、</w:t>
      </w:r>
      <w:r>
        <w:rPr>
          <w:rFonts w:hint="eastAsia"/>
          <w:color w:val="000000"/>
        </w:rPr>
        <w:t>珠海盈米基金销售有限公司</w:t>
      </w:r>
      <w:r>
        <w:rPr>
          <w:rFonts w:hint="eastAsia"/>
          <w:color w:val="000000"/>
        </w:rPr>
        <w:t>、</w:t>
      </w:r>
      <w:r>
        <w:rPr>
          <w:rFonts w:hint="eastAsia"/>
          <w:color w:val="000000"/>
        </w:rPr>
        <w:t>京东肯特瑞基金销售有限公司</w:t>
      </w:r>
      <w:r>
        <w:rPr>
          <w:rFonts w:hint="eastAsia"/>
          <w:color w:val="000000"/>
        </w:rPr>
        <w:t>、</w:t>
      </w:r>
      <w:r>
        <w:rPr>
          <w:rFonts w:hint="eastAsia"/>
          <w:color w:val="000000"/>
        </w:rPr>
        <w:t>北京新浪仓石基金销售有限公司</w:t>
      </w:r>
      <w:r>
        <w:rPr>
          <w:rFonts w:hint="eastAsia"/>
          <w:color w:val="000000"/>
        </w:rPr>
        <w:t>、</w:t>
      </w:r>
      <w:r>
        <w:rPr>
          <w:rFonts w:hint="eastAsia"/>
          <w:color w:val="000000"/>
        </w:rPr>
        <w:t>上海万得基金销售有限公司</w:t>
      </w:r>
      <w:r>
        <w:rPr>
          <w:rFonts w:hint="eastAsia"/>
          <w:color w:val="000000"/>
        </w:rPr>
        <w:t>、</w:t>
      </w:r>
      <w:r>
        <w:rPr>
          <w:rFonts w:hint="eastAsia"/>
          <w:color w:val="000000"/>
        </w:rPr>
        <w:t>南京苏宁基金销售有限公司</w:t>
      </w:r>
      <w:r>
        <w:rPr>
          <w:rFonts w:hint="eastAsia"/>
          <w:color w:val="000000"/>
        </w:rPr>
        <w:t>、</w:t>
      </w:r>
      <w:r>
        <w:rPr>
          <w:rFonts w:hint="eastAsia"/>
          <w:color w:val="000000"/>
        </w:rPr>
        <w:t>深圳众禄基金销售股份有限公司</w:t>
      </w:r>
      <w:r>
        <w:rPr>
          <w:rFonts w:hint="eastAsia"/>
          <w:color w:val="000000"/>
        </w:rPr>
        <w:t>、</w:t>
      </w:r>
      <w:r>
        <w:rPr>
          <w:rFonts w:hint="eastAsia"/>
          <w:color w:val="000000"/>
        </w:rPr>
        <w:t>北京格上富信基金销售有限公司</w:t>
      </w:r>
      <w:r>
        <w:rPr>
          <w:rFonts w:hint="eastAsia"/>
          <w:color w:val="000000"/>
        </w:rPr>
        <w:t>、</w:t>
      </w:r>
      <w:r>
        <w:rPr>
          <w:rFonts w:hint="eastAsia"/>
          <w:color w:val="000000"/>
        </w:rPr>
        <w:t>北京雪球基金销售有限公司</w:t>
      </w:r>
      <w:r>
        <w:rPr>
          <w:rFonts w:hint="eastAsia"/>
          <w:color w:val="000000"/>
        </w:rPr>
        <w:t>、</w:t>
      </w:r>
      <w:r>
        <w:rPr>
          <w:rFonts w:hint="eastAsia"/>
          <w:color w:val="000000"/>
        </w:rPr>
        <w:t>深圳市前海排排网基金销售有限责任公司</w:t>
      </w:r>
      <w:r>
        <w:rPr>
          <w:rFonts w:hint="eastAsia"/>
          <w:color w:val="000000"/>
        </w:rPr>
        <w:t>、</w:t>
      </w:r>
      <w:r>
        <w:rPr>
          <w:rFonts w:hint="eastAsia"/>
          <w:color w:val="000000"/>
        </w:rPr>
        <w:t>上海挖财基金销售有限公司</w:t>
      </w:r>
      <w:r>
        <w:rPr>
          <w:rFonts w:hint="eastAsia"/>
          <w:color w:val="000000"/>
        </w:rPr>
        <w:t>、</w:t>
      </w:r>
      <w:r>
        <w:rPr>
          <w:rFonts w:hint="eastAsia"/>
          <w:color w:val="000000"/>
        </w:rPr>
        <w:t>上海联泰基金销售</w:t>
      </w:r>
      <w:r>
        <w:rPr>
          <w:rFonts w:hint="eastAsia"/>
          <w:color w:val="000000"/>
        </w:rPr>
        <w:t>有限公司</w:t>
      </w:r>
      <w:r>
        <w:rPr>
          <w:rFonts w:hint="eastAsia"/>
          <w:color w:val="000000"/>
        </w:rPr>
        <w:t>、</w:t>
      </w:r>
      <w:r>
        <w:rPr>
          <w:rFonts w:hint="eastAsia"/>
          <w:color w:val="000000"/>
        </w:rPr>
        <w:t>腾安基金销售（深圳）有限公司</w:t>
      </w:r>
      <w:r>
        <w:rPr>
          <w:rFonts w:hint="eastAsia"/>
          <w:color w:val="000000"/>
        </w:rPr>
        <w:t>、</w:t>
      </w:r>
      <w:r>
        <w:rPr>
          <w:rFonts w:hint="eastAsia"/>
          <w:color w:val="000000"/>
        </w:rPr>
        <w:t>北京度小满基金销售有限公司</w:t>
      </w:r>
      <w:r>
        <w:rPr>
          <w:rFonts w:hint="eastAsia"/>
          <w:color w:val="000000"/>
        </w:rPr>
        <w:t>、</w:t>
      </w:r>
      <w:r>
        <w:rPr>
          <w:rFonts w:hint="eastAsia"/>
          <w:color w:val="000000"/>
        </w:rPr>
        <w:t>和耕传承基金销售有限公司</w:t>
      </w:r>
      <w:r>
        <w:rPr>
          <w:rFonts w:hint="eastAsia"/>
          <w:color w:val="000000"/>
        </w:rPr>
        <w:t>、</w:t>
      </w:r>
      <w:r>
        <w:rPr>
          <w:rFonts w:hint="eastAsia"/>
          <w:color w:val="000000"/>
        </w:rPr>
        <w:t>泛华普益基金销售有限公司</w:t>
      </w:r>
      <w:r>
        <w:rPr>
          <w:rFonts w:hint="eastAsia"/>
          <w:color w:val="000000"/>
        </w:rPr>
        <w:t>、</w:t>
      </w:r>
      <w:r>
        <w:rPr>
          <w:rFonts w:hint="eastAsia"/>
          <w:color w:val="000000"/>
        </w:rPr>
        <w:t>泰信财富基金销售有限公司</w:t>
      </w:r>
      <w:r>
        <w:rPr>
          <w:rFonts w:hint="eastAsia"/>
          <w:color w:val="000000"/>
        </w:rPr>
        <w:t>、</w:t>
      </w:r>
      <w:r>
        <w:rPr>
          <w:rFonts w:hint="eastAsia"/>
          <w:color w:val="000000"/>
        </w:rPr>
        <w:t>宜信普泽（北京）基金销售有限公司</w:t>
      </w:r>
      <w:r>
        <w:rPr>
          <w:rFonts w:hint="eastAsia"/>
          <w:color w:val="000000"/>
        </w:rPr>
        <w:t>、</w:t>
      </w:r>
      <w:r>
        <w:rPr>
          <w:rFonts w:hint="eastAsia"/>
          <w:color w:val="000000"/>
        </w:rPr>
        <w:t>博时财富基金销售有限公司</w:t>
      </w:r>
      <w:r>
        <w:rPr>
          <w:rFonts w:hint="eastAsia"/>
          <w:color w:val="000000"/>
        </w:rPr>
        <w:t>、</w:t>
      </w:r>
      <w:r>
        <w:rPr>
          <w:rFonts w:hint="eastAsia"/>
          <w:color w:val="000000"/>
        </w:rPr>
        <w:t>深圳新华信通基金销售有限公司</w:t>
      </w:r>
      <w:r>
        <w:rPr>
          <w:rFonts w:hint="eastAsia"/>
          <w:color w:val="000000"/>
        </w:rPr>
        <w:t>、华源证券（鑫理财）</w:t>
      </w:r>
      <w:r>
        <w:rPr>
          <w:rFonts w:hint="eastAsia"/>
          <w:color w:val="000000"/>
        </w:rPr>
        <w:t>。</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、各销售</w:t>
      </w:r>
      <w:r>
        <w:rPr>
          <w:rFonts w:ascii="宋体" w:hAnsi="宋体" w:cs="宋体" w:hint="eastAsia"/>
          <w:color w:val="000000"/>
          <w:kern w:val="0"/>
          <w:sz w:val="24"/>
          <w:szCs w:val="24"/>
        </w:rPr>
        <w:t>渠道</w:t>
      </w:r>
      <w:r>
        <w:rPr>
          <w:rFonts w:ascii="宋体" w:hAnsi="宋体" w:cs="宋体" w:hint="eastAsia"/>
          <w:color w:val="000000"/>
          <w:kern w:val="0"/>
          <w:sz w:val="24"/>
          <w:szCs w:val="24"/>
        </w:rPr>
        <w:t>可销售的基金份额类别、可办理的基金业务类型及其具体业务办理状况</w:t>
      </w:r>
      <w:r>
        <w:rPr>
          <w:rFonts w:ascii="宋体" w:hAnsi="宋体" w:cs="宋体" w:hint="eastAsia"/>
          <w:color w:val="000000"/>
          <w:kern w:val="0"/>
          <w:sz w:val="24"/>
          <w:szCs w:val="24"/>
        </w:rPr>
        <w:t>以</w:t>
      </w:r>
      <w:r>
        <w:rPr>
          <w:rFonts w:ascii="宋体" w:hAnsi="宋体" w:cs="宋体" w:hint="eastAsia"/>
          <w:color w:val="000000"/>
          <w:kern w:val="0"/>
          <w:sz w:val="24"/>
          <w:szCs w:val="24"/>
        </w:rPr>
        <w:t>其</w:t>
      </w:r>
      <w:r>
        <w:rPr>
          <w:rFonts w:ascii="宋体" w:hAnsi="宋体" w:cs="宋体" w:hint="eastAsia"/>
          <w:color w:val="000000"/>
          <w:kern w:val="0"/>
          <w:sz w:val="24"/>
          <w:szCs w:val="24"/>
        </w:rPr>
        <w:t>各自</w:t>
      </w:r>
      <w:r>
        <w:rPr>
          <w:rFonts w:ascii="宋体" w:hAnsi="宋体" w:cs="宋体" w:hint="eastAsia"/>
          <w:color w:val="000000"/>
          <w:kern w:val="0"/>
          <w:sz w:val="24"/>
          <w:szCs w:val="24"/>
        </w:rPr>
        <w:t>规定</w:t>
      </w:r>
      <w:r>
        <w:rPr>
          <w:rFonts w:ascii="宋体" w:hAnsi="宋体" w:cs="宋体" w:hint="eastAsia"/>
          <w:color w:val="000000"/>
          <w:kern w:val="0"/>
          <w:sz w:val="24"/>
          <w:szCs w:val="24"/>
        </w:rPr>
        <w:t>为准</w:t>
      </w:r>
      <w:r>
        <w:rPr>
          <w:rFonts w:ascii="宋体" w:hAnsi="宋体" w:cs="宋体" w:hint="eastAsia"/>
          <w:color w:val="000000"/>
          <w:kern w:val="0"/>
          <w:sz w:val="24"/>
          <w:szCs w:val="24"/>
        </w:rPr>
        <w:t>。基金管理人可根据情况变更或增减销售机构，并在基金管理人网站公示</w:t>
      </w:r>
      <w:r>
        <w:rPr>
          <w:rFonts w:ascii="宋体" w:hAnsi="宋体" w:cs="宋体" w:hint="eastAsia"/>
          <w:color w:val="000000"/>
          <w:kern w:val="0"/>
          <w:sz w:val="24"/>
          <w:szCs w:val="24"/>
        </w:rPr>
        <w:t>，投资者可登录网站（</w:t>
      </w:r>
      <w:r>
        <w:rPr>
          <w:rFonts w:ascii="宋体" w:hAnsi="宋体" w:cs="宋体" w:hint="eastAsia"/>
          <w:color w:val="000000"/>
          <w:kern w:val="0"/>
          <w:sz w:val="24"/>
          <w:szCs w:val="24"/>
        </w:rPr>
        <w:t>www.essencefund.com</w:t>
      </w:r>
      <w:r>
        <w:rPr>
          <w:rFonts w:ascii="宋体" w:hAnsi="宋体" w:cs="宋体" w:hint="eastAsia"/>
          <w:color w:val="000000"/>
          <w:kern w:val="0"/>
          <w:sz w:val="24"/>
          <w:szCs w:val="24"/>
        </w:rPr>
        <w:t>）查询本基金销售机构信息</w:t>
      </w:r>
      <w:r>
        <w:rPr>
          <w:rFonts w:ascii="宋体" w:hAnsi="宋体" w:cs="宋体" w:hint="eastAsia"/>
          <w:color w:val="000000"/>
          <w:kern w:val="0"/>
          <w:sz w:val="24"/>
          <w:szCs w:val="24"/>
        </w:rPr>
        <w:t>。</w:t>
      </w:r>
    </w:p>
    <w:bookmarkEnd w:id="0"/>
    <w:p w:rsidR="00000000" w:rsidRDefault="00BB6B6D">
      <w:pPr>
        <w:autoSpaceDE w:val="0"/>
        <w:autoSpaceDN w:val="0"/>
        <w:adjustRightInd w:val="0"/>
        <w:spacing w:line="360" w:lineRule="auto"/>
        <w:jc w:val="left"/>
        <w:rPr>
          <w:rFonts w:ascii="宋体" w:hAnsi="宋体" w:cs="宋体" w:hint="eastAsia"/>
          <w:color w:val="000000"/>
          <w:kern w:val="0"/>
          <w:sz w:val="23"/>
          <w:szCs w:val="23"/>
        </w:rPr>
      </w:pPr>
    </w:p>
    <w:p w:rsidR="00000000" w:rsidRDefault="00BB6B6D">
      <w:pPr>
        <w:autoSpaceDE w:val="0"/>
        <w:autoSpaceDN w:val="0"/>
        <w:adjustRightInd w:val="0"/>
        <w:spacing w:before="29" w:line="360" w:lineRule="auto"/>
        <w:ind w:left="15"/>
        <w:jc w:val="left"/>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8 </w:t>
      </w:r>
      <w:r>
        <w:rPr>
          <w:rFonts w:ascii="宋体" w:hAnsi="宋体" w:cs="宋体" w:hint="eastAsia"/>
          <w:b/>
          <w:bCs/>
          <w:color w:val="000000"/>
          <w:kern w:val="0"/>
          <w:sz w:val="24"/>
          <w:szCs w:val="24"/>
        </w:rPr>
        <w:t>基金份</w:t>
      </w:r>
      <w:r>
        <w:rPr>
          <w:rFonts w:ascii="宋体" w:hAnsi="宋体" w:cs="宋体" w:hint="eastAsia"/>
          <w:b/>
          <w:bCs/>
          <w:color w:val="000000"/>
          <w:kern w:val="0"/>
          <w:sz w:val="24"/>
          <w:szCs w:val="24"/>
        </w:rPr>
        <w:t>额净值公告</w:t>
      </w:r>
      <w:r>
        <w:rPr>
          <w:rFonts w:ascii="宋体" w:hAnsi="宋体" w:cs="宋体" w:hint="eastAsia"/>
          <w:b/>
          <w:bCs/>
          <w:color w:val="000000"/>
          <w:kern w:val="0"/>
          <w:sz w:val="24"/>
          <w:szCs w:val="24"/>
        </w:rPr>
        <w:t>/</w:t>
      </w:r>
      <w:r>
        <w:rPr>
          <w:rFonts w:ascii="宋体" w:hAnsi="宋体" w:cs="宋体" w:hint="eastAsia"/>
          <w:b/>
          <w:bCs/>
          <w:color w:val="000000"/>
          <w:kern w:val="0"/>
          <w:sz w:val="24"/>
          <w:szCs w:val="24"/>
        </w:rPr>
        <w:t>基金收益公告的披露安排</w:t>
      </w:r>
    </w:p>
    <w:p w:rsidR="00000000" w:rsidRDefault="00BB6B6D">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在基金开放期内，基金管理人将不晚于每个开放日的次日，通过规定网站、基金销售机构网站或者营业网点披露开放日的各类基金份额净值和各类基金份额累计净值。基金管理人将不晚于半年度和年度最后一日的次日，在规定网站披露半年度和年度最后一日的各类基金份额净值和各类基金份额累计净值。</w:t>
      </w:r>
    </w:p>
    <w:p w:rsidR="00000000" w:rsidRDefault="00BB6B6D">
      <w:pPr>
        <w:autoSpaceDE w:val="0"/>
        <w:autoSpaceDN w:val="0"/>
        <w:adjustRightInd w:val="0"/>
        <w:spacing w:line="360" w:lineRule="auto"/>
        <w:jc w:val="left"/>
        <w:rPr>
          <w:rFonts w:ascii="宋体" w:hAnsi="宋体" w:cs="宋体" w:hint="eastAsia"/>
          <w:b/>
          <w:bCs/>
          <w:color w:val="000000"/>
          <w:kern w:val="0"/>
          <w:sz w:val="24"/>
          <w:szCs w:val="24"/>
        </w:rPr>
      </w:pPr>
    </w:p>
    <w:p w:rsidR="00000000" w:rsidRDefault="00BB6B6D">
      <w:pPr>
        <w:autoSpaceDE w:val="0"/>
        <w:autoSpaceDN w:val="0"/>
        <w:adjustRightInd w:val="0"/>
        <w:spacing w:before="29" w:line="360" w:lineRule="auto"/>
        <w:ind w:left="15"/>
        <w:rPr>
          <w:rFonts w:ascii="宋体" w:hAnsi="宋体" w:cs="宋体" w:hint="eastAsia"/>
          <w:b/>
          <w:bCs/>
          <w:color w:val="000000"/>
          <w:kern w:val="0"/>
          <w:sz w:val="24"/>
          <w:szCs w:val="24"/>
        </w:rPr>
      </w:pPr>
      <w:r>
        <w:rPr>
          <w:rFonts w:ascii="宋体" w:hAnsi="宋体" w:cs="宋体" w:hint="eastAsia"/>
          <w:b/>
          <w:bCs/>
          <w:color w:val="000000"/>
          <w:kern w:val="0"/>
          <w:sz w:val="24"/>
          <w:szCs w:val="24"/>
        </w:rPr>
        <w:t xml:space="preserve">9 </w:t>
      </w:r>
      <w:r>
        <w:rPr>
          <w:rFonts w:ascii="宋体" w:hAnsi="宋体" w:cs="宋体" w:hint="eastAsia"/>
          <w:b/>
          <w:bCs/>
          <w:color w:val="000000"/>
          <w:kern w:val="0"/>
          <w:sz w:val="24"/>
          <w:szCs w:val="24"/>
        </w:rPr>
        <w:t>其他需要提示的事项</w:t>
      </w:r>
    </w:p>
    <w:p w:rsidR="00000000" w:rsidRDefault="00BB6B6D">
      <w:pPr>
        <w:autoSpaceDE w:val="0"/>
        <w:autoSpaceDN w:val="0"/>
        <w:adjustRightInd w:val="0"/>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hint="eastAsia"/>
          <w:sz w:val="24"/>
          <w:szCs w:val="24"/>
        </w:rPr>
        <w:t>、基金管理人可在法律法规允许的情况下，调整上述规定申购金额和赎回份额的数量限制。基金管理人必须在调整实施前依照《</w:t>
      </w:r>
      <w:r>
        <w:rPr>
          <w:rFonts w:ascii="宋体" w:hAnsi="宋体" w:cs="宋体" w:hint="eastAsia"/>
          <w:color w:val="000000"/>
          <w:kern w:val="0"/>
          <w:sz w:val="24"/>
          <w:szCs w:val="24"/>
        </w:rPr>
        <w:t>公开募集证券投资基金信息披露管理办法</w:t>
      </w:r>
      <w:r>
        <w:rPr>
          <w:rFonts w:ascii="宋体" w:hAnsi="宋体" w:cs="宋体" w:hint="eastAsia"/>
          <w:sz w:val="24"/>
          <w:szCs w:val="24"/>
        </w:rPr>
        <w:t>》的有关规定在规定媒介上公告。</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、基金管理人可以在不违反法律法规规定及基金合同约定的情形下根据市场情况制定</w:t>
      </w:r>
      <w:r>
        <w:rPr>
          <w:rFonts w:ascii="宋体" w:hAnsi="宋体" w:cs="宋体" w:hint="eastAsia"/>
          <w:sz w:val="24"/>
          <w:szCs w:val="24"/>
        </w:rPr>
        <w:t>基金促销计划，针对以特定交易方式</w:t>
      </w:r>
      <w:r>
        <w:rPr>
          <w:rFonts w:ascii="宋体" w:hAnsi="宋体" w:cs="宋体" w:hint="eastAsia"/>
          <w:sz w:val="24"/>
          <w:szCs w:val="24"/>
        </w:rPr>
        <w:t>(</w:t>
      </w:r>
      <w:r>
        <w:rPr>
          <w:rFonts w:ascii="宋体" w:hAnsi="宋体" w:cs="宋体" w:hint="eastAsia"/>
          <w:sz w:val="24"/>
          <w:szCs w:val="24"/>
        </w:rPr>
        <w:t>如网上交易、电话交易等</w:t>
      </w:r>
      <w:r>
        <w:rPr>
          <w:rFonts w:ascii="宋体" w:hAnsi="宋体" w:cs="宋体" w:hint="eastAsia"/>
          <w:sz w:val="24"/>
          <w:szCs w:val="24"/>
        </w:rPr>
        <w:t>)</w:t>
      </w:r>
      <w:r>
        <w:rPr>
          <w:rFonts w:ascii="宋体" w:hAnsi="宋体" w:cs="宋体" w:hint="eastAsia"/>
          <w:sz w:val="24"/>
          <w:szCs w:val="24"/>
        </w:rPr>
        <w:t>等进行基金交易的投资人定期或不定期地开展基金促销活动。在基金促销活动期间，按相关监管部门要求履行必要手续后，基金管理人可以适当调低基金申购费率和基金赎回费率，并进行公告。基金管理人可以参加其他销售机构的基金促销活动。在基金促销活动期间，投资者在开展对应基金促销活动的机构办理业务的适用该销售机构的费率，基金管理人可不再另行公告。</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、基金管理人可以在基金合同约定的范围内调整费</w:t>
      </w:r>
      <w:r>
        <w:rPr>
          <w:rFonts w:ascii="宋体" w:hAnsi="宋体" w:cs="宋体" w:hint="eastAsia"/>
          <w:color w:val="000000"/>
          <w:kern w:val="0"/>
          <w:sz w:val="24"/>
          <w:szCs w:val="24"/>
        </w:rPr>
        <w:t>率或收费方式，并最迟应于新的费率或收费方式实施日前依照《公开募集证券投资基金信息披露管理办法》的有关规定在规定媒介上公告。</w:t>
      </w:r>
      <w:r>
        <w:rPr>
          <w:rFonts w:ascii="宋体" w:hAnsi="宋体" w:cs="宋体" w:hint="eastAsia"/>
          <w:color w:val="000000"/>
          <w:kern w:val="0"/>
          <w:sz w:val="24"/>
          <w:szCs w:val="24"/>
        </w:rPr>
        <w:cr/>
      </w: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、本公告仅对安信阿尔法定开混合本次开放期即</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11</w:t>
      </w:r>
      <w:r>
        <w:rPr>
          <w:rFonts w:ascii="宋体" w:hAnsi="宋体" w:cs="宋体" w:hint="eastAsia"/>
          <w:color w:val="000000"/>
          <w:kern w:val="0"/>
          <w:sz w:val="24"/>
          <w:szCs w:val="24"/>
        </w:rPr>
        <w:t>日至</w:t>
      </w:r>
      <w:r>
        <w:rPr>
          <w:rFonts w:ascii="宋体" w:hAnsi="宋体" w:cs="宋体" w:hint="eastAsia"/>
          <w:color w:val="000000"/>
          <w:kern w:val="0"/>
          <w:sz w:val="24"/>
          <w:szCs w:val="24"/>
        </w:rPr>
        <w:t>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19</w:t>
      </w:r>
      <w:r>
        <w:rPr>
          <w:rFonts w:ascii="宋体" w:hAnsi="宋体" w:cs="宋体" w:hint="eastAsia"/>
          <w:color w:val="000000"/>
          <w:kern w:val="0"/>
          <w:sz w:val="24"/>
          <w:szCs w:val="24"/>
        </w:rPr>
        <w:t>日办理其申购、赎回和转换等相关事项予以说明。投资者欲了解本基金的详细情况，请详细阅读</w:t>
      </w:r>
      <w:r>
        <w:rPr>
          <w:rFonts w:ascii="宋体" w:hAnsi="宋体" w:cs="宋体" w:hint="eastAsia"/>
          <w:color w:val="000000"/>
          <w:kern w:val="0"/>
          <w:sz w:val="24"/>
          <w:szCs w:val="24"/>
        </w:rPr>
        <w:t>2017</w:t>
      </w:r>
      <w:r>
        <w:rPr>
          <w:rFonts w:ascii="宋体" w:hAnsi="宋体" w:cs="宋体" w:hint="eastAsia"/>
          <w:color w:val="000000"/>
          <w:kern w:val="0"/>
          <w:sz w:val="24"/>
          <w:szCs w:val="24"/>
        </w:rPr>
        <w:t>年</w:t>
      </w:r>
      <w:r>
        <w:rPr>
          <w:rFonts w:ascii="宋体" w:hAnsi="宋体" w:cs="宋体" w:hint="eastAsia"/>
          <w:color w:val="000000"/>
          <w:kern w:val="0"/>
          <w:sz w:val="24"/>
          <w:szCs w:val="24"/>
        </w:rPr>
        <w:t>10</w:t>
      </w:r>
      <w:r>
        <w:rPr>
          <w:rFonts w:ascii="宋体" w:hAnsi="宋体" w:cs="宋体" w:hint="eastAsia"/>
          <w:color w:val="000000"/>
          <w:kern w:val="0"/>
          <w:sz w:val="24"/>
          <w:szCs w:val="24"/>
        </w:rPr>
        <w:t>月</w:t>
      </w:r>
      <w:r>
        <w:rPr>
          <w:rFonts w:ascii="宋体" w:hAnsi="宋体" w:cs="宋体" w:hint="eastAsia"/>
          <w:color w:val="000000"/>
          <w:kern w:val="0"/>
          <w:sz w:val="24"/>
          <w:szCs w:val="24"/>
        </w:rPr>
        <w:t>28</w:t>
      </w:r>
      <w:r>
        <w:rPr>
          <w:rFonts w:ascii="宋体" w:hAnsi="宋体" w:cs="宋体" w:hint="eastAsia"/>
          <w:color w:val="000000"/>
          <w:kern w:val="0"/>
          <w:sz w:val="24"/>
          <w:szCs w:val="24"/>
        </w:rPr>
        <w:t>日登载于中国证监会基金电子信息披露网站</w:t>
      </w:r>
      <w:r>
        <w:rPr>
          <w:rFonts w:ascii="宋体" w:hAnsi="宋体" w:cs="宋体" w:hint="eastAsia"/>
          <w:color w:val="000000"/>
          <w:kern w:val="0"/>
          <w:sz w:val="24"/>
          <w:szCs w:val="24"/>
        </w:rPr>
        <w:t>(http://eid.csrc.gov.cn/fund)</w:t>
      </w:r>
      <w:r>
        <w:rPr>
          <w:rFonts w:ascii="宋体" w:hAnsi="宋体" w:cs="宋体" w:hint="eastAsia"/>
          <w:color w:val="000000"/>
          <w:kern w:val="0"/>
          <w:sz w:val="24"/>
          <w:szCs w:val="24"/>
        </w:rPr>
        <w:t>和本公司网站</w:t>
      </w:r>
      <w:r>
        <w:rPr>
          <w:rFonts w:ascii="宋体" w:hAnsi="宋体" w:cs="宋体" w:hint="eastAsia"/>
          <w:color w:val="000000"/>
          <w:kern w:val="0"/>
          <w:sz w:val="24"/>
          <w:szCs w:val="24"/>
        </w:rPr>
        <w:t>(www.essencefund.com)</w:t>
      </w:r>
      <w:r>
        <w:rPr>
          <w:rFonts w:ascii="宋体" w:hAnsi="宋体" w:cs="宋体" w:hint="eastAsia"/>
          <w:color w:val="000000"/>
          <w:kern w:val="0"/>
          <w:sz w:val="24"/>
          <w:szCs w:val="24"/>
        </w:rPr>
        <w:t>上的《安信稳健阿尔法定期开放混合型发起式证</w:t>
      </w:r>
      <w:r>
        <w:rPr>
          <w:rFonts w:ascii="宋体" w:hAnsi="宋体" w:cs="宋体" w:hint="eastAsia"/>
          <w:color w:val="000000"/>
          <w:kern w:val="0"/>
          <w:sz w:val="24"/>
          <w:szCs w:val="24"/>
        </w:rPr>
        <w:t>券投资基金基金合同》和《安信稳健阿尔法定期开放混合型发起式证券投资基金招募说明书》等相关资料及其更新。</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、有关本基金开放申购、赎回和转换的具体规定若有变化，本公司将另行公告。</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风险提示：基金管理人承诺以诚实信用、勤勉尽责的原则管理和运用基金资产，但不保证基金一定盈利，也不保证最低收益。基金投资有风险，敬请投资人认真阅读基金的相关法律文件，并选择适合自身风险承受能力的投资品种进行投资。</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安信基金管理有限责任公司客户服务热线：</w:t>
      </w:r>
      <w:r>
        <w:rPr>
          <w:rFonts w:ascii="宋体" w:hAnsi="宋体" w:cs="宋体" w:hint="eastAsia"/>
          <w:color w:val="000000"/>
          <w:kern w:val="0"/>
          <w:sz w:val="24"/>
          <w:szCs w:val="24"/>
        </w:rPr>
        <w:t xml:space="preserve"> 4008-088-088</w:t>
      </w:r>
      <w:r>
        <w:rPr>
          <w:rFonts w:ascii="宋体" w:hAnsi="宋体" w:cs="宋体" w:hint="eastAsia"/>
          <w:color w:val="000000"/>
          <w:kern w:val="0"/>
          <w:sz w:val="24"/>
          <w:szCs w:val="24"/>
        </w:rPr>
        <w:t>，公司网址：</w:t>
      </w:r>
      <w:r>
        <w:rPr>
          <w:rFonts w:ascii="宋体" w:hAnsi="宋体" w:cs="宋体" w:hint="eastAsia"/>
          <w:color w:val="000000"/>
          <w:kern w:val="0"/>
          <w:sz w:val="24"/>
          <w:szCs w:val="24"/>
        </w:rPr>
        <w:t>www.essencefund.com</w:t>
      </w:r>
      <w:r>
        <w:rPr>
          <w:rFonts w:ascii="宋体" w:hAnsi="宋体" w:cs="宋体" w:hint="eastAsia"/>
          <w:color w:val="000000"/>
          <w:kern w:val="0"/>
          <w:sz w:val="24"/>
          <w:szCs w:val="24"/>
        </w:rPr>
        <w:t>。</w:t>
      </w:r>
    </w:p>
    <w:p w:rsidR="00000000" w:rsidRDefault="00BB6B6D">
      <w:pPr>
        <w:autoSpaceDE w:val="0"/>
        <w:autoSpaceDN w:val="0"/>
        <w:adjustRightInd w:val="0"/>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特此</w:t>
      </w:r>
      <w:r>
        <w:rPr>
          <w:rFonts w:ascii="宋体" w:hAnsi="宋体" w:cs="宋体" w:hint="eastAsia"/>
          <w:color w:val="000000"/>
          <w:kern w:val="0"/>
          <w:sz w:val="24"/>
          <w:szCs w:val="24"/>
        </w:rPr>
        <w:t>公告。</w:t>
      </w:r>
    </w:p>
    <w:p w:rsidR="00000000" w:rsidRDefault="00BB6B6D">
      <w:pPr>
        <w:autoSpaceDE w:val="0"/>
        <w:autoSpaceDN w:val="0"/>
        <w:adjustRightInd w:val="0"/>
        <w:spacing w:before="29" w:line="288" w:lineRule="auto"/>
        <w:ind w:left="15"/>
        <w:rPr>
          <w:rFonts w:ascii="宋体" w:hAnsi="宋体" w:cs="宋体" w:hint="eastAsia"/>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安信基金管理有限责任公司</w:t>
      </w:r>
    </w:p>
    <w:p w:rsidR="00000000" w:rsidRDefault="00BB6B6D">
      <w:pPr>
        <w:autoSpaceDE w:val="0"/>
        <w:autoSpaceDN w:val="0"/>
        <w:adjustRightInd w:val="0"/>
        <w:spacing w:before="29" w:line="288" w:lineRule="auto"/>
        <w:ind w:left="15"/>
        <w:rPr>
          <w:rFonts w:ascii="宋体" w:hAnsi="宋体" w:cs="宋体" w:hint="eastAsia"/>
          <w:color w:val="000000"/>
          <w:kern w:val="0"/>
          <w:sz w:val="24"/>
          <w:szCs w:val="24"/>
        </w:rPr>
      </w:pPr>
      <w:r>
        <w:rPr>
          <w:rFonts w:ascii="宋体" w:hAnsi="宋体" w:cs="宋体" w:hint="eastAsia"/>
          <w:color w:val="000000"/>
          <w:kern w:val="0"/>
          <w:sz w:val="24"/>
          <w:szCs w:val="24"/>
        </w:rPr>
        <w:t xml:space="preserve">                                                      202</w:t>
      </w:r>
      <w:r>
        <w:rPr>
          <w:rFonts w:ascii="宋体" w:hAnsi="宋体" w:cs="宋体"/>
          <w:color w:val="000000"/>
          <w:kern w:val="0"/>
          <w:sz w:val="24"/>
          <w:szCs w:val="24"/>
        </w:rPr>
        <w:t>4</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6</w:t>
      </w:r>
      <w:r>
        <w:rPr>
          <w:rFonts w:ascii="宋体" w:hAnsi="宋体" w:cs="宋体" w:hint="eastAsia"/>
          <w:color w:val="000000"/>
          <w:kern w:val="0"/>
          <w:sz w:val="24"/>
          <w:szCs w:val="24"/>
        </w:rPr>
        <w:t>日</w:t>
      </w:r>
    </w:p>
    <w:sectPr w:rsidR="00000000">
      <w:footerReference w:type="default" r:id="rId6"/>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B6B6D">
      <w:r>
        <w:separator/>
      </w:r>
    </w:p>
  </w:endnote>
  <w:endnote w:type="continuationSeparator" w:id="0">
    <w:p w:rsidR="00000000" w:rsidRDefault="00BB6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6B6D">
    <w:pPr>
      <w:pStyle w:val="a5"/>
      <w:jc w:val="center"/>
    </w:pPr>
    <w:r>
      <w:fldChar w:fldCharType="begin"/>
    </w:r>
    <w:r>
      <w:instrText>PAGE   \* MERGEFORMAT</w:instrText>
    </w:r>
    <w:r>
      <w:fldChar w:fldCharType="separate"/>
    </w:r>
    <w:r w:rsidRPr="00BB6B6D">
      <w:rPr>
        <w:noProof/>
        <w:lang w:val="zh-CN"/>
      </w:rPr>
      <w:t>1</w:t>
    </w:r>
    <w:r>
      <w:fldChar w:fldCharType="end"/>
    </w:r>
  </w:p>
  <w:p w:rsidR="00000000" w:rsidRDefault="00BB6B6D">
    <w:pPr>
      <w:autoSpaceDE w:val="0"/>
      <w:autoSpaceDN w:val="0"/>
      <w:adjustRightInd w:val="0"/>
      <w:jc w:val="left"/>
      <w:rPr>
        <w:rFonts w:ascii="Arial" w:hAnsi="Arial" w:cs="Arial"/>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B6B6D">
      <w:r>
        <w:separator/>
      </w:r>
    </w:p>
  </w:footnote>
  <w:footnote w:type="continuationSeparator" w:id="0">
    <w:p w:rsidR="00000000" w:rsidRDefault="00BB6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drawingGridHorizontalSpacing w:val="120"/>
  <w:drawingGridVerticalSpacing w:val="120"/>
  <w:doNotUseMarginsForDrawingGridOrigin/>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Dk4NWQ1NWFiZDJhZGM5YTQ0YzYzNTg3ODE1N2IwMWMifQ=="/>
    <w:docVar w:name="KSO_WPS_MARK_KEY" w:val="49123c49-7acb-4aec-b5a0-343e2c1bb2f7"/>
  </w:docVars>
  <w:rsids>
    <w:rsidRoot w:val="00D429BF"/>
    <w:rsid w:val="000015D4"/>
    <w:rsid w:val="000019A8"/>
    <w:rsid w:val="0001320C"/>
    <w:rsid w:val="00013367"/>
    <w:rsid w:val="000152CA"/>
    <w:rsid w:val="00034036"/>
    <w:rsid w:val="0004395D"/>
    <w:rsid w:val="000452C0"/>
    <w:rsid w:val="00047155"/>
    <w:rsid w:val="000527E0"/>
    <w:rsid w:val="00052D32"/>
    <w:rsid w:val="00061D00"/>
    <w:rsid w:val="0007061A"/>
    <w:rsid w:val="000776AF"/>
    <w:rsid w:val="00082E5F"/>
    <w:rsid w:val="000856E8"/>
    <w:rsid w:val="00086348"/>
    <w:rsid w:val="00091EDD"/>
    <w:rsid w:val="00092228"/>
    <w:rsid w:val="0009248C"/>
    <w:rsid w:val="000A257E"/>
    <w:rsid w:val="000A4FF6"/>
    <w:rsid w:val="000C0A4D"/>
    <w:rsid w:val="000D3C58"/>
    <w:rsid w:val="000D4EA7"/>
    <w:rsid w:val="000D6298"/>
    <w:rsid w:val="000E2A85"/>
    <w:rsid w:val="000F0A2F"/>
    <w:rsid w:val="000F1133"/>
    <w:rsid w:val="000F3B31"/>
    <w:rsid w:val="000F7BFD"/>
    <w:rsid w:val="00105B56"/>
    <w:rsid w:val="001101DA"/>
    <w:rsid w:val="00140942"/>
    <w:rsid w:val="001479B4"/>
    <w:rsid w:val="00147F82"/>
    <w:rsid w:val="00154D7D"/>
    <w:rsid w:val="00155405"/>
    <w:rsid w:val="001629FB"/>
    <w:rsid w:val="00163E3F"/>
    <w:rsid w:val="001665D4"/>
    <w:rsid w:val="001737F7"/>
    <w:rsid w:val="001824D1"/>
    <w:rsid w:val="00192A4D"/>
    <w:rsid w:val="001A40A7"/>
    <w:rsid w:val="001B67D1"/>
    <w:rsid w:val="001B6A04"/>
    <w:rsid w:val="001B6DE9"/>
    <w:rsid w:val="001D4615"/>
    <w:rsid w:val="001E09B7"/>
    <w:rsid w:val="001E0AB1"/>
    <w:rsid w:val="001E6B68"/>
    <w:rsid w:val="00200AF2"/>
    <w:rsid w:val="00203025"/>
    <w:rsid w:val="00206067"/>
    <w:rsid w:val="00212C47"/>
    <w:rsid w:val="00214C96"/>
    <w:rsid w:val="00216256"/>
    <w:rsid w:val="00223D6F"/>
    <w:rsid w:val="0023067D"/>
    <w:rsid w:val="0023184B"/>
    <w:rsid w:val="00251D57"/>
    <w:rsid w:val="00251E68"/>
    <w:rsid w:val="0028167B"/>
    <w:rsid w:val="0028361C"/>
    <w:rsid w:val="002923E6"/>
    <w:rsid w:val="002A2BEE"/>
    <w:rsid w:val="002A7C6E"/>
    <w:rsid w:val="002B6980"/>
    <w:rsid w:val="002C098E"/>
    <w:rsid w:val="002C3F3A"/>
    <w:rsid w:val="002C4DC8"/>
    <w:rsid w:val="002C75B7"/>
    <w:rsid w:val="002F0717"/>
    <w:rsid w:val="003002AA"/>
    <w:rsid w:val="0030330F"/>
    <w:rsid w:val="00303462"/>
    <w:rsid w:val="00320BE6"/>
    <w:rsid w:val="00341118"/>
    <w:rsid w:val="00350FD1"/>
    <w:rsid w:val="003578A9"/>
    <w:rsid w:val="0036531D"/>
    <w:rsid w:val="0037381E"/>
    <w:rsid w:val="003876CA"/>
    <w:rsid w:val="003925D8"/>
    <w:rsid w:val="003A0D3D"/>
    <w:rsid w:val="003A1138"/>
    <w:rsid w:val="003A3B2C"/>
    <w:rsid w:val="003A53BB"/>
    <w:rsid w:val="003A6F57"/>
    <w:rsid w:val="003A7C79"/>
    <w:rsid w:val="003B4BAF"/>
    <w:rsid w:val="003D6C0B"/>
    <w:rsid w:val="003E031E"/>
    <w:rsid w:val="003E0ABC"/>
    <w:rsid w:val="003E4D69"/>
    <w:rsid w:val="003E5A24"/>
    <w:rsid w:val="003E76B4"/>
    <w:rsid w:val="00401BDD"/>
    <w:rsid w:val="00403576"/>
    <w:rsid w:val="00415F06"/>
    <w:rsid w:val="004278B3"/>
    <w:rsid w:val="00432765"/>
    <w:rsid w:val="0043361F"/>
    <w:rsid w:val="004368D2"/>
    <w:rsid w:val="004406C0"/>
    <w:rsid w:val="00440B62"/>
    <w:rsid w:val="00444348"/>
    <w:rsid w:val="0046195C"/>
    <w:rsid w:val="004649C9"/>
    <w:rsid w:val="0046647C"/>
    <w:rsid w:val="00493209"/>
    <w:rsid w:val="004B226F"/>
    <w:rsid w:val="004B59FA"/>
    <w:rsid w:val="004C0145"/>
    <w:rsid w:val="004C2CFD"/>
    <w:rsid w:val="004D76C0"/>
    <w:rsid w:val="004D7B87"/>
    <w:rsid w:val="004E6C86"/>
    <w:rsid w:val="004F745F"/>
    <w:rsid w:val="00507250"/>
    <w:rsid w:val="00511196"/>
    <w:rsid w:val="00512B02"/>
    <w:rsid w:val="005134F9"/>
    <w:rsid w:val="005272D6"/>
    <w:rsid w:val="00540823"/>
    <w:rsid w:val="005438E8"/>
    <w:rsid w:val="00544087"/>
    <w:rsid w:val="00555A74"/>
    <w:rsid w:val="005560B9"/>
    <w:rsid w:val="00557564"/>
    <w:rsid w:val="00574594"/>
    <w:rsid w:val="005745B1"/>
    <w:rsid w:val="00575245"/>
    <w:rsid w:val="00575FD5"/>
    <w:rsid w:val="00577D59"/>
    <w:rsid w:val="005A29C6"/>
    <w:rsid w:val="005A6DB2"/>
    <w:rsid w:val="005B1CBA"/>
    <w:rsid w:val="005B53CE"/>
    <w:rsid w:val="005B5AAB"/>
    <w:rsid w:val="005B7943"/>
    <w:rsid w:val="005C0A26"/>
    <w:rsid w:val="005C3B7B"/>
    <w:rsid w:val="005D0448"/>
    <w:rsid w:val="005E297B"/>
    <w:rsid w:val="005F18FC"/>
    <w:rsid w:val="005F3E04"/>
    <w:rsid w:val="00600ADC"/>
    <w:rsid w:val="00602541"/>
    <w:rsid w:val="0060263F"/>
    <w:rsid w:val="00603049"/>
    <w:rsid w:val="00604E8E"/>
    <w:rsid w:val="00607CBC"/>
    <w:rsid w:val="00610235"/>
    <w:rsid w:val="00610675"/>
    <w:rsid w:val="00615D7A"/>
    <w:rsid w:val="00626809"/>
    <w:rsid w:val="00627B53"/>
    <w:rsid w:val="006372E2"/>
    <w:rsid w:val="006427A5"/>
    <w:rsid w:val="0064625D"/>
    <w:rsid w:val="00651F04"/>
    <w:rsid w:val="006538B5"/>
    <w:rsid w:val="00665827"/>
    <w:rsid w:val="0066728D"/>
    <w:rsid w:val="006779E8"/>
    <w:rsid w:val="00686222"/>
    <w:rsid w:val="006919A4"/>
    <w:rsid w:val="00693F7C"/>
    <w:rsid w:val="0069654E"/>
    <w:rsid w:val="006A2E9C"/>
    <w:rsid w:val="006B2AA6"/>
    <w:rsid w:val="006C3FCC"/>
    <w:rsid w:val="006C533B"/>
    <w:rsid w:val="006C745A"/>
    <w:rsid w:val="006D5497"/>
    <w:rsid w:val="006D7771"/>
    <w:rsid w:val="006E4922"/>
    <w:rsid w:val="006E6850"/>
    <w:rsid w:val="006F5272"/>
    <w:rsid w:val="007001EB"/>
    <w:rsid w:val="00712340"/>
    <w:rsid w:val="007144B5"/>
    <w:rsid w:val="007233C3"/>
    <w:rsid w:val="007336B9"/>
    <w:rsid w:val="0073372B"/>
    <w:rsid w:val="00740133"/>
    <w:rsid w:val="0074698F"/>
    <w:rsid w:val="00747612"/>
    <w:rsid w:val="0075365D"/>
    <w:rsid w:val="0077544D"/>
    <w:rsid w:val="0078267A"/>
    <w:rsid w:val="00794CA2"/>
    <w:rsid w:val="00796B7A"/>
    <w:rsid w:val="00797128"/>
    <w:rsid w:val="007B36E5"/>
    <w:rsid w:val="007B5BCA"/>
    <w:rsid w:val="007B5C6B"/>
    <w:rsid w:val="007C04A3"/>
    <w:rsid w:val="007C242D"/>
    <w:rsid w:val="007C705C"/>
    <w:rsid w:val="007D502F"/>
    <w:rsid w:val="007E1F58"/>
    <w:rsid w:val="007F1E6E"/>
    <w:rsid w:val="007F3023"/>
    <w:rsid w:val="008063DE"/>
    <w:rsid w:val="0081486B"/>
    <w:rsid w:val="0081686E"/>
    <w:rsid w:val="00831674"/>
    <w:rsid w:val="00835929"/>
    <w:rsid w:val="0085170E"/>
    <w:rsid w:val="00856BA1"/>
    <w:rsid w:val="00857387"/>
    <w:rsid w:val="00862462"/>
    <w:rsid w:val="008634DE"/>
    <w:rsid w:val="00865298"/>
    <w:rsid w:val="008719A0"/>
    <w:rsid w:val="00877470"/>
    <w:rsid w:val="008808A1"/>
    <w:rsid w:val="00883C93"/>
    <w:rsid w:val="00886AA1"/>
    <w:rsid w:val="008873C7"/>
    <w:rsid w:val="008959E4"/>
    <w:rsid w:val="00896DC2"/>
    <w:rsid w:val="008B2170"/>
    <w:rsid w:val="008B34B1"/>
    <w:rsid w:val="008C17A7"/>
    <w:rsid w:val="008C448C"/>
    <w:rsid w:val="008D0ED7"/>
    <w:rsid w:val="008D3E79"/>
    <w:rsid w:val="008D7104"/>
    <w:rsid w:val="008D7C87"/>
    <w:rsid w:val="008E57A9"/>
    <w:rsid w:val="009013E4"/>
    <w:rsid w:val="00912030"/>
    <w:rsid w:val="009137C3"/>
    <w:rsid w:val="00916A88"/>
    <w:rsid w:val="00925E2B"/>
    <w:rsid w:val="009265F8"/>
    <w:rsid w:val="009332C8"/>
    <w:rsid w:val="00936BF8"/>
    <w:rsid w:val="009450CF"/>
    <w:rsid w:val="009464B0"/>
    <w:rsid w:val="009555FF"/>
    <w:rsid w:val="00955D5F"/>
    <w:rsid w:val="00956E46"/>
    <w:rsid w:val="00957278"/>
    <w:rsid w:val="0096096E"/>
    <w:rsid w:val="009628AB"/>
    <w:rsid w:val="00964CA7"/>
    <w:rsid w:val="009667C5"/>
    <w:rsid w:val="00984302"/>
    <w:rsid w:val="009851DC"/>
    <w:rsid w:val="009874F1"/>
    <w:rsid w:val="00996DF9"/>
    <w:rsid w:val="00997039"/>
    <w:rsid w:val="009A2440"/>
    <w:rsid w:val="009A6D1B"/>
    <w:rsid w:val="009B1930"/>
    <w:rsid w:val="009C15D9"/>
    <w:rsid w:val="009C21B7"/>
    <w:rsid w:val="009C5116"/>
    <w:rsid w:val="009C5DF1"/>
    <w:rsid w:val="009D3211"/>
    <w:rsid w:val="009D4166"/>
    <w:rsid w:val="009E4057"/>
    <w:rsid w:val="009F17FF"/>
    <w:rsid w:val="00A03AF4"/>
    <w:rsid w:val="00A07641"/>
    <w:rsid w:val="00A11463"/>
    <w:rsid w:val="00A123B5"/>
    <w:rsid w:val="00A24734"/>
    <w:rsid w:val="00A247EE"/>
    <w:rsid w:val="00A41B1D"/>
    <w:rsid w:val="00A5214D"/>
    <w:rsid w:val="00A56496"/>
    <w:rsid w:val="00A56514"/>
    <w:rsid w:val="00A57344"/>
    <w:rsid w:val="00A57CD2"/>
    <w:rsid w:val="00A64F1B"/>
    <w:rsid w:val="00A67B7F"/>
    <w:rsid w:val="00A705FF"/>
    <w:rsid w:val="00A7107E"/>
    <w:rsid w:val="00A7412B"/>
    <w:rsid w:val="00A74E46"/>
    <w:rsid w:val="00A87C92"/>
    <w:rsid w:val="00A94C3C"/>
    <w:rsid w:val="00A96EA8"/>
    <w:rsid w:val="00AA451F"/>
    <w:rsid w:val="00AA633A"/>
    <w:rsid w:val="00AA6757"/>
    <w:rsid w:val="00AB2B1D"/>
    <w:rsid w:val="00AC0A90"/>
    <w:rsid w:val="00AC3396"/>
    <w:rsid w:val="00AC53D4"/>
    <w:rsid w:val="00AC69DE"/>
    <w:rsid w:val="00AD695F"/>
    <w:rsid w:val="00AF0705"/>
    <w:rsid w:val="00AF4D7F"/>
    <w:rsid w:val="00B01B98"/>
    <w:rsid w:val="00B02727"/>
    <w:rsid w:val="00B056FF"/>
    <w:rsid w:val="00B13A9A"/>
    <w:rsid w:val="00B21569"/>
    <w:rsid w:val="00B223C2"/>
    <w:rsid w:val="00B23772"/>
    <w:rsid w:val="00B368A5"/>
    <w:rsid w:val="00B36C71"/>
    <w:rsid w:val="00B45D53"/>
    <w:rsid w:val="00B53F0C"/>
    <w:rsid w:val="00B609F3"/>
    <w:rsid w:val="00B6107B"/>
    <w:rsid w:val="00B669A6"/>
    <w:rsid w:val="00B67042"/>
    <w:rsid w:val="00B74A84"/>
    <w:rsid w:val="00B90943"/>
    <w:rsid w:val="00B9098F"/>
    <w:rsid w:val="00B92C2F"/>
    <w:rsid w:val="00BA35F9"/>
    <w:rsid w:val="00BA61B8"/>
    <w:rsid w:val="00BB20E8"/>
    <w:rsid w:val="00BB4629"/>
    <w:rsid w:val="00BB5FD5"/>
    <w:rsid w:val="00BB6B6D"/>
    <w:rsid w:val="00BB6BA8"/>
    <w:rsid w:val="00BC1850"/>
    <w:rsid w:val="00BC42DC"/>
    <w:rsid w:val="00BC6FAA"/>
    <w:rsid w:val="00BD1B59"/>
    <w:rsid w:val="00BD21CB"/>
    <w:rsid w:val="00BD5B9B"/>
    <w:rsid w:val="00BD7E74"/>
    <w:rsid w:val="00BE454B"/>
    <w:rsid w:val="00BE6F12"/>
    <w:rsid w:val="00BF3C24"/>
    <w:rsid w:val="00C00590"/>
    <w:rsid w:val="00C04004"/>
    <w:rsid w:val="00C05E3F"/>
    <w:rsid w:val="00C20DFB"/>
    <w:rsid w:val="00C2533A"/>
    <w:rsid w:val="00C27AC5"/>
    <w:rsid w:val="00C31F43"/>
    <w:rsid w:val="00C37DDA"/>
    <w:rsid w:val="00C54701"/>
    <w:rsid w:val="00C6683E"/>
    <w:rsid w:val="00C71289"/>
    <w:rsid w:val="00C76979"/>
    <w:rsid w:val="00C97304"/>
    <w:rsid w:val="00CA6D8E"/>
    <w:rsid w:val="00CA7037"/>
    <w:rsid w:val="00CC1895"/>
    <w:rsid w:val="00CC648D"/>
    <w:rsid w:val="00CC78AB"/>
    <w:rsid w:val="00CE34D5"/>
    <w:rsid w:val="00CE7CBB"/>
    <w:rsid w:val="00CF128D"/>
    <w:rsid w:val="00D02F02"/>
    <w:rsid w:val="00D07562"/>
    <w:rsid w:val="00D11406"/>
    <w:rsid w:val="00D23546"/>
    <w:rsid w:val="00D30A71"/>
    <w:rsid w:val="00D32009"/>
    <w:rsid w:val="00D3315B"/>
    <w:rsid w:val="00D429BF"/>
    <w:rsid w:val="00D441A0"/>
    <w:rsid w:val="00D568D3"/>
    <w:rsid w:val="00D5743A"/>
    <w:rsid w:val="00D6012B"/>
    <w:rsid w:val="00D67C44"/>
    <w:rsid w:val="00D73E6A"/>
    <w:rsid w:val="00D74D6C"/>
    <w:rsid w:val="00D94FFF"/>
    <w:rsid w:val="00D97D8F"/>
    <w:rsid w:val="00DA2716"/>
    <w:rsid w:val="00DA2A13"/>
    <w:rsid w:val="00DA35B4"/>
    <w:rsid w:val="00DB54E4"/>
    <w:rsid w:val="00DD3D4A"/>
    <w:rsid w:val="00DD6946"/>
    <w:rsid w:val="00DD7681"/>
    <w:rsid w:val="00DE2C52"/>
    <w:rsid w:val="00DE4524"/>
    <w:rsid w:val="00DF7102"/>
    <w:rsid w:val="00E000FF"/>
    <w:rsid w:val="00E00EB6"/>
    <w:rsid w:val="00E02308"/>
    <w:rsid w:val="00E065B8"/>
    <w:rsid w:val="00E23523"/>
    <w:rsid w:val="00E23799"/>
    <w:rsid w:val="00E241E2"/>
    <w:rsid w:val="00E242DE"/>
    <w:rsid w:val="00E25F5B"/>
    <w:rsid w:val="00E32585"/>
    <w:rsid w:val="00E41460"/>
    <w:rsid w:val="00E41BB4"/>
    <w:rsid w:val="00E47896"/>
    <w:rsid w:val="00E569F4"/>
    <w:rsid w:val="00E641B1"/>
    <w:rsid w:val="00E64513"/>
    <w:rsid w:val="00E65390"/>
    <w:rsid w:val="00E70D82"/>
    <w:rsid w:val="00E76C23"/>
    <w:rsid w:val="00E8039B"/>
    <w:rsid w:val="00E95127"/>
    <w:rsid w:val="00EA2EE7"/>
    <w:rsid w:val="00EA3F93"/>
    <w:rsid w:val="00EA4A27"/>
    <w:rsid w:val="00EA4A43"/>
    <w:rsid w:val="00EA5119"/>
    <w:rsid w:val="00EA6BB4"/>
    <w:rsid w:val="00EC0D50"/>
    <w:rsid w:val="00EC34AC"/>
    <w:rsid w:val="00EC566B"/>
    <w:rsid w:val="00EC575D"/>
    <w:rsid w:val="00EC5E28"/>
    <w:rsid w:val="00ED119B"/>
    <w:rsid w:val="00F21A12"/>
    <w:rsid w:val="00F22704"/>
    <w:rsid w:val="00F31C04"/>
    <w:rsid w:val="00F35A11"/>
    <w:rsid w:val="00F4004C"/>
    <w:rsid w:val="00F464C9"/>
    <w:rsid w:val="00F46CA4"/>
    <w:rsid w:val="00F52B1F"/>
    <w:rsid w:val="00F532B3"/>
    <w:rsid w:val="00F5737B"/>
    <w:rsid w:val="00F62D44"/>
    <w:rsid w:val="00F73E20"/>
    <w:rsid w:val="00F741F6"/>
    <w:rsid w:val="00F8150F"/>
    <w:rsid w:val="00F931E9"/>
    <w:rsid w:val="00F96087"/>
    <w:rsid w:val="00FA2D1C"/>
    <w:rsid w:val="00FA7665"/>
    <w:rsid w:val="00FA7D77"/>
    <w:rsid w:val="00FB28CB"/>
    <w:rsid w:val="00FB3CF9"/>
    <w:rsid w:val="00FC18B8"/>
    <w:rsid w:val="00FC2A3D"/>
    <w:rsid w:val="00FC4132"/>
    <w:rsid w:val="00FC78B7"/>
    <w:rsid w:val="00FD403A"/>
    <w:rsid w:val="00FD5019"/>
    <w:rsid w:val="00FE4299"/>
    <w:rsid w:val="00FF3622"/>
    <w:rsid w:val="02922081"/>
    <w:rsid w:val="065D18C6"/>
    <w:rsid w:val="0A18792D"/>
    <w:rsid w:val="0DAF1FB8"/>
    <w:rsid w:val="0EBB5637"/>
    <w:rsid w:val="149C2469"/>
    <w:rsid w:val="15B80C2F"/>
    <w:rsid w:val="17996047"/>
    <w:rsid w:val="1B164165"/>
    <w:rsid w:val="1C994847"/>
    <w:rsid w:val="248F0F65"/>
    <w:rsid w:val="27974452"/>
    <w:rsid w:val="28EA3FFB"/>
    <w:rsid w:val="2A2B1321"/>
    <w:rsid w:val="2C6F06EB"/>
    <w:rsid w:val="2DB73CAF"/>
    <w:rsid w:val="316A3868"/>
    <w:rsid w:val="338D5CE6"/>
    <w:rsid w:val="380D6E5C"/>
    <w:rsid w:val="398E3BC7"/>
    <w:rsid w:val="3A6E1B2A"/>
    <w:rsid w:val="3A8F19D4"/>
    <w:rsid w:val="3D1203F4"/>
    <w:rsid w:val="3DC07269"/>
    <w:rsid w:val="490E56D5"/>
    <w:rsid w:val="4AAE158C"/>
    <w:rsid w:val="4CAD2B8A"/>
    <w:rsid w:val="51DD69EC"/>
    <w:rsid w:val="52375A7D"/>
    <w:rsid w:val="54356BC4"/>
    <w:rsid w:val="561F48B4"/>
    <w:rsid w:val="58E97AA8"/>
    <w:rsid w:val="5E435830"/>
    <w:rsid w:val="5FB331B4"/>
    <w:rsid w:val="63820068"/>
    <w:rsid w:val="64B04350"/>
    <w:rsid w:val="65D672BE"/>
    <w:rsid w:val="6A640476"/>
    <w:rsid w:val="6CDD66AE"/>
    <w:rsid w:val="6D8E7FAC"/>
    <w:rsid w:val="74BE7CF3"/>
    <w:rsid w:val="74FA7F12"/>
    <w:rsid w:val="758C33E6"/>
    <w:rsid w:val="759F61D8"/>
    <w:rsid w:val="77B12B67"/>
    <w:rsid w:val="78897E83"/>
    <w:rsid w:val="78DF4BA6"/>
    <w:rsid w:val="7DBE5A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rPr>
      <w:kern w:val="0"/>
      <w:sz w:val="20"/>
    </w:rPr>
  </w:style>
  <w:style w:type="character" w:customStyle="1" w:styleId="Char">
    <w:name w:val="批注文字 Char"/>
    <w:link w:val="a3"/>
    <w:uiPriority w:val="99"/>
    <w:semiHidden/>
    <w:rPr>
      <w:rFonts w:cs="Times New Roman"/>
      <w:szCs w:val="22"/>
    </w:rPr>
  </w:style>
  <w:style w:type="paragraph" w:styleId="a4">
    <w:name w:val="Balloon Text"/>
    <w:basedOn w:val="a"/>
    <w:link w:val="Char0"/>
    <w:uiPriority w:val="99"/>
    <w:unhideWhenUsed/>
    <w:rPr>
      <w:kern w:val="0"/>
      <w:sz w:val="18"/>
      <w:szCs w:val="18"/>
    </w:rPr>
  </w:style>
  <w:style w:type="character" w:customStyle="1" w:styleId="Char0">
    <w:name w:val="批注框文本 Char"/>
    <w:link w:val="a4"/>
    <w:uiPriority w:val="99"/>
    <w:semiHidden/>
    <w:rPr>
      <w:rFonts w:cs="Times New Roman"/>
      <w:sz w:val="18"/>
      <w:szCs w:val="18"/>
    </w:rPr>
  </w:style>
  <w:style w:type="paragraph" w:styleId="a5">
    <w:name w:val="footer"/>
    <w:basedOn w:val="a"/>
    <w:link w:val="Char1"/>
    <w:uiPriority w:val="99"/>
    <w:unhideWhenUsed/>
    <w:pPr>
      <w:tabs>
        <w:tab w:val="center" w:pos="4153"/>
        <w:tab w:val="right" w:pos="8306"/>
      </w:tabs>
      <w:snapToGrid w:val="0"/>
      <w:jc w:val="left"/>
    </w:pPr>
    <w:rPr>
      <w:kern w:val="0"/>
      <w:sz w:val="18"/>
      <w:szCs w:val="18"/>
    </w:rPr>
  </w:style>
  <w:style w:type="character" w:customStyle="1" w:styleId="Char1">
    <w:name w:val="页脚 Char"/>
    <w:link w:val="a5"/>
    <w:uiPriority w:val="99"/>
    <w:locked/>
    <w:rPr>
      <w:rFonts w:cs="Times New Roman"/>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6"/>
    <w:uiPriority w:val="99"/>
    <w:locked/>
    <w:rPr>
      <w:rFonts w:cs="Times New Roman"/>
      <w:sz w:val="18"/>
      <w:szCs w:val="18"/>
    </w:rPr>
  </w:style>
  <w:style w:type="paragraph" w:styleId="a7">
    <w:name w:val="Normal (Web)"/>
    <w:basedOn w:val="a"/>
    <w:uiPriority w:val="99"/>
    <w:unhideWhenUsed/>
    <w:qFormat/>
    <w:pPr>
      <w:widowControl/>
      <w:jc w:val="left"/>
    </w:pPr>
    <w:rPr>
      <w:rFonts w:ascii="宋体" w:hAnsi="宋体" w:cs="宋体"/>
      <w:kern w:val="0"/>
      <w:sz w:val="24"/>
      <w:szCs w:val="24"/>
    </w:rPr>
  </w:style>
  <w:style w:type="paragraph" w:styleId="a8">
    <w:name w:val="annotation subject"/>
    <w:basedOn w:val="a3"/>
    <w:next w:val="a3"/>
    <w:link w:val="Char3"/>
    <w:uiPriority w:val="99"/>
    <w:unhideWhenUsed/>
    <w:rPr>
      <w:b/>
      <w:bCs/>
    </w:rPr>
  </w:style>
  <w:style w:type="character" w:customStyle="1" w:styleId="Char3">
    <w:name w:val="批注主题 Char"/>
    <w:link w:val="a8"/>
    <w:uiPriority w:val="99"/>
    <w:semiHidden/>
    <w:rPr>
      <w:rFonts w:cs="Times New Roman"/>
      <w:b/>
      <w:bCs/>
      <w:szCs w:val="22"/>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unhideWhenUsed/>
    <w:rPr>
      <w:sz w:val="21"/>
      <w:szCs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styleId="ab">
    <w:name w:val="Revision"/>
    <w:uiPriority w:val="99"/>
    <w:unhideWhenUsed/>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7080</Characters>
  <Application>Microsoft Office Word</Application>
  <DocSecurity>4</DocSecurity>
  <Lines>59</Lines>
  <Paragraphs>16</Paragraphs>
  <ScaleCrop>false</ScaleCrop>
  <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 http://www.fast-report.com</dc:creator>
  <cp:keywords/>
  <cp:lastModifiedBy>ZHONGM</cp:lastModifiedBy>
  <cp:revision>2</cp:revision>
  <cp:lastPrinted>2022-05-31T08:41:00Z</cp:lastPrinted>
  <dcterms:created xsi:type="dcterms:W3CDTF">2024-09-05T16:01:00Z</dcterms:created>
  <dcterms:modified xsi:type="dcterms:W3CDTF">2024-09-05T16:01:00Z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EDE9ACFB59A643549E56863695E0967E</vt:lpwstr>
  </property>
</Properties>
</file>