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DCF" w:rsidRDefault="00127D6E">
      <w:pPr>
        <w:spacing w:line="500" w:lineRule="exact"/>
        <w:jc w:val="center"/>
        <w:rPr>
          <w:rFonts w:ascii="黑体" w:eastAsia="黑体" w:hAnsi="黑体"/>
          <w:bCs/>
          <w:color w:val="1E1E1E"/>
          <w:sz w:val="30"/>
          <w:szCs w:val="30"/>
        </w:rPr>
      </w:pPr>
      <w:r>
        <w:rPr>
          <w:rFonts w:ascii="黑体" w:eastAsia="黑体" w:hAnsi="黑体" w:hint="eastAsia"/>
          <w:bCs/>
          <w:color w:val="1E1E1E"/>
          <w:sz w:val="30"/>
          <w:szCs w:val="30"/>
        </w:rPr>
        <w:t>申万菱信基金管理有限公司</w:t>
      </w:r>
    </w:p>
    <w:p w:rsidR="003D2DCF" w:rsidRDefault="00127D6E">
      <w:pPr>
        <w:spacing w:line="500" w:lineRule="exact"/>
        <w:jc w:val="center"/>
        <w:rPr>
          <w:rFonts w:ascii="黑体" w:eastAsia="黑体" w:hAnsi="黑体"/>
          <w:bCs/>
          <w:color w:val="1E1E1E"/>
          <w:sz w:val="30"/>
          <w:szCs w:val="30"/>
        </w:rPr>
      </w:pPr>
      <w:r>
        <w:rPr>
          <w:rFonts w:ascii="黑体" w:eastAsia="黑体" w:hAnsi="黑体" w:hint="eastAsia"/>
          <w:bCs/>
          <w:color w:val="1E1E1E"/>
          <w:sz w:val="30"/>
          <w:szCs w:val="30"/>
        </w:rPr>
        <w:t>旗下部分基金202</w:t>
      </w:r>
      <w:r w:rsidR="00C03E01">
        <w:rPr>
          <w:rFonts w:ascii="黑体" w:eastAsia="黑体" w:hAnsi="黑体"/>
          <w:bCs/>
          <w:color w:val="1E1E1E"/>
          <w:sz w:val="30"/>
          <w:szCs w:val="30"/>
        </w:rPr>
        <w:t>4</w:t>
      </w:r>
      <w:r>
        <w:rPr>
          <w:rFonts w:ascii="黑体" w:eastAsia="黑体" w:hAnsi="黑体" w:hint="eastAsia"/>
          <w:bCs/>
          <w:color w:val="1E1E1E"/>
          <w:sz w:val="30"/>
          <w:szCs w:val="30"/>
        </w:rPr>
        <w:t>年</w:t>
      </w:r>
      <w:r w:rsidR="0043029C">
        <w:rPr>
          <w:rFonts w:ascii="黑体" w:eastAsia="黑体" w:hAnsi="黑体" w:hint="eastAsia"/>
          <w:bCs/>
          <w:color w:val="1E1E1E"/>
          <w:sz w:val="30"/>
          <w:szCs w:val="30"/>
        </w:rPr>
        <w:t>中期</w:t>
      </w:r>
      <w:r>
        <w:rPr>
          <w:rFonts w:ascii="黑体" w:eastAsia="黑体" w:hAnsi="黑体" w:hint="eastAsia"/>
          <w:bCs/>
          <w:color w:val="1E1E1E"/>
          <w:sz w:val="30"/>
          <w:szCs w:val="30"/>
        </w:rPr>
        <w:t>报告提示性公告</w:t>
      </w:r>
    </w:p>
    <w:p w:rsidR="003D2DCF" w:rsidRDefault="00127D6E">
      <w:pPr>
        <w:spacing w:line="500" w:lineRule="exact"/>
        <w:ind w:firstLineChars="200" w:firstLine="480"/>
        <w:rPr>
          <w:bCs/>
          <w:color w:val="1E1E1E"/>
          <w:sz w:val="24"/>
          <w:szCs w:val="24"/>
        </w:rPr>
      </w:pPr>
      <w:r>
        <w:rPr>
          <w:rFonts w:hint="eastAsia"/>
          <w:bCs/>
          <w:color w:val="1E1E1E"/>
          <w:sz w:val="24"/>
          <w:szCs w:val="24"/>
        </w:rPr>
        <w:t>申万菱信基金管理有限公司（以下简称“本公司”）董事会及董事保证基金</w:t>
      </w:r>
      <w:r w:rsidR="0043029C">
        <w:rPr>
          <w:rFonts w:hint="eastAsia"/>
          <w:bCs/>
          <w:color w:val="1E1E1E"/>
          <w:sz w:val="24"/>
          <w:szCs w:val="24"/>
        </w:rPr>
        <w:t>中期</w:t>
      </w:r>
      <w:r>
        <w:rPr>
          <w:rFonts w:hint="eastAsia"/>
          <w:bCs/>
          <w:color w:val="1E1E1E"/>
          <w:sz w:val="24"/>
          <w:szCs w:val="24"/>
        </w:rPr>
        <w:t>报告所载资料不存在虚假记载、误导性陈述或重大遗漏，并对其内容的真实性、准确性和完整性承担个别及连带责任。</w:t>
      </w:r>
    </w:p>
    <w:p w:rsidR="003D2DCF" w:rsidRDefault="00127D6E">
      <w:pPr>
        <w:spacing w:line="500" w:lineRule="exact"/>
        <w:ind w:firstLineChars="200" w:firstLine="480"/>
        <w:rPr>
          <w:rFonts w:ascii="宋体" w:eastAsia="宋体" w:hAnsi="宋体" w:cs="宋体"/>
          <w:bCs/>
          <w:color w:val="1E1E1E"/>
          <w:sz w:val="24"/>
          <w:szCs w:val="24"/>
        </w:rPr>
      </w:pPr>
      <w:r>
        <w:rPr>
          <w:rFonts w:ascii="宋体" w:eastAsia="宋体" w:hAnsi="宋体" w:cs="宋体" w:hint="eastAsia"/>
          <w:bCs/>
          <w:color w:val="1E1E1E"/>
          <w:sz w:val="24"/>
          <w:szCs w:val="24"/>
        </w:rPr>
        <w:t>本公司旗下：</w:t>
      </w:r>
    </w:p>
    <w:tbl>
      <w:tblPr>
        <w:tblW w:w="8290" w:type="dxa"/>
        <w:tblLook w:val="04A0"/>
      </w:tblPr>
      <w:tblGrid>
        <w:gridCol w:w="780"/>
        <w:gridCol w:w="7510"/>
      </w:tblGrid>
      <w:tr w:rsidR="00C677DB" w:rsidRPr="00C677DB" w:rsidTr="00C677DB">
        <w:trPr>
          <w:trHeight w:val="43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7DB" w:rsidRPr="00C677DB" w:rsidRDefault="00C677DB" w:rsidP="00C677DB">
            <w:pPr>
              <w:widowControl/>
              <w:jc w:val="center"/>
              <w:rPr>
                <w:bCs/>
                <w:color w:val="1E1E1E"/>
                <w:sz w:val="24"/>
                <w:szCs w:val="24"/>
              </w:rPr>
            </w:pPr>
            <w:r w:rsidRPr="00C677DB">
              <w:rPr>
                <w:rFonts w:hint="eastAsia"/>
                <w:bCs/>
                <w:color w:val="1E1E1E"/>
                <w:sz w:val="24"/>
                <w:szCs w:val="24"/>
              </w:rPr>
              <w:t>序号</w:t>
            </w:r>
          </w:p>
        </w:tc>
        <w:tc>
          <w:tcPr>
            <w:tcW w:w="7510" w:type="dxa"/>
            <w:tcBorders>
              <w:top w:val="single" w:sz="4" w:space="0" w:color="auto"/>
              <w:left w:val="nil"/>
              <w:bottom w:val="single" w:sz="4" w:space="0" w:color="auto"/>
              <w:right w:val="single" w:sz="4" w:space="0" w:color="auto"/>
            </w:tcBorders>
            <w:shd w:val="clear" w:color="auto" w:fill="auto"/>
            <w:noWrap/>
            <w:vAlign w:val="center"/>
            <w:hideMark/>
          </w:tcPr>
          <w:p w:rsidR="00C677DB" w:rsidRPr="00C677DB" w:rsidRDefault="00C677DB" w:rsidP="00C677DB">
            <w:pPr>
              <w:widowControl/>
              <w:jc w:val="center"/>
              <w:rPr>
                <w:bCs/>
                <w:color w:val="1E1E1E"/>
                <w:sz w:val="24"/>
                <w:szCs w:val="24"/>
              </w:rPr>
            </w:pPr>
            <w:r w:rsidRPr="00C677DB">
              <w:rPr>
                <w:rFonts w:hint="eastAsia"/>
                <w:bCs/>
                <w:color w:val="1E1E1E"/>
                <w:sz w:val="24"/>
                <w:szCs w:val="24"/>
              </w:rPr>
              <w:t>基金名称</w:t>
            </w:r>
          </w:p>
        </w:tc>
      </w:tr>
      <w:tr w:rsidR="00C677DB" w:rsidRPr="00C677DB" w:rsidTr="00C677DB">
        <w:trPr>
          <w:trHeight w:val="43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C677DB" w:rsidRPr="00C677DB" w:rsidRDefault="00C677DB" w:rsidP="00C677DB">
            <w:pPr>
              <w:widowControl/>
              <w:jc w:val="center"/>
              <w:rPr>
                <w:bCs/>
                <w:color w:val="1E1E1E"/>
                <w:sz w:val="24"/>
                <w:szCs w:val="24"/>
              </w:rPr>
            </w:pPr>
            <w:r w:rsidRPr="00C677DB">
              <w:rPr>
                <w:rFonts w:hint="eastAsia"/>
                <w:bCs/>
                <w:color w:val="1E1E1E"/>
                <w:sz w:val="24"/>
                <w:szCs w:val="24"/>
              </w:rPr>
              <w:t>1</w:t>
            </w:r>
          </w:p>
        </w:tc>
        <w:tc>
          <w:tcPr>
            <w:tcW w:w="7510" w:type="dxa"/>
            <w:tcBorders>
              <w:top w:val="nil"/>
              <w:left w:val="nil"/>
              <w:bottom w:val="single" w:sz="4" w:space="0" w:color="auto"/>
              <w:right w:val="single" w:sz="4" w:space="0" w:color="auto"/>
            </w:tcBorders>
            <w:shd w:val="clear" w:color="auto" w:fill="auto"/>
            <w:noWrap/>
            <w:vAlign w:val="center"/>
            <w:hideMark/>
          </w:tcPr>
          <w:p w:rsidR="00C677DB" w:rsidRPr="00C677DB" w:rsidRDefault="0078502D" w:rsidP="00C677DB">
            <w:pPr>
              <w:widowControl/>
              <w:jc w:val="left"/>
              <w:rPr>
                <w:bCs/>
                <w:color w:val="1E1E1E"/>
                <w:sz w:val="24"/>
                <w:szCs w:val="24"/>
              </w:rPr>
            </w:pPr>
            <w:hyperlink r:id="rId6" w:history="1">
              <w:r w:rsidR="00C677DB" w:rsidRPr="00C677DB">
                <w:rPr>
                  <w:rFonts w:hint="eastAsia"/>
                  <w:bCs/>
                  <w:color w:val="1E1E1E"/>
                  <w:sz w:val="24"/>
                  <w:szCs w:val="24"/>
                </w:rPr>
                <w:t>申万菱信安泰鼎利一年定期开放债券型发起式证券投资基金</w:t>
              </w:r>
            </w:hyperlink>
          </w:p>
        </w:tc>
      </w:tr>
      <w:tr w:rsidR="00C677DB" w:rsidRPr="00C677DB" w:rsidTr="00C677DB">
        <w:trPr>
          <w:trHeight w:val="43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C677DB" w:rsidRPr="00C677DB" w:rsidRDefault="00C677DB" w:rsidP="00C677DB">
            <w:pPr>
              <w:widowControl/>
              <w:jc w:val="center"/>
              <w:rPr>
                <w:bCs/>
                <w:color w:val="1E1E1E"/>
                <w:sz w:val="24"/>
                <w:szCs w:val="24"/>
              </w:rPr>
            </w:pPr>
            <w:r w:rsidRPr="00C677DB">
              <w:rPr>
                <w:rFonts w:hint="eastAsia"/>
                <w:bCs/>
                <w:color w:val="1E1E1E"/>
                <w:sz w:val="24"/>
                <w:szCs w:val="24"/>
              </w:rPr>
              <w:t>2</w:t>
            </w:r>
          </w:p>
        </w:tc>
        <w:tc>
          <w:tcPr>
            <w:tcW w:w="7510" w:type="dxa"/>
            <w:tcBorders>
              <w:top w:val="nil"/>
              <w:left w:val="nil"/>
              <w:bottom w:val="single" w:sz="4" w:space="0" w:color="auto"/>
              <w:right w:val="single" w:sz="4" w:space="0" w:color="auto"/>
            </w:tcBorders>
            <w:shd w:val="clear" w:color="auto" w:fill="auto"/>
            <w:noWrap/>
            <w:vAlign w:val="center"/>
            <w:hideMark/>
          </w:tcPr>
          <w:p w:rsidR="00C677DB" w:rsidRPr="00C677DB" w:rsidRDefault="00C677DB" w:rsidP="00C677DB">
            <w:pPr>
              <w:widowControl/>
              <w:jc w:val="left"/>
              <w:rPr>
                <w:bCs/>
                <w:color w:val="1E1E1E"/>
                <w:sz w:val="24"/>
                <w:szCs w:val="24"/>
              </w:rPr>
            </w:pPr>
            <w:r w:rsidRPr="00C677DB">
              <w:rPr>
                <w:rFonts w:hint="eastAsia"/>
                <w:bCs/>
                <w:color w:val="1E1E1E"/>
                <w:sz w:val="24"/>
                <w:szCs w:val="24"/>
              </w:rPr>
              <w:t>申万菱信安泰丰利债券型证券投资基金</w:t>
            </w:r>
          </w:p>
        </w:tc>
      </w:tr>
      <w:tr w:rsidR="00C677DB" w:rsidRPr="00C677DB" w:rsidTr="00C677DB">
        <w:trPr>
          <w:trHeight w:val="43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C677DB" w:rsidRPr="00C677DB" w:rsidRDefault="00C677DB" w:rsidP="00C677DB">
            <w:pPr>
              <w:widowControl/>
              <w:jc w:val="center"/>
              <w:rPr>
                <w:bCs/>
                <w:color w:val="1E1E1E"/>
                <w:sz w:val="24"/>
                <w:szCs w:val="24"/>
              </w:rPr>
            </w:pPr>
            <w:r w:rsidRPr="00C677DB">
              <w:rPr>
                <w:rFonts w:hint="eastAsia"/>
                <w:bCs/>
                <w:color w:val="1E1E1E"/>
                <w:sz w:val="24"/>
                <w:szCs w:val="24"/>
              </w:rPr>
              <w:t>3</w:t>
            </w:r>
          </w:p>
        </w:tc>
        <w:tc>
          <w:tcPr>
            <w:tcW w:w="7510" w:type="dxa"/>
            <w:tcBorders>
              <w:top w:val="nil"/>
              <w:left w:val="nil"/>
              <w:bottom w:val="single" w:sz="4" w:space="0" w:color="auto"/>
              <w:right w:val="single" w:sz="4" w:space="0" w:color="auto"/>
            </w:tcBorders>
            <w:shd w:val="clear" w:color="auto" w:fill="auto"/>
            <w:noWrap/>
            <w:vAlign w:val="center"/>
            <w:hideMark/>
          </w:tcPr>
          <w:p w:rsidR="00C677DB" w:rsidRPr="00C677DB" w:rsidRDefault="00C677DB" w:rsidP="00C677DB">
            <w:pPr>
              <w:widowControl/>
              <w:jc w:val="left"/>
              <w:rPr>
                <w:bCs/>
                <w:color w:val="1E1E1E"/>
                <w:sz w:val="24"/>
                <w:szCs w:val="24"/>
              </w:rPr>
            </w:pPr>
            <w:r w:rsidRPr="00C677DB">
              <w:rPr>
                <w:rFonts w:hint="eastAsia"/>
                <w:bCs/>
                <w:color w:val="1E1E1E"/>
                <w:sz w:val="24"/>
                <w:szCs w:val="24"/>
              </w:rPr>
              <w:t>申万菱信安泰富利三年定期开放债券型证券投资基金</w:t>
            </w:r>
          </w:p>
        </w:tc>
      </w:tr>
      <w:tr w:rsidR="00C677DB" w:rsidRPr="00C677DB" w:rsidTr="00C677DB">
        <w:trPr>
          <w:trHeight w:val="43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C677DB" w:rsidRPr="00C677DB" w:rsidRDefault="00C677DB" w:rsidP="00C677DB">
            <w:pPr>
              <w:widowControl/>
              <w:jc w:val="center"/>
              <w:rPr>
                <w:bCs/>
                <w:color w:val="1E1E1E"/>
                <w:sz w:val="24"/>
                <w:szCs w:val="24"/>
              </w:rPr>
            </w:pPr>
            <w:r w:rsidRPr="00C677DB">
              <w:rPr>
                <w:rFonts w:hint="eastAsia"/>
                <w:bCs/>
                <w:color w:val="1E1E1E"/>
                <w:sz w:val="24"/>
                <w:szCs w:val="24"/>
              </w:rPr>
              <w:t>4</w:t>
            </w:r>
          </w:p>
        </w:tc>
        <w:tc>
          <w:tcPr>
            <w:tcW w:w="7510" w:type="dxa"/>
            <w:tcBorders>
              <w:top w:val="nil"/>
              <w:left w:val="nil"/>
              <w:bottom w:val="single" w:sz="4" w:space="0" w:color="auto"/>
              <w:right w:val="single" w:sz="4" w:space="0" w:color="auto"/>
            </w:tcBorders>
            <w:shd w:val="clear" w:color="auto" w:fill="auto"/>
            <w:noWrap/>
            <w:vAlign w:val="center"/>
            <w:hideMark/>
          </w:tcPr>
          <w:p w:rsidR="00C677DB" w:rsidRPr="00C677DB" w:rsidRDefault="00C677DB" w:rsidP="00C677DB">
            <w:pPr>
              <w:widowControl/>
              <w:jc w:val="left"/>
              <w:rPr>
                <w:bCs/>
                <w:color w:val="1E1E1E"/>
                <w:sz w:val="24"/>
                <w:szCs w:val="24"/>
              </w:rPr>
            </w:pPr>
            <w:r w:rsidRPr="00C677DB">
              <w:rPr>
                <w:rFonts w:hint="eastAsia"/>
                <w:bCs/>
                <w:color w:val="1E1E1E"/>
                <w:sz w:val="24"/>
                <w:szCs w:val="24"/>
              </w:rPr>
              <w:t>申万菱信安泰广利</w:t>
            </w:r>
            <w:r w:rsidRPr="00C677DB">
              <w:rPr>
                <w:rFonts w:hint="eastAsia"/>
                <w:bCs/>
                <w:color w:val="1E1E1E"/>
                <w:sz w:val="24"/>
                <w:szCs w:val="24"/>
              </w:rPr>
              <w:t>63</w:t>
            </w:r>
            <w:r w:rsidRPr="00C677DB">
              <w:rPr>
                <w:rFonts w:hint="eastAsia"/>
                <w:bCs/>
                <w:color w:val="1E1E1E"/>
                <w:sz w:val="24"/>
                <w:szCs w:val="24"/>
              </w:rPr>
              <w:t>个月定期开放债券型证券投资基金</w:t>
            </w:r>
          </w:p>
        </w:tc>
      </w:tr>
      <w:tr w:rsidR="00C677DB" w:rsidRPr="00C677DB" w:rsidTr="00C677DB">
        <w:trPr>
          <w:trHeight w:val="43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C677DB" w:rsidRPr="00C677DB" w:rsidRDefault="00C677DB" w:rsidP="00C677DB">
            <w:pPr>
              <w:widowControl/>
              <w:jc w:val="center"/>
              <w:rPr>
                <w:bCs/>
                <w:color w:val="1E1E1E"/>
                <w:sz w:val="24"/>
                <w:szCs w:val="24"/>
              </w:rPr>
            </w:pPr>
            <w:r w:rsidRPr="00C677DB">
              <w:rPr>
                <w:rFonts w:hint="eastAsia"/>
                <w:bCs/>
                <w:color w:val="1E1E1E"/>
                <w:sz w:val="24"/>
                <w:szCs w:val="24"/>
              </w:rPr>
              <w:t>5</w:t>
            </w:r>
          </w:p>
        </w:tc>
        <w:tc>
          <w:tcPr>
            <w:tcW w:w="7510" w:type="dxa"/>
            <w:tcBorders>
              <w:top w:val="nil"/>
              <w:left w:val="nil"/>
              <w:bottom w:val="single" w:sz="4" w:space="0" w:color="auto"/>
              <w:right w:val="single" w:sz="4" w:space="0" w:color="auto"/>
            </w:tcBorders>
            <w:shd w:val="clear" w:color="auto" w:fill="auto"/>
            <w:noWrap/>
            <w:vAlign w:val="center"/>
            <w:hideMark/>
          </w:tcPr>
          <w:p w:rsidR="00C677DB" w:rsidRPr="00C677DB" w:rsidRDefault="00C677DB" w:rsidP="00C677DB">
            <w:pPr>
              <w:widowControl/>
              <w:jc w:val="left"/>
              <w:rPr>
                <w:bCs/>
                <w:color w:val="1E1E1E"/>
                <w:sz w:val="24"/>
                <w:szCs w:val="24"/>
              </w:rPr>
            </w:pPr>
            <w:r w:rsidRPr="00C677DB">
              <w:rPr>
                <w:rFonts w:hint="eastAsia"/>
                <w:bCs/>
                <w:color w:val="1E1E1E"/>
                <w:sz w:val="24"/>
                <w:szCs w:val="24"/>
              </w:rPr>
              <w:t>申万菱信安泰惠利纯债债券型证券投资基金</w:t>
            </w:r>
          </w:p>
        </w:tc>
      </w:tr>
      <w:tr w:rsidR="00C677DB" w:rsidRPr="00C677DB" w:rsidTr="00C677DB">
        <w:trPr>
          <w:trHeight w:val="43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C677DB" w:rsidRPr="00C677DB" w:rsidRDefault="00C677DB" w:rsidP="00C677DB">
            <w:pPr>
              <w:widowControl/>
              <w:jc w:val="center"/>
              <w:rPr>
                <w:bCs/>
                <w:color w:val="1E1E1E"/>
                <w:sz w:val="24"/>
                <w:szCs w:val="24"/>
              </w:rPr>
            </w:pPr>
            <w:r w:rsidRPr="00C677DB">
              <w:rPr>
                <w:rFonts w:hint="eastAsia"/>
                <w:bCs/>
                <w:color w:val="1E1E1E"/>
                <w:sz w:val="24"/>
                <w:szCs w:val="24"/>
              </w:rPr>
              <w:t>6</w:t>
            </w:r>
          </w:p>
        </w:tc>
        <w:tc>
          <w:tcPr>
            <w:tcW w:w="7510" w:type="dxa"/>
            <w:tcBorders>
              <w:top w:val="nil"/>
              <w:left w:val="nil"/>
              <w:bottom w:val="single" w:sz="4" w:space="0" w:color="auto"/>
              <w:right w:val="single" w:sz="4" w:space="0" w:color="auto"/>
            </w:tcBorders>
            <w:shd w:val="clear" w:color="auto" w:fill="auto"/>
            <w:noWrap/>
            <w:vAlign w:val="center"/>
            <w:hideMark/>
          </w:tcPr>
          <w:p w:rsidR="00C677DB" w:rsidRPr="00C677DB" w:rsidRDefault="00C677DB" w:rsidP="00C677DB">
            <w:pPr>
              <w:widowControl/>
              <w:jc w:val="left"/>
              <w:rPr>
                <w:bCs/>
                <w:color w:val="1E1E1E"/>
                <w:sz w:val="24"/>
                <w:szCs w:val="24"/>
              </w:rPr>
            </w:pPr>
            <w:r w:rsidRPr="00C677DB">
              <w:rPr>
                <w:rFonts w:hint="eastAsia"/>
                <w:bCs/>
                <w:color w:val="1E1E1E"/>
                <w:sz w:val="24"/>
                <w:szCs w:val="24"/>
              </w:rPr>
              <w:t>申万菱信安泰景利纯债债券型证券投资基金</w:t>
            </w:r>
          </w:p>
        </w:tc>
      </w:tr>
      <w:tr w:rsidR="00C677DB" w:rsidRPr="00C677DB" w:rsidTr="00C677DB">
        <w:trPr>
          <w:trHeight w:val="43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C677DB" w:rsidRPr="00C677DB" w:rsidRDefault="00C677DB" w:rsidP="00C677DB">
            <w:pPr>
              <w:widowControl/>
              <w:jc w:val="center"/>
              <w:rPr>
                <w:bCs/>
                <w:color w:val="1E1E1E"/>
                <w:sz w:val="24"/>
                <w:szCs w:val="24"/>
              </w:rPr>
            </w:pPr>
            <w:r w:rsidRPr="00C677DB">
              <w:rPr>
                <w:rFonts w:hint="eastAsia"/>
                <w:bCs/>
                <w:color w:val="1E1E1E"/>
                <w:sz w:val="24"/>
                <w:szCs w:val="24"/>
              </w:rPr>
              <w:t>7</w:t>
            </w:r>
          </w:p>
        </w:tc>
        <w:tc>
          <w:tcPr>
            <w:tcW w:w="7510" w:type="dxa"/>
            <w:tcBorders>
              <w:top w:val="nil"/>
              <w:left w:val="nil"/>
              <w:bottom w:val="single" w:sz="4" w:space="0" w:color="auto"/>
              <w:right w:val="single" w:sz="4" w:space="0" w:color="auto"/>
            </w:tcBorders>
            <w:shd w:val="clear" w:color="auto" w:fill="auto"/>
            <w:noWrap/>
            <w:vAlign w:val="center"/>
            <w:hideMark/>
          </w:tcPr>
          <w:p w:rsidR="00C677DB" w:rsidRPr="00C677DB" w:rsidRDefault="00C677DB" w:rsidP="00C677DB">
            <w:pPr>
              <w:widowControl/>
              <w:jc w:val="left"/>
              <w:rPr>
                <w:bCs/>
                <w:color w:val="1E1E1E"/>
                <w:sz w:val="24"/>
                <w:szCs w:val="24"/>
              </w:rPr>
            </w:pPr>
            <w:r w:rsidRPr="00C677DB">
              <w:rPr>
                <w:rFonts w:hint="eastAsia"/>
                <w:bCs/>
                <w:color w:val="1E1E1E"/>
                <w:sz w:val="24"/>
                <w:szCs w:val="24"/>
              </w:rPr>
              <w:t>申万菱信安泰瑞利中短债债券型证券投资基金</w:t>
            </w:r>
          </w:p>
        </w:tc>
      </w:tr>
      <w:tr w:rsidR="00C677DB" w:rsidRPr="00C677DB" w:rsidTr="00C677DB">
        <w:trPr>
          <w:trHeight w:val="43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C677DB" w:rsidRPr="00C677DB" w:rsidRDefault="00C677DB" w:rsidP="00C677DB">
            <w:pPr>
              <w:widowControl/>
              <w:jc w:val="center"/>
              <w:rPr>
                <w:bCs/>
                <w:color w:val="1E1E1E"/>
                <w:sz w:val="24"/>
                <w:szCs w:val="24"/>
              </w:rPr>
            </w:pPr>
            <w:r w:rsidRPr="00C677DB">
              <w:rPr>
                <w:rFonts w:hint="eastAsia"/>
                <w:bCs/>
                <w:color w:val="1E1E1E"/>
                <w:sz w:val="24"/>
                <w:szCs w:val="24"/>
              </w:rPr>
              <w:t>8</w:t>
            </w:r>
          </w:p>
        </w:tc>
        <w:tc>
          <w:tcPr>
            <w:tcW w:w="7510" w:type="dxa"/>
            <w:tcBorders>
              <w:top w:val="nil"/>
              <w:left w:val="nil"/>
              <w:bottom w:val="single" w:sz="4" w:space="0" w:color="auto"/>
              <w:right w:val="single" w:sz="4" w:space="0" w:color="auto"/>
            </w:tcBorders>
            <w:shd w:val="clear" w:color="auto" w:fill="auto"/>
            <w:noWrap/>
            <w:vAlign w:val="center"/>
            <w:hideMark/>
          </w:tcPr>
          <w:p w:rsidR="00C677DB" w:rsidRPr="00C677DB" w:rsidRDefault="00C677DB" w:rsidP="00C677DB">
            <w:pPr>
              <w:widowControl/>
              <w:jc w:val="left"/>
              <w:rPr>
                <w:bCs/>
                <w:color w:val="1E1E1E"/>
                <w:sz w:val="24"/>
                <w:szCs w:val="24"/>
              </w:rPr>
            </w:pPr>
            <w:r w:rsidRPr="00C677DB">
              <w:rPr>
                <w:rFonts w:hint="eastAsia"/>
                <w:bCs/>
                <w:color w:val="1E1E1E"/>
                <w:sz w:val="24"/>
                <w:szCs w:val="24"/>
              </w:rPr>
              <w:t>申万菱信安泰稳利纯债一年定期开放债券型发起式证券投资基金</w:t>
            </w:r>
          </w:p>
        </w:tc>
      </w:tr>
      <w:tr w:rsidR="00C677DB" w:rsidRPr="00C677DB" w:rsidTr="00C677DB">
        <w:trPr>
          <w:trHeight w:val="43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C677DB" w:rsidRPr="00C677DB" w:rsidRDefault="00C677DB" w:rsidP="00C677DB">
            <w:pPr>
              <w:widowControl/>
              <w:jc w:val="center"/>
              <w:rPr>
                <w:bCs/>
                <w:color w:val="1E1E1E"/>
                <w:sz w:val="24"/>
                <w:szCs w:val="24"/>
              </w:rPr>
            </w:pPr>
            <w:r w:rsidRPr="00C677DB">
              <w:rPr>
                <w:rFonts w:hint="eastAsia"/>
                <w:bCs/>
                <w:color w:val="1E1E1E"/>
                <w:sz w:val="24"/>
                <w:szCs w:val="24"/>
              </w:rPr>
              <w:t>9</w:t>
            </w:r>
          </w:p>
        </w:tc>
        <w:tc>
          <w:tcPr>
            <w:tcW w:w="7510" w:type="dxa"/>
            <w:tcBorders>
              <w:top w:val="nil"/>
              <w:left w:val="nil"/>
              <w:bottom w:val="single" w:sz="4" w:space="0" w:color="auto"/>
              <w:right w:val="single" w:sz="4" w:space="0" w:color="auto"/>
            </w:tcBorders>
            <w:shd w:val="clear" w:color="auto" w:fill="auto"/>
            <w:noWrap/>
            <w:vAlign w:val="center"/>
            <w:hideMark/>
          </w:tcPr>
          <w:p w:rsidR="00C677DB" w:rsidRPr="00C677DB" w:rsidRDefault="00C677DB" w:rsidP="00C677DB">
            <w:pPr>
              <w:widowControl/>
              <w:jc w:val="left"/>
              <w:rPr>
                <w:bCs/>
                <w:color w:val="1E1E1E"/>
                <w:sz w:val="24"/>
                <w:szCs w:val="24"/>
              </w:rPr>
            </w:pPr>
            <w:r w:rsidRPr="00C677DB">
              <w:rPr>
                <w:rFonts w:hint="eastAsia"/>
                <w:bCs/>
                <w:color w:val="1E1E1E"/>
                <w:sz w:val="24"/>
                <w:szCs w:val="24"/>
              </w:rPr>
              <w:t>申万菱信安泰鑫利纯债一年定期开放债券型发起式证券投资基金</w:t>
            </w:r>
          </w:p>
        </w:tc>
      </w:tr>
      <w:tr w:rsidR="00C677DB" w:rsidRPr="00C677DB" w:rsidTr="00C677DB">
        <w:trPr>
          <w:trHeight w:val="43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C677DB" w:rsidRPr="00C677DB" w:rsidRDefault="00C677DB" w:rsidP="00C677DB">
            <w:pPr>
              <w:widowControl/>
              <w:jc w:val="center"/>
              <w:rPr>
                <w:bCs/>
                <w:color w:val="1E1E1E"/>
                <w:sz w:val="24"/>
                <w:szCs w:val="24"/>
              </w:rPr>
            </w:pPr>
            <w:r w:rsidRPr="00C677DB">
              <w:rPr>
                <w:rFonts w:hint="eastAsia"/>
                <w:bCs/>
                <w:color w:val="1E1E1E"/>
                <w:sz w:val="24"/>
                <w:szCs w:val="24"/>
              </w:rPr>
              <w:t>10</w:t>
            </w:r>
          </w:p>
        </w:tc>
        <w:tc>
          <w:tcPr>
            <w:tcW w:w="7510" w:type="dxa"/>
            <w:tcBorders>
              <w:top w:val="nil"/>
              <w:left w:val="nil"/>
              <w:bottom w:val="single" w:sz="4" w:space="0" w:color="auto"/>
              <w:right w:val="single" w:sz="4" w:space="0" w:color="auto"/>
            </w:tcBorders>
            <w:shd w:val="clear" w:color="auto" w:fill="auto"/>
            <w:noWrap/>
            <w:vAlign w:val="center"/>
            <w:hideMark/>
          </w:tcPr>
          <w:p w:rsidR="00C677DB" w:rsidRPr="00C677DB" w:rsidRDefault="00C677DB" w:rsidP="00C677DB">
            <w:pPr>
              <w:widowControl/>
              <w:jc w:val="left"/>
              <w:rPr>
                <w:bCs/>
                <w:color w:val="1E1E1E"/>
                <w:sz w:val="24"/>
                <w:szCs w:val="24"/>
              </w:rPr>
            </w:pPr>
            <w:r w:rsidRPr="00C677DB">
              <w:rPr>
                <w:rFonts w:hint="eastAsia"/>
                <w:bCs/>
                <w:color w:val="1E1E1E"/>
                <w:sz w:val="24"/>
                <w:szCs w:val="24"/>
              </w:rPr>
              <w:t>申万菱信安泰永利利率债一年定期开放债券型发起式证券投资基金</w:t>
            </w:r>
          </w:p>
        </w:tc>
      </w:tr>
      <w:tr w:rsidR="00C677DB" w:rsidRPr="00C677DB" w:rsidTr="00C677DB">
        <w:trPr>
          <w:trHeight w:val="43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C677DB" w:rsidRPr="00C677DB" w:rsidRDefault="00C677DB" w:rsidP="00C677DB">
            <w:pPr>
              <w:widowControl/>
              <w:jc w:val="center"/>
              <w:rPr>
                <w:bCs/>
                <w:color w:val="1E1E1E"/>
                <w:sz w:val="24"/>
                <w:szCs w:val="24"/>
              </w:rPr>
            </w:pPr>
            <w:r w:rsidRPr="00C677DB">
              <w:rPr>
                <w:rFonts w:hint="eastAsia"/>
                <w:bCs/>
                <w:color w:val="1E1E1E"/>
                <w:sz w:val="24"/>
                <w:szCs w:val="24"/>
              </w:rPr>
              <w:t>11</w:t>
            </w:r>
          </w:p>
        </w:tc>
        <w:tc>
          <w:tcPr>
            <w:tcW w:w="7510" w:type="dxa"/>
            <w:tcBorders>
              <w:top w:val="nil"/>
              <w:left w:val="nil"/>
              <w:bottom w:val="single" w:sz="4" w:space="0" w:color="auto"/>
              <w:right w:val="single" w:sz="4" w:space="0" w:color="auto"/>
            </w:tcBorders>
            <w:shd w:val="clear" w:color="auto" w:fill="auto"/>
            <w:noWrap/>
            <w:vAlign w:val="center"/>
            <w:hideMark/>
          </w:tcPr>
          <w:p w:rsidR="00C677DB" w:rsidRPr="00C677DB" w:rsidRDefault="00C677DB" w:rsidP="00C677DB">
            <w:pPr>
              <w:widowControl/>
              <w:jc w:val="left"/>
              <w:rPr>
                <w:bCs/>
                <w:color w:val="1E1E1E"/>
                <w:sz w:val="24"/>
                <w:szCs w:val="24"/>
              </w:rPr>
            </w:pPr>
            <w:r w:rsidRPr="00C677DB">
              <w:rPr>
                <w:rFonts w:hint="eastAsia"/>
                <w:bCs/>
                <w:color w:val="1E1E1E"/>
                <w:sz w:val="24"/>
                <w:szCs w:val="24"/>
              </w:rPr>
              <w:t>申万菱信安泰裕利纯债债券型证券投资基金</w:t>
            </w:r>
          </w:p>
        </w:tc>
      </w:tr>
      <w:tr w:rsidR="00C677DB" w:rsidRPr="00C677DB" w:rsidTr="00C677DB">
        <w:trPr>
          <w:trHeight w:val="43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C677DB" w:rsidRPr="00C677DB" w:rsidRDefault="00C677DB" w:rsidP="00C677DB">
            <w:pPr>
              <w:widowControl/>
              <w:jc w:val="center"/>
              <w:rPr>
                <w:bCs/>
                <w:color w:val="1E1E1E"/>
                <w:sz w:val="24"/>
                <w:szCs w:val="24"/>
              </w:rPr>
            </w:pPr>
            <w:r w:rsidRPr="00C677DB">
              <w:rPr>
                <w:rFonts w:hint="eastAsia"/>
                <w:bCs/>
                <w:color w:val="1E1E1E"/>
                <w:sz w:val="24"/>
                <w:szCs w:val="24"/>
              </w:rPr>
              <w:t>12</w:t>
            </w:r>
          </w:p>
        </w:tc>
        <w:tc>
          <w:tcPr>
            <w:tcW w:w="7510" w:type="dxa"/>
            <w:tcBorders>
              <w:top w:val="nil"/>
              <w:left w:val="nil"/>
              <w:bottom w:val="single" w:sz="4" w:space="0" w:color="auto"/>
              <w:right w:val="single" w:sz="4" w:space="0" w:color="auto"/>
            </w:tcBorders>
            <w:shd w:val="clear" w:color="auto" w:fill="auto"/>
            <w:noWrap/>
            <w:vAlign w:val="center"/>
            <w:hideMark/>
          </w:tcPr>
          <w:p w:rsidR="00C677DB" w:rsidRPr="00C677DB" w:rsidRDefault="00C677DB" w:rsidP="00C677DB">
            <w:pPr>
              <w:widowControl/>
              <w:jc w:val="left"/>
              <w:rPr>
                <w:bCs/>
                <w:color w:val="1E1E1E"/>
                <w:sz w:val="24"/>
                <w:szCs w:val="24"/>
              </w:rPr>
            </w:pPr>
            <w:r w:rsidRPr="00C677DB">
              <w:rPr>
                <w:rFonts w:hint="eastAsia"/>
                <w:bCs/>
                <w:color w:val="1E1E1E"/>
                <w:sz w:val="24"/>
                <w:szCs w:val="24"/>
              </w:rPr>
              <w:t>申万菱信创业板量化精选股票型证券投资基金</w:t>
            </w:r>
          </w:p>
        </w:tc>
      </w:tr>
      <w:tr w:rsidR="00C677DB" w:rsidRPr="00C677DB" w:rsidTr="00C677DB">
        <w:trPr>
          <w:trHeight w:val="43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C677DB" w:rsidRPr="00C677DB" w:rsidRDefault="00C677DB" w:rsidP="00C677DB">
            <w:pPr>
              <w:widowControl/>
              <w:jc w:val="center"/>
              <w:rPr>
                <w:bCs/>
                <w:color w:val="1E1E1E"/>
                <w:sz w:val="24"/>
                <w:szCs w:val="24"/>
              </w:rPr>
            </w:pPr>
            <w:r w:rsidRPr="00C677DB">
              <w:rPr>
                <w:rFonts w:hint="eastAsia"/>
                <w:bCs/>
                <w:color w:val="1E1E1E"/>
                <w:sz w:val="24"/>
                <w:szCs w:val="24"/>
              </w:rPr>
              <w:t>13</w:t>
            </w:r>
          </w:p>
        </w:tc>
        <w:tc>
          <w:tcPr>
            <w:tcW w:w="7510" w:type="dxa"/>
            <w:tcBorders>
              <w:top w:val="nil"/>
              <w:left w:val="nil"/>
              <w:bottom w:val="single" w:sz="4" w:space="0" w:color="auto"/>
              <w:right w:val="single" w:sz="4" w:space="0" w:color="auto"/>
            </w:tcBorders>
            <w:shd w:val="clear" w:color="auto" w:fill="auto"/>
            <w:noWrap/>
            <w:vAlign w:val="center"/>
            <w:hideMark/>
          </w:tcPr>
          <w:p w:rsidR="00C677DB" w:rsidRPr="00C677DB" w:rsidRDefault="00C677DB" w:rsidP="00C677DB">
            <w:pPr>
              <w:widowControl/>
              <w:jc w:val="left"/>
              <w:rPr>
                <w:bCs/>
                <w:color w:val="1E1E1E"/>
                <w:sz w:val="24"/>
                <w:szCs w:val="24"/>
              </w:rPr>
            </w:pPr>
            <w:r w:rsidRPr="00C677DB">
              <w:rPr>
                <w:rFonts w:hint="eastAsia"/>
                <w:bCs/>
                <w:color w:val="1E1E1E"/>
                <w:sz w:val="24"/>
                <w:szCs w:val="24"/>
              </w:rPr>
              <w:t>申万菱信多策略灵活配置混合型证券投资基金</w:t>
            </w:r>
          </w:p>
        </w:tc>
      </w:tr>
      <w:tr w:rsidR="00C677DB" w:rsidRPr="00C677DB" w:rsidTr="00C677DB">
        <w:trPr>
          <w:trHeight w:val="43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C677DB" w:rsidRPr="00C677DB" w:rsidRDefault="00C677DB" w:rsidP="00C677DB">
            <w:pPr>
              <w:widowControl/>
              <w:jc w:val="center"/>
              <w:rPr>
                <w:bCs/>
                <w:color w:val="1E1E1E"/>
                <w:sz w:val="24"/>
                <w:szCs w:val="24"/>
              </w:rPr>
            </w:pPr>
            <w:r w:rsidRPr="00C677DB">
              <w:rPr>
                <w:rFonts w:hint="eastAsia"/>
                <w:bCs/>
                <w:color w:val="1E1E1E"/>
                <w:sz w:val="24"/>
                <w:szCs w:val="24"/>
              </w:rPr>
              <w:t>14</w:t>
            </w:r>
          </w:p>
        </w:tc>
        <w:tc>
          <w:tcPr>
            <w:tcW w:w="7510" w:type="dxa"/>
            <w:tcBorders>
              <w:top w:val="nil"/>
              <w:left w:val="nil"/>
              <w:bottom w:val="single" w:sz="4" w:space="0" w:color="auto"/>
              <w:right w:val="single" w:sz="4" w:space="0" w:color="auto"/>
            </w:tcBorders>
            <w:shd w:val="clear" w:color="auto" w:fill="auto"/>
            <w:noWrap/>
            <w:vAlign w:val="center"/>
            <w:hideMark/>
          </w:tcPr>
          <w:p w:rsidR="00C677DB" w:rsidRPr="00C677DB" w:rsidRDefault="00C677DB" w:rsidP="00C677DB">
            <w:pPr>
              <w:widowControl/>
              <w:jc w:val="left"/>
              <w:rPr>
                <w:bCs/>
                <w:color w:val="1E1E1E"/>
                <w:sz w:val="24"/>
                <w:szCs w:val="24"/>
              </w:rPr>
            </w:pPr>
            <w:r w:rsidRPr="00C677DB">
              <w:rPr>
                <w:rFonts w:hint="eastAsia"/>
                <w:bCs/>
                <w:color w:val="1E1E1E"/>
                <w:sz w:val="24"/>
                <w:szCs w:val="24"/>
              </w:rPr>
              <w:t>申万菱信国证</w:t>
            </w:r>
            <w:r w:rsidRPr="00C677DB">
              <w:rPr>
                <w:rFonts w:hint="eastAsia"/>
                <w:bCs/>
                <w:color w:val="1E1E1E"/>
                <w:sz w:val="24"/>
                <w:szCs w:val="24"/>
              </w:rPr>
              <w:t>2000</w:t>
            </w:r>
            <w:r w:rsidRPr="00C677DB">
              <w:rPr>
                <w:rFonts w:hint="eastAsia"/>
                <w:bCs/>
                <w:color w:val="1E1E1E"/>
                <w:sz w:val="24"/>
                <w:szCs w:val="24"/>
              </w:rPr>
              <w:t>指数增强型发起式证券投资基金</w:t>
            </w:r>
          </w:p>
        </w:tc>
      </w:tr>
      <w:tr w:rsidR="00C677DB" w:rsidRPr="00C677DB" w:rsidTr="00C677DB">
        <w:trPr>
          <w:trHeight w:val="43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C677DB" w:rsidRPr="00C677DB" w:rsidRDefault="00C677DB" w:rsidP="00C677DB">
            <w:pPr>
              <w:widowControl/>
              <w:jc w:val="center"/>
              <w:rPr>
                <w:bCs/>
                <w:color w:val="1E1E1E"/>
                <w:sz w:val="24"/>
                <w:szCs w:val="24"/>
              </w:rPr>
            </w:pPr>
            <w:r w:rsidRPr="00C677DB">
              <w:rPr>
                <w:rFonts w:hint="eastAsia"/>
                <w:bCs/>
                <w:color w:val="1E1E1E"/>
                <w:sz w:val="24"/>
                <w:szCs w:val="24"/>
              </w:rPr>
              <w:t>15</w:t>
            </w:r>
          </w:p>
        </w:tc>
        <w:tc>
          <w:tcPr>
            <w:tcW w:w="7510" w:type="dxa"/>
            <w:tcBorders>
              <w:top w:val="nil"/>
              <w:left w:val="nil"/>
              <w:bottom w:val="single" w:sz="4" w:space="0" w:color="auto"/>
              <w:right w:val="single" w:sz="4" w:space="0" w:color="auto"/>
            </w:tcBorders>
            <w:shd w:val="clear" w:color="auto" w:fill="auto"/>
            <w:noWrap/>
            <w:vAlign w:val="center"/>
            <w:hideMark/>
          </w:tcPr>
          <w:p w:rsidR="00C677DB" w:rsidRPr="00C677DB" w:rsidRDefault="00C677DB" w:rsidP="00C677DB">
            <w:pPr>
              <w:widowControl/>
              <w:jc w:val="left"/>
              <w:rPr>
                <w:bCs/>
                <w:color w:val="1E1E1E"/>
                <w:sz w:val="24"/>
                <w:szCs w:val="24"/>
              </w:rPr>
            </w:pPr>
            <w:r w:rsidRPr="00C677DB">
              <w:rPr>
                <w:rFonts w:hint="eastAsia"/>
                <w:bCs/>
                <w:color w:val="1E1E1E"/>
                <w:sz w:val="24"/>
                <w:szCs w:val="24"/>
              </w:rPr>
              <w:t>申万菱信合利纯债债券型证券投资基金</w:t>
            </w:r>
          </w:p>
        </w:tc>
      </w:tr>
      <w:tr w:rsidR="00C677DB" w:rsidRPr="00C677DB" w:rsidTr="00C677DB">
        <w:trPr>
          <w:trHeight w:val="43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C677DB" w:rsidRPr="00C677DB" w:rsidRDefault="00C677DB" w:rsidP="00C677DB">
            <w:pPr>
              <w:widowControl/>
              <w:jc w:val="center"/>
              <w:rPr>
                <w:bCs/>
                <w:color w:val="1E1E1E"/>
                <w:sz w:val="24"/>
                <w:szCs w:val="24"/>
              </w:rPr>
            </w:pPr>
            <w:r w:rsidRPr="00C677DB">
              <w:rPr>
                <w:rFonts w:hint="eastAsia"/>
                <w:bCs/>
                <w:color w:val="1E1E1E"/>
                <w:sz w:val="24"/>
                <w:szCs w:val="24"/>
              </w:rPr>
              <w:t>16</w:t>
            </w:r>
          </w:p>
        </w:tc>
        <w:tc>
          <w:tcPr>
            <w:tcW w:w="7510" w:type="dxa"/>
            <w:tcBorders>
              <w:top w:val="nil"/>
              <w:left w:val="nil"/>
              <w:bottom w:val="single" w:sz="4" w:space="0" w:color="auto"/>
              <w:right w:val="single" w:sz="4" w:space="0" w:color="auto"/>
            </w:tcBorders>
            <w:shd w:val="clear" w:color="auto" w:fill="auto"/>
            <w:noWrap/>
            <w:vAlign w:val="center"/>
            <w:hideMark/>
          </w:tcPr>
          <w:p w:rsidR="00C677DB" w:rsidRPr="00C677DB" w:rsidRDefault="00C677DB" w:rsidP="00C677DB">
            <w:pPr>
              <w:widowControl/>
              <w:jc w:val="left"/>
              <w:rPr>
                <w:bCs/>
                <w:color w:val="1E1E1E"/>
                <w:sz w:val="24"/>
                <w:szCs w:val="24"/>
              </w:rPr>
            </w:pPr>
            <w:r w:rsidRPr="00C677DB">
              <w:rPr>
                <w:rFonts w:hint="eastAsia"/>
                <w:bCs/>
                <w:color w:val="1E1E1E"/>
                <w:sz w:val="24"/>
                <w:szCs w:val="24"/>
              </w:rPr>
              <w:t>申万菱信恒利三个月定期开放债券型证券投资基金</w:t>
            </w:r>
          </w:p>
        </w:tc>
      </w:tr>
      <w:tr w:rsidR="00C677DB" w:rsidRPr="00C677DB" w:rsidTr="00C677DB">
        <w:trPr>
          <w:trHeight w:val="43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C677DB" w:rsidRPr="00C677DB" w:rsidRDefault="00C677DB" w:rsidP="00C677DB">
            <w:pPr>
              <w:widowControl/>
              <w:jc w:val="center"/>
              <w:rPr>
                <w:bCs/>
                <w:color w:val="1E1E1E"/>
                <w:sz w:val="24"/>
                <w:szCs w:val="24"/>
              </w:rPr>
            </w:pPr>
            <w:r w:rsidRPr="00C677DB">
              <w:rPr>
                <w:rFonts w:hint="eastAsia"/>
                <w:bCs/>
                <w:color w:val="1E1E1E"/>
                <w:sz w:val="24"/>
                <w:szCs w:val="24"/>
              </w:rPr>
              <w:t>17</w:t>
            </w:r>
          </w:p>
        </w:tc>
        <w:tc>
          <w:tcPr>
            <w:tcW w:w="7510" w:type="dxa"/>
            <w:tcBorders>
              <w:top w:val="nil"/>
              <w:left w:val="nil"/>
              <w:bottom w:val="single" w:sz="4" w:space="0" w:color="auto"/>
              <w:right w:val="single" w:sz="4" w:space="0" w:color="auto"/>
            </w:tcBorders>
            <w:shd w:val="clear" w:color="auto" w:fill="auto"/>
            <w:noWrap/>
            <w:vAlign w:val="center"/>
            <w:hideMark/>
          </w:tcPr>
          <w:p w:rsidR="00C677DB" w:rsidRPr="00C677DB" w:rsidRDefault="00C677DB" w:rsidP="00C677DB">
            <w:pPr>
              <w:widowControl/>
              <w:jc w:val="left"/>
              <w:rPr>
                <w:bCs/>
                <w:color w:val="1E1E1E"/>
                <w:sz w:val="24"/>
                <w:szCs w:val="24"/>
              </w:rPr>
            </w:pPr>
            <w:r w:rsidRPr="00C677DB">
              <w:rPr>
                <w:rFonts w:hint="eastAsia"/>
                <w:bCs/>
                <w:color w:val="1E1E1E"/>
                <w:sz w:val="24"/>
                <w:szCs w:val="24"/>
              </w:rPr>
              <w:t>申万菱信沪深</w:t>
            </w:r>
            <w:r w:rsidRPr="00C677DB">
              <w:rPr>
                <w:rFonts w:hint="eastAsia"/>
                <w:bCs/>
                <w:color w:val="1E1E1E"/>
                <w:sz w:val="24"/>
                <w:szCs w:val="24"/>
              </w:rPr>
              <w:t>300</w:t>
            </w:r>
            <w:r w:rsidRPr="00C677DB">
              <w:rPr>
                <w:rFonts w:hint="eastAsia"/>
                <w:bCs/>
                <w:color w:val="1E1E1E"/>
                <w:sz w:val="24"/>
                <w:szCs w:val="24"/>
              </w:rPr>
              <w:t>价值交易型开放式指数证券投资基金</w:t>
            </w:r>
          </w:p>
        </w:tc>
      </w:tr>
      <w:tr w:rsidR="00C677DB" w:rsidRPr="00C677DB" w:rsidTr="00C677DB">
        <w:trPr>
          <w:trHeight w:val="43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C677DB" w:rsidRPr="00C677DB" w:rsidRDefault="00C677DB" w:rsidP="00C677DB">
            <w:pPr>
              <w:widowControl/>
              <w:jc w:val="center"/>
              <w:rPr>
                <w:bCs/>
                <w:color w:val="1E1E1E"/>
                <w:sz w:val="24"/>
                <w:szCs w:val="24"/>
              </w:rPr>
            </w:pPr>
            <w:r w:rsidRPr="00C677DB">
              <w:rPr>
                <w:rFonts w:hint="eastAsia"/>
                <w:bCs/>
                <w:color w:val="1E1E1E"/>
                <w:sz w:val="24"/>
                <w:szCs w:val="24"/>
              </w:rPr>
              <w:t>18</w:t>
            </w:r>
          </w:p>
        </w:tc>
        <w:tc>
          <w:tcPr>
            <w:tcW w:w="7510" w:type="dxa"/>
            <w:tcBorders>
              <w:top w:val="nil"/>
              <w:left w:val="nil"/>
              <w:bottom w:val="single" w:sz="4" w:space="0" w:color="auto"/>
              <w:right w:val="single" w:sz="4" w:space="0" w:color="auto"/>
            </w:tcBorders>
            <w:shd w:val="clear" w:color="auto" w:fill="auto"/>
            <w:noWrap/>
            <w:vAlign w:val="center"/>
            <w:hideMark/>
          </w:tcPr>
          <w:p w:rsidR="00C677DB" w:rsidRPr="00C677DB" w:rsidRDefault="00C677DB" w:rsidP="00C677DB">
            <w:pPr>
              <w:widowControl/>
              <w:jc w:val="left"/>
              <w:rPr>
                <w:bCs/>
                <w:color w:val="1E1E1E"/>
                <w:sz w:val="24"/>
                <w:szCs w:val="24"/>
              </w:rPr>
            </w:pPr>
            <w:r w:rsidRPr="00C677DB">
              <w:rPr>
                <w:rFonts w:hint="eastAsia"/>
                <w:bCs/>
                <w:color w:val="1E1E1E"/>
                <w:sz w:val="24"/>
                <w:szCs w:val="24"/>
              </w:rPr>
              <w:t>申万菱信沪深</w:t>
            </w:r>
            <w:r w:rsidRPr="00C677DB">
              <w:rPr>
                <w:rFonts w:hint="eastAsia"/>
                <w:bCs/>
                <w:color w:val="1E1E1E"/>
                <w:sz w:val="24"/>
                <w:szCs w:val="24"/>
              </w:rPr>
              <w:t>300</w:t>
            </w:r>
            <w:r w:rsidRPr="00C677DB">
              <w:rPr>
                <w:rFonts w:hint="eastAsia"/>
                <w:bCs/>
                <w:color w:val="1E1E1E"/>
                <w:sz w:val="24"/>
                <w:szCs w:val="24"/>
              </w:rPr>
              <w:t>价值指数证券投资基金</w:t>
            </w:r>
          </w:p>
        </w:tc>
      </w:tr>
      <w:tr w:rsidR="00C677DB" w:rsidRPr="00C677DB" w:rsidTr="00C677DB">
        <w:trPr>
          <w:trHeight w:val="43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C677DB" w:rsidRPr="00C677DB" w:rsidRDefault="00C677DB" w:rsidP="00C677DB">
            <w:pPr>
              <w:widowControl/>
              <w:jc w:val="center"/>
              <w:rPr>
                <w:bCs/>
                <w:color w:val="1E1E1E"/>
                <w:sz w:val="24"/>
                <w:szCs w:val="24"/>
              </w:rPr>
            </w:pPr>
            <w:r w:rsidRPr="00C677DB">
              <w:rPr>
                <w:rFonts w:hint="eastAsia"/>
                <w:bCs/>
                <w:color w:val="1E1E1E"/>
                <w:sz w:val="24"/>
                <w:szCs w:val="24"/>
              </w:rPr>
              <w:t>19</w:t>
            </w:r>
          </w:p>
        </w:tc>
        <w:tc>
          <w:tcPr>
            <w:tcW w:w="7510" w:type="dxa"/>
            <w:tcBorders>
              <w:top w:val="nil"/>
              <w:left w:val="nil"/>
              <w:bottom w:val="single" w:sz="4" w:space="0" w:color="auto"/>
              <w:right w:val="single" w:sz="4" w:space="0" w:color="auto"/>
            </w:tcBorders>
            <w:shd w:val="clear" w:color="auto" w:fill="auto"/>
            <w:noWrap/>
            <w:vAlign w:val="center"/>
            <w:hideMark/>
          </w:tcPr>
          <w:p w:rsidR="00C677DB" w:rsidRPr="00C677DB" w:rsidRDefault="00C677DB" w:rsidP="00C677DB">
            <w:pPr>
              <w:widowControl/>
              <w:jc w:val="left"/>
              <w:rPr>
                <w:bCs/>
                <w:color w:val="1E1E1E"/>
                <w:sz w:val="24"/>
                <w:szCs w:val="24"/>
              </w:rPr>
            </w:pPr>
            <w:r w:rsidRPr="00C677DB">
              <w:rPr>
                <w:rFonts w:hint="eastAsia"/>
                <w:bCs/>
                <w:color w:val="1E1E1E"/>
                <w:sz w:val="24"/>
                <w:szCs w:val="24"/>
              </w:rPr>
              <w:t>申万菱信沪深</w:t>
            </w:r>
            <w:r w:rsidRPr="00C677DB">
              <w:rPr>
                <w:rFonts w:hint="eastAsia"/>
                <w:bCs/>
                <w:color w:val="1E1E1E"/>
                <w:sz w:val="24"/>
                <w:szCs w:val="24"/>
              </w:rPr>
              <w:t>300</w:t>
            </w:r>
            <w:r w:rsidRPr="00C677DB">
              <w:rPr>
                <w:rFonts w:hint="eastAsia"/>
                <w:bCs/>
                <w:color w:val="1E1E1E"/>
                <w:sz w:val="24"/>
                <w:szCs w:val="24"/>
              </w:rPr>
              <w:t>优选指数增强发起式证券投资基金</w:t>
            </w:r>
          </w:p>
        </w:tc>
      </w:tr>
      <w:tr w:rsidR="00C677DB" w:rsidRPr="00C677DB" w:rsidTr="00C677DB">
        <w:trPr>
          <w:trHeight w:val="43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C677DB" w:rsidRPr="00C677DB" w:rsidRDefault="00C677DB" w:rsidP="00C677DB">
            <w:pPr>
              <w:widowControl/>
              <w:jc w:val="center"/>
              <w:rPr>
                <w:bCs/>
                <w:color w:val="1E1E1E"/>
                <w:sz w:val="24"/>
                <w:szCs w:val="24"/>
              </w:rPr>
            </w:pPr>
            <w:r w:rsidRPr="00C677DB">
              <w:rPr>
                <w:rFonts w:hint="eastAsia"/>
                <w:bCs/>
                <w:color w:val="1E1E1E"/>
                <w:sz w:val="24"/>
                <w:szCs w:val="24"/>
              </w:rPr>
              <w:t>20</w:t>
            </w:r>
          </w:p>
        </w:tc>
        <w:tc>
          <w:tcPr>
            <w:tcW w:w="7510" w:type="dxa"/>
            <w:tcBorders>
              <w:top w:val="nil"/>
              <w:left w:val="nil"/>
              <w:bottom w:val="single" w:sz="4" w:space="0" w:color="auto"/>
              <w:right w:val="single" w:sz="4" w:space="0" w:color="auto"/>
            </w:tcBorders>
            <w:shd w:val="clear" w:color="auto" w:fill="auto"/>
            <w:noWrap/>
            <w:vAlign w:val="center"/>
            <w:hideMark/>
          </w:tcPr>
          <w:p w:rsidR="00C677DB" w:rsidRPr="00C677DB" w:rsidRDefault="00C677DB" w:rsidP="00C677DB">
            <w:pPr>
              <w:widowControl/>
              <w:jc w:val="left"/>
              <w:rPr>
                <w:bCs/>
                <w:color w:val="1E1E1E"/>
                <w:sz w:val="24"/>
                <w:szCs w:val="24"/>
              </w:rPr>
            </w:pPr>
            <w:r w:rsidRPr="00C677DB">
              <w:rPr>
                <w:rFonts w:hint="eastAsia"/>
                <w:bCs/>
                <w:color w:val="1E1E1E"/>
                <w:sz w:val="24"/>
                <w:szCs w:val="24"/>
              </w:rPr>
              <w:t>申万菱信沪深</w:t>
            </w:r>
            <w:r w:rsidRPr="00C677DB">
              <w:rPr>
                <w:rFonts w:hint="eastAsia"/>
                <w:bCs/>
                <w:color w:val="1E1E1E"/>
                <w:sz w:val="24"/>
                <w:szCs w:val="24"/>
              </w:rPr>
              <w:t>300</w:t>
            </w:r>
            <w:r w:rsidRPr="00C677DB">
              <w:rPr>
                <w:rFonts w:hint="eastAsia"/>
                <w:bCs/>
                <w:color w:val="1E1E1E"/>
                <w:sz w:val="24"/>
                <w:szCs w:val="24"/>
              </w:rPr>
              <w:t>指数增强型证券投资基金</w:t>
            </w:r>
          </w:p>
        </w:tc>
      </w:tr>
      <w:tr w:rsidR="00C677DB" w:rsidRPr="00C677DB" w:rsidTr="00C677DB">
        <w:trPr>
          <w:trHeight w:val="43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C677DB" w:rsidRPr="00C677DB" w:rsidRDefault="00C677DB" w:rsidP="00C677DB">
            <w:pPr>
              <w:widowControl/>
              <w:jc w:val="center"/>
              <w:rPr>
                <w:bCs/>
                <w:color w:val="1E1E1E"/>
                <w:sz w:val="24"/>
                <w:szCs w:val="24"/>
              </w:rPr>
            </w:pPr>
            <w:r w:rsidRPr="00C677DB">
              <w:rPr>
                <w:rFonts w:hint="eastAsia"/>
                <w:bCs/>
                <w:color w:val="1E1E1E"/>
                <w:sz w:val="24"/>
                <w:szCs w:val="24"/>
              </w:rPr>
              <w:t>21</w:t>
            </w:r>
          </w:p>
        </w:tc>
        <w:tc>
          <w:tcPr>
            <w:tcW w:w="7510" w:type="dxa"/>
            <w:tcBorders>
              <w:top w:val="nil"/>
              <w:left w:val="nil"/>
              <w:bottom w:val="single" w:sz="4" w:space="0" w:color="auto"/>
              <w:right w:val="single" w:sz="4" w:space="0" w:color="auto"/>
            </w:tcBorders>
            <w:shd w:val="clear" w:color="auto" w:fill="auto"/>
            <w:noWrap/>
            <w:vAlign w:val="center"/>
            <w:hideMark/>
          </w:tcPr>
          <w:p w:rsidR="00C677DB" w:rsidRPr="00C677DB" w:rsidRDefault="00C677DB" w:rsidP="00C677DB">
            <w:pPr>
              <w:widowControl/>
              <w:jc w:val="left"/>
              <w:rPr>
                <w:bCs/>
                <w:color w:val="1E1E1E"/>
                <w:sz w:val="24"/>
                <w:szCs w:val="24"/>
              </w:rPr>
            </w:pPr>
            <w:r w:rsidRPr="00C677DB">
              <w:rPr>
                <w:rFonts w:hint="eastAsia"/>
                <w:bCs/>
                <w:color w:val="1E1E1E"/>
                <w:sz w:val="24"/>
                <w:szCs w:val="24"/>
              </w:rPr>
              <w:t>申万菱信汇元宝债券型证券投资基金</w:t>
            </w:r>
          </w:p>
        </w:tc>
      </w:tr>
      <w:tr w:rsidR="00C677DB" w:rsidRPr="00C677DB" w:rsidTr="00C677DB">
        <w:trPr>
          <w:trHeight w:val="43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C677DB" w:rsidRPr="00C677DB" w:rsidRDefault="00C677DB" w:rsidP="00C677DB">
            <w:pPr>
              <w:widowControl/>
              <w:jc w:val="center"/>
              <w:rPr>
                <w:bCs/>
                <w:color w:val="1E1E1E"/>
                <w:sz w:val="24"/>
                <w:szCs w:val="24"/>
              </w:rPr>
            </w:pPr>
            <w:r w:rsidRPr="00C677DB">
              <w:rPr>
                <w:rFonts w:hint="eastAsia"/>
                <w:bCs/>
                <w:color w:val="1E1E1E"/>
                <w:sz w:val="24"/>
                <w:szCs w:val="24"/>
              </w:rPr>
              <w:t>22</w:t>
            </w:r>
          </w:p>
        </w:tc>
        <w:tc>
          <w:tcPr>
            <w:tcW w:w="7510" w:type="dxa"/>
            <w:tcBorders>
              <w:top w:val="nil"/>
              <w:left w:val="nil"/>
              <w:bottom w:val="single" w:sz="4" w:space="0" w:color="auto"/>
              <w:right w:val="single" w:sz="4" w:space="0" w:color="auto"/>
            </w:tcBorders>
            <w:shd w:val="clear" w:color="auto" w:fill="auto"/>
            <w:noWrap/>
            <w:vAlign w:val="center"/>
            <w:hideMark/>
          </w:tcPr>
          <w:p w:rsidR="00C677DB" w:rsidRPr="00C677DB" w:rsidRDefault="00C677DB" w:rsidP="00C677DB">
            <w:pPr>
              <w:widowControl/>
              <w:jc w:val="left"/>
              <w:rPr>
                <w:bCs/>
                <w:color w:val="1E1E1E"/>
                <w:sz w:val="24"/>
                <w:szCs w:val="24"/>
              </w:rPr>
            </w:pPr>
            <w:r w:rsidRPr="00C677DB">
              <w:rPr>
                <w:rFonts w:hint="eastAsia"/>
                <w:bCs/>
                <w:color w:val="1E1E1E"/>
                <w:sz w:val="24"/>
                <w:szCs w:val="24"/>
              </w:rPr>
              <w:t>申万菱信集利三个月定期开放债券型证券投资基金</w:t>
            </w:r>
          </w:p>
        </w:tc>
      </w:tr>
      <w:tr w:rsidR="00C677DB" w:rsidRPr="00C677DB" w:rsidTr="00C677DB">
        <w:trPr>
          <w:trHeight w:val="43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C677DB" w:rsidRPr="00C677DB" w:rsidRDefault="00C677DB" w:rsidP="00C677DB">
            <w:pPr>
              <w:widowControl/>
              <w:jc w:val="center"/>
              <w:rPr>
                <w:bCs/>
                <w:color w:val="1E1E1E"/>
                <w:sz w:val="24"/>
                <w:szCs w:val="24"/>
              </w:rPr>
            </w:pPr>
            <w:r w:rsidRPr="00C677DB">
              <w:rPr>
                <w:rFonts w:hint="eastAsia"/>
                <w:bCs/>
                <w:color w:val="1E1E1E"/>
                <w:sz w:val="24"/>
                <w:szCs w:val="24"/>
              </w:rPr>
              <w:t>23</w:t>
            </w:r>
          </w:p>
        </w:tc>
        <w:tc>
          <w:tcPr>
            <w:tcW w:w="7510" w:type="dxa"/>
            <w:tcBorders>
              <w:top w:val="nil"/>
              <w:left w:val="nil"/>
              <w:bottom w:val="single" w:sz="4" w:space="0" w:color="auto"/>
              <w:right w:val="single" w:sz="4" w:space="0" w:color="auto"/>
            </w:tcBorders>
            <w:shd w:val="clear" w:color="auto" w:fill="auto"/>
            <w:noWrap/>
            <w:vAlign w:val="center"/>
            <w:hideMark/>
          </w:tcPr>
          <w:p w:rsidR="00C677DB" w:rsidRPr="00C677DB" w:rsidRDefault="00C677DB" w:rsidP="00C677DB">
            <w:pPr>
              <w:widowControl/>
              <w:jc w:val="left"/>
              <w:rPr>
                <w:bCs/>
                <w:color w:val="1E1E1E"/>
                <w:sz w:val="24"/>
                <w:szCs w:val="24"/>
              </w:rPr>
            </w:pPr>
            <w:r w:rsidRPr="00C677DB">
              <w:rPr>
                <w:rFonts w:hint="eastAsia"/>
                <w:bCs/>
                <w:color w:val="1E1E1E"/>
                <w:sz w:val="24"/>
                <w:szCs w:val="24"/>
              </w:rPr>
              <w:t>申万菱信价值精选混合型证券投资基金</w:t>
            </w:r>
          </w:p>
        </w:tc>
      </w:tr>
      <w:tr w:rsidR="00C677DB" w:rsidRPr="00C677DB" w:rsidTr="00C677DB">
        <w:trPr>
          <w:trHeight w:val="43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C677DB" w:rsidRPr="00C677DB" w:rsidRDefault="00C677DB" w:rsidP="00C677DB">
            <w:pPr>
              <w:widowControl/>
              <w:jc w:val="center"/>
              <w:rPr>
                <w:bCs/>
                <w:color w:val="1E1E1E"/>
                <w:sz w:val="24"/>
                <w:szCs w:val="24"/>
              </w:rPr>
            </w:pPr>
            <w:r w:rsidRPr="00C677DB">
              <w:rPr>
                <w:rFonts w:hint="eastAsia"/>
                <w:bCs/>
                <w:color w:val="1E1E1E"/>
                <w:sz w:val="24"/>
                <w:szCs w:val="24"/>
              </w:rPr>
              <w:lastRenderedPageBreak/>
              <w:t>24</w:t>
            </w:r>
          </w:p>
        </w:tc>
        <w:tc>
          <w:tcPr>
            <w:tcW w:w="7510" w:type="dxa"/>
            <w:tcBorders>
              <w:top w:val="nil"/>
              <w:left w:val="nil"/>
              <w:bottom w:val="single" w:sz="4" w:space="0" w:color="auto"/>
              <w:right w:val="single" w:sz="4" w:space="0" w:color="auto"/>
            </w:tcBorders>
            <w:shd w:val="clear" w:color="auto" w:fill="auto"/>
            <w:noWrap/>
            <w:vAlign w:val="center"/>
            <w:hideMark/>
          </w:tcPr>
          <w:p w:rsidR="00C677DB" w:rsidRPr="00C677DB" w:rsidRDefault="00C677DB" w:rsidP="00C677DB">
            <w:pPr>
              <w:widowControl/>
              <w:jc w:val="left"/>
              <w:rPr>
                <w:bCs/>
                <w:color w:val="1E1E1E"/>
                <w:sz w:val="24"/>
                <w:szCs w:val="24"/>
              </w:rPr>
            </w:pPr>
            <w:r w:rsidRPr="00C677DB">
              <w:rPr>
                <w:rFonts w:hint="eastAsia"/>
                <w:bCs/>
                <w:color w:val="1E1E1E"/>
                <w:sz w:val="24"/>
                <w:szCs w:val="24"/>
              </w:rPr>
              <w:t>申万菱信竞争优势混合型证券投资基金</w:t>
            </w:r>
          </w:p>
        </w:tc>
      </w:tr>
      <w:tr w:rsidR="00C677DB" w:rsidRPr="00C677DB" w:rsidTr="00C677DB">
        <w:trPr>
          <w:trHeight w:val="43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C677DB" w:rsidRPr="00C677DB" w:rsidRDefault="00C677DB" w:rsidP="00C677DB">
            <w:pPr>
              <w:widowControl/>
              <w:jc w:val="center"/>
              <w:rPr>
                <w:bCs/>
                <w:color w:val="1E1E1E"/>
                <w:sz w:val="24"/>
                <w:szCs w:val="24"/>
              </w:rPr>
            </w:pPr>
            <w:r w:rsidRPr="00C677DB">
              <w:rPr>
                <w:rFonts w:hint="eastAsia"/>
                <w:bCs/>
                <w:color w:val="1E1E1E"/>
                <w:sz w:val="24"/>
                <w:szCs w:val="24"/>
              </w:rPr>
              <w:t>25</w:t>
            </w:r>
          </w:p>
        </w:tc>
        <w:tc>
          <w:tcPr>
            <w:tcW w:w="7510" w:type="dxa"/>
            <w:tcBorders>
              <w:top w:val="nil"/>
              <w:left w:val="nil"/>
              <w:bottom w:val="single" w:sz="4" w:space="0" w:color="auto"/>
              <w:right w:val="single" w:sz="4" w:space="0" w:color="auto"/>
            </w:tcBorders>
            <w:shd w:val="clear" w:color="auto" w:fill="auto"/>
            <w:noWrap/>
            <w:vAlign w:val="center"/>
            <w:hideMark/>
          </w:tcPr>
          <w:p w:rsidR="00C677DB" w:rsidRPr="00C677DB" w:rsidRDefault="00C677DB" w:rsidP="00C677DB">
            <w:pPr>
              <w:widowControl/>
              <w:jc w:val="left"/>
              <w:rPr>
                <w:bCs/>
                <w:color w:val="1E1E1E"/>
                <w:sz w:val="24"/>
                <w:szCs w:val="24"/>
              </w:rPr>
            </w:pPr>
            <w:r w:rsidRPr="00C677DB">
              <w:rPr>
                <w:rFonts w:hint="eastAsia"/>
                <w:bCs/>
                <w:color w:val="1E1E1E"/>
                <w:sz w:val="24"/>
                <w:szCs w:val="24"/>
              </w:rPr>
              <w:t>申万菱信可转换债券债券型证券投资基金</w:t>
            </w:r>
          </w:p>
        </w:tc>
      </w:tr>
      <w:tr w:rsidR="00C677DB" w:rsidRPr="00C677DB" w:rsidTr="00C677DB">
        <w:trPr>
          <w:trHeight w:val="43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C677DB" w:rsidRPr="00C677DB" w:rsidRDefault="00C677DB" w:rsidP="00C677DB">
            <w:pPr>
              <w:widowControl/>
              <w:jc w:val="center"/>
              <w:rPr>
                <w:bCs/>
                <w:color w:val="1E1E1E"/>
                <w:sz w:val="24"/>
                <w:szCs w:val="24"/>
              </w:rPr>
            </w:pPr>
            <w:r w:rsidRPr="00C677DB">
              <w:rPr>
                <w:rFonts w:hint="eastAsia"/>
                <w:bCs/>
                <w:color w:val="1E1E1E"/>
                <w:sz w:val="24"/>
                <w:szCs w:val="24"/>
              </w:rPr>
              <w:t>26</w:t>
            </w:r>
          </w:p>
        </w:tc>
        <w:tc>
          <w:tcPr>
            <w:tcW w:w="7510" w:type="dxa"/>
            <w:tcBorders>
              <w:top w:val="nil"/>
              <w:left w:val="nil"/>
              <w:bottom w:val="single" w:sz="4" w:space="0" w:color="auto"/>
              <w:right w:val="single" w:sz="4" w:space="0" w:color="auto"/>
            </w:tcBorders>
            <w:shd w:val="clear" w:color="auto" w:fill="auto"/>
            <w:noWrap/>
            <w:vAlign w:val="center"/>
            <w:hideMark/>
          </w:tcPr>
          <w:p w:rsidR="00C677DB" w:rsidRPr="00C677DB" w:rsidRDefault="00C677DB" w:rsidP="00C677DB">
            <w:pPr>
              <w:widowControl/>
              <w:jc w:val="left"/>
              <w:rPr>
                <w:bCs/>
                <w:color w:val="1E1E1E"/>
                <w:sz w:val="24"/>
                <w:szCs w:val="24"/>
              </w:rPr>
            </w:pPr>
            <w:r w:rsidRPr="00C677DB">
              <w:rPr>
                <w:rFonts w:hint="eastAsia"/>
                <w:bCs/>
                <w:color w:val="1E1E1E"/>
                <w:sz w:val="24"/>
                <w:szCs w:val="24"/>
              </w:rPr>
              <w:t>申万菱信乐成混合型证券投资基金</w:t>
            </w:r>
          </w:p>
        </w:tc>
      </w:tr>
      <w:tr w:rsidR="00C677DB" w:rsidRPr="00C677DB" w:rsidTr="00C677DB">
        <w:trPr>
          <w:trHeight w:val="43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C677DB" w:rsidRPr="00C677DB" w:rsidRDefault="00C677DB" w:rsidP="00C677DB">
            <w:pPr>
              <w:widowControl/>
              <w:jc w:val="center"/>
              <w:rPr>
                <w:bCs/>
                <w:color w:val="1E1E1E"/>
                <w:sz w:val="24"/>
                <w:szCs w:val="24"/>
              </w:rPr>
            </w:pPr>
            <w:r w:rsidRPr="00C677DB">
              <w:rPr>
                <w:rFonts w:hint="eastAsia"/>
                <w:bCs/>
                <w:color w:val="1E1E1E"/>
                <w:sz w:val="24"/>
                <w:szCs w:val="24"/>
              </w:rPr>
              <w:t>27</w:t>
            </w:r>
          </w:p>
        </w:tc>
        <w:tc>
          <w:tcPr>
            <w:tcW w:w="7510" w:type="dxa"/>
            <w:tcBorders>
              <w:top w:val="nil"/>
              <w:left w:val="nil"/>
              <w:bottom w:val="single" w:sz="4" w:space="0" w:color="auto"/>
              <w:right w:val="single" w:sz="4" w:space="0" w:color="auto"/>
            </w:tcBorders>
            <w:shd w:val="clear" w:color="auto" w:fill="auto"/>
            <w:noWrap/>
            <w:vAlign w:val="center"/>
            <w:hideMark/>
          </w:tcPr>
          <w:p w:rsidR="00C677DB" w:rsidRPr="00C677DB" w:rsidRDefault="00C677DB" w:rsidP="00C677DB">
            <w:pPr>
              <w:widowControl/>
              <w:jc w:val="left"/>
              <w:rPr>
                <w:bCs/>
                <w:color w:val="1E1E1E"/>
                <w:sz w:val="24"/>
                <w:szCs w:val="24"/>
              </w:rPr>
            </w:pPr>
            <w:r w:rsidRPr="00C677DB">
              <w:rPr>
                <w:rFonts w:hint="eastAsia"/>
                <w:bCs/>
                <w:color w:val="1E1E1E"/>
                <w:sz w:val="24"/>
                <w:szCs w:val="24"/>
              </w:rPr>
              <w:t>申万菱信乐道三年持有期混合型证券投资基金</w:t>
            </w:r>
          </w:p>
        </w:tc>
      </w:tr>
      <w:tr w:rsidR="00C677DB" w:rsidRPr="00C677DB" w:rsidTr="00C677DB">
        <w:trPr>
          <w:trHeight w:val="43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C677DB" w:rsidRPr="00C677DB" w:rsidRDefault="00C677DB" w:rsidP="00C677DB">
            <w:pPr>
              <w:widowControl/>
              <w:jc w:val="center"/>
              <w:rPr>
                <w:bCs/>
                <w:color w:val="1E1E1E"/>
                <w:sz w:val="24"/>
                <w:szCs w:val="24"/>
              </w:rPr>
            </w:pPr>
            <w:r w:rsidRPr="00C677DB">
              <w:rPr>
                <w:rFonts w:hint="eastAsia"/>
                <w:bCs/>
                <w:color w:val="1E1E1E"/>
                <w:sz w:val="24"/>
                <w:szCs w:val="24"/>
              </w:rPr>
              <w:t>28</w:t>
            </w:r>
          </w:p>
        </w:tc>
        <w:tc>
          <w:tcPr>
            <w:tcW w:w="7510" w:type="dxa"/>
            <w:tcBorders>
              <w:top w:val="nil"/>
              <w:left w:val="nil"/>
              <w:bottom w:val="single" w:sz="4" w:space="0" w:color="auto"/>
              <w:right w:val="single" w:sz="4" w:space="0" w:color="auto"/>
            </w:tcBorders>
            <w:shd w:val="clear" w:color="auto" w:fill="auto"/>
            <w:noWrap/>
            <w:vAlign w:val="center"/>
            <w:hideMark/>
          </w:tcPr>
          <w:p w:rsidR="00C677DB" w:rsidRPr="00C677DB" w:rsidRDefault="00C677DB" w:rsidP="00C677DB">
            <w:pPr>
              <w:widowControl/>
              <w:jc w:val="left"/>
              <w:rPr>
                <w:bCs/>
                <w:color w:val="1E1E1E"/>
                <w:sz w:val="24"/>
                <w:szCs w:val="24"/>
              </w:rPr>
            </w:pPr>
            <w:r w:rsidRPr="00C677DB">
              <w:rPr>
                <w:rFonts w:hint="eastAsia"/>
                <w:bCs/>
                <w:color w:val="1E1E1E"/>
                <w:sz w:val="24"/>
                <w:szCs w:val="24"/>
              </w:rPr>
              <w:t>申万菱信乐融一年持有期混合型证券投资基金</w:t>
            </w:r>
          </w:p>
        </w:tc>
      </w:tr>
      <w:tr w:rsidR="00C677DB" w:rsidRPr="00C677DB" w:rsidTr="00C677DB">
        <w:trPr>
          <w:trHeight w:val="43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C677DB" w:rsidRPr="00C677DB" w:rsidRDefault="00C677DB" w:rsidP="00C677DB">
            <w:pPr>
              <w:widowControl/>
              <w:jc w:val="center"/>
              <w:rPr>
                <w:bCs/>
                <w:color w:val="1E1E1E"/>
                <w:sz w:val="24"/>
                <w:szCs w:val="24"/>
              </w:rPr>
            </w:pPr>
            <w:r w:rsidRPr="00C677DB">
              <w:rPr>
                <w:rFonts w:hint="eastAsia"/>
                <w:bCs/>
                <w:color w:val="1E1E1E"/>
                <w:sz w:val="24"/>
                <w:szCs w:val="24"/>
              </w:rPr>
              <w:t>29</w:t>
            </w:r>
          </w:p>
        </w:tc>
        <w:tc>
          <w:tcPr>
            <w:tcW w:w="7510" w:type="dxa"/>
            <w:tcBorders>
              <w:top w:val="nil"/>
              <w:left w:val="nil"/>
              <w:bottom w:val="single" w:sz="4" w:space="0" w:color="auto"/>
              <w:right w:val="single" w:sz="4" w:space="0" w:color="auto"/>
            </w:tcBorders>
            <w:shd w:val="clear" w:color="auto" w:fill="auto"/>
            <w:noWrap/>
            <w:vAlign w:val="center"/>
            <w:hideMark/>
          </w:tcPr>
          <w:p w:rsidR="00C677DB" w:rsidRPr="00C677DB" w:rsidRDefault="00C677DB" w:rsidP="00C677DB">
            <w:pPr>
              <w:widowControl/>
              <w:jc w:val="left"/>
              <w:rPr>
                <w:bCs/>
                <w:color w:val="1E1E1E"/>
                <w:sz w:val="24"/>
                <w:szCs w:val="24"/>
              </w:rPr>
            </w:pPr>
            <w:r w:rsidRPr="00C677DB">
              <w:rPr>
                <w:rFonts w:hint="eastAsia"/>
                <w:bCs/>
                <w:color w:val="1E1E1E"/>
                <w:sz w:val="24"/>
                <w:szCs w:val="24"/>
              </w:rPr>
              <w:t>申万菱信乐同混合型证券投资基金</w:t>
            </w:r>
          </w:p>
        </w:tc>
      </w:tr>
      <w:tr w:rsidR="00C677DB" w:rsidRPr="00C677DB" w:rsidTr="00C677DB">
        <w:trPr>
          <w:trHeight w:val="43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C677DB" w:rsidRPr="00C677DB" w:rsidRDefault="00C677DB" w:rsidP="00C677DB">
            <w:pPr>
              <w:widowControl/>
              <w:jc w:val="center"/>
              <w:rPr>
                <w:bCs/>
                <w:color w:val="1E1E1E"/>
                <w:sz w:val="24"/>
                <w:szCs w:val="24"/>
              </w:rPr>
            </w:pPr>
            <w:r w:rsidRPr="00C677DB">
              <w:rPr>
                <w:rFonts w:hint="eastAsia"/>
                <w:bCs/>
                <w:color w:val="1E1E1E"/>
                <w:sz w:val="24"/>
                <w:szCs w:val="24"/>
              </w:rPr>
              <w:t>30</w:t>
            </w:r>
          </w:p>
        </w:tc>
        <w:tc>
          <w:tcPr>
            <w:tcW w:w="7510" w:type="dxa"/>
            <w:tcBorders>
              <w:top w:val="nil"/>
              <w:left w:val="nil"/>
              <w:bottom w:val="single" w:sz="4" w:space="0" w:color="auto"/>
              <w:right w:val="single" w:sz="4" w:space="0" w:color="auto"/>
            </w:tcBorders>
            <w:shd w:val="clear" w:color="auto" w:fill="auto"/>
            <w:noWrap/>
            <w:vAlign w:val="center"/>
            <w:hideMark/>
          </w:tcPr>
          <w:p w:rsidR="00C677DB" w:rsidRPr="00C677DB" w:rsidRDefault="00C677DB" w:rsidP="00C677DB">
            <w:pPr>
              <w:widowControl/>
              <w:jc w:val="left"/>
              <w:rPr>
                <w:bCs/>
                <w:color w:val="1E1E1E"/>
                <w:sz w:val="24"/>
                <w:szCs w:val="24"/>
              </w:rPr>
            </w:pPr>
            <w:r w:rsidRPr="00C677DB">
              <w:rPr>
                <w:rFonts w:hint="eastAsia"/>
                <w:bCs/>
                <w:color w:val="1E1E1E"/>
                <w:sz w:val="24"/>
                <w:szCs w:val="24"/>
              </w:rPr>
              <w:t>申万菱信乐享混合型证券投资基金</w:t>
            </w:r>
          </w:p>
        </w:tc>
      </w:tr>
      <w:tr w:rsidR="00C677DB" w:rsidRPr="00C677DB" w:rsidTr="00C677DB">
        <w:trPr>
          <w:trHeight w:val="43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C677DB" w:rsidRPr="00C677DB" w:rsidRDefault="00C677DB" w:rsidP="00C677DB">
            <w:pPr>
              <w:widowControl/>
              <w:jc w:val="center"/>
              <w:rPr>
                <w:bCs/>
                <w:color w:val="1E1E1E"/>
                <w:sz w:val="24"/>
                <w:szCs w:val="24"/>
              </w:rPr>
            </w:pPr>
            <w:r w:rsidRPr="00C677DB">
              <w:rPr>
                <w:rFonts w:hint="eastAsia"/>
                <w:bCs/>
                <w:color w:val="1E1E1E"/>
                <w:sz w:val="24"/>
                <w:szCs w:val="24"/>
              </w:rPr>
              <w:t>31</w:t>
            </w:r>
          </w:p>
        </w:tc>
        <w:tc>
          <w:tcPr>
            <w:tcW w:w="7510" w:type="dxa"/>
            <w:tcBorders>
              <w:top w:val="nil"/>
              <w:left w:val="nil"/>
              <w:bottom w:val="single" w:sz="4" w:space="0" w:color="auto"/>
              <w:right w:val="single" w:sz="4" w:space="0" w:color="auto"/>
            </w:tcBorders>
            <w:shd w:val="clear" w:color="auto" w:fill="auto"/>
            <w:noWrap/>
            <w:vAlign w:val="center"/>
            <w:hideMark/>
          </w:tcPr>
          <w:p w:rsidR="00C677DB" w:rsidRPr="00C677DB" w:rsidRDefault="00C677DB" w:rsidP="00C677DB">
            <w:pPr>
              <w:widowControl/>
              <w:jc w:val="left"/>
              <w:rPr>
                <w:bCs/>
                <w:color w:val="1E1E1E"/>
                <w:sz w:val="24"/>
                <w:szCs w:val="24"/>
              </w:rPr>
            </w:pPr>
            <w:r w:rsidRPr="00C677DB">
              <w:rPr>
                <w:rFonts w:hint="eastAsia"/>
                <w:bCs/>
                <w:color w:val="1E1E1E"/>
                <w:sz w:val="24"/>
                <w:szCs w:val="24"/>
              </w:rPr>
              <w:t>申万菱信乐研混合型证券投资基金</w:t>
            </w:r>
          </w:p>
        </w:tc>
      </w:tr>
      <w:tr w:rsidR="00C677DB" w:rsidRPr="00C677DB" w:rsidTr="00C677DB">
        <w:trPr>
          <w:trHeight w:val="43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C677DB" w:rsidRPr="00C677DB" w:rsidRDefault="00C677DB" w:rsidP="00C677DB">
            <w:pPr>
              <w:widowControl/>
              <w:jc w:val="center"/>
              <w:rPr>
                <w:bCs/>
                <w:color w:val="1E1E1E"/>
                <w:sz w:val="24"/>
                <w:szCs w:val="24"/>
              </w:rPr>
            </w:pPr>
            <w:r w:rsidRPr="00C677DB">
              <w:rPr>
                <w:rFonts w:hint="eastAsia"/>
                <w:bCs/>
                <w:color w:val="1E1E1E"/>
                <w:sz w:val="24"/>
                <w:szCs w:val="24"/>
              </w:rPr>
              <w:t>32</w:t>
            </w:r>
          </w:p>
        </w:tc>
        <w:tc>
          <w:tcPr>
            <w:tcW w:w="7510" w:type="dxa"/>
            <w:tcBorders>
              <w:top w:val="nil"/>
              <w:left w:val="nil"/>
              <w:bottom w:val="single" w:sz="4" w:space="0" w:color="auto"/>
              <w:right w:val="single" w:sz="4" w:space="0" w:color="auto"/>
            </w:tcBorders>
            <w:shd w:val="clear" w:color="auto" w:fill="auto"/>
            <w:noWrap/>
            <w:vAlign w:val="center"/>
            <w:hideMark/>
          </w:tcPr>
          <w:p w:rsidR="00C677DB" w:rsidRPr="00C677DB" w:rsidRDefault="00C677DB" w:rsidP="00C677DB">
            <w:pPr>
              <w:widowControl/>
              <w:jc w:val="left"/>
              <w:rPr>
                <w:bCs/>
                <w:color w:val="1E1E1E"/>
                <w:sz w:val="24"/>
                <w:szCs w:val="24"/>
              </w:rPr>
            </w:pPr>
            <w:r w:rsidRPr="00C677DB">
              <w:rPr>
                <w:rFonts w:hint="eastAsia"/>
                <w:bCs/>
                <w:color w:val="1E1E1E"/>
                <w:sz w:val="24"/>
                <w:szCs w:val="24"/>
              </w:rPr>
              <w:t>申万菱信量化对冲策略灵活配置混合型发起式证券投资基金</w:t>
            </w:r>
          </w:p>
        </w:tc>
      </w:tr>
      <w:tr w:rsidR="00C677DB" w:rsidRPr="00C677DB" w:rsidTr="00C677DB">
        <w:trPr>
          <w:trHeight w:val="43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C677DB" w:rsidRPr="00C677DB" w:rsidRDefault="00C677DB" w:rsidP="00C677DB">
            <w:pPr>
              <w:widowControl/>
              <w:jc w:val="center"/>
              <w:rPr>
                <w:bCs/>
                <w:color w:val="1E1E1E"/>
                <w:sz w:val="24"/>
                <w:szCs w:val="24"/>
              </w:rPr>
            </w:pPr>
            <w:r w:rsidRPr="00C677DB">
              <w:rPr>
                <w:rFonts w:hint="eastAsia"/>
                <w:bCs/>
                <w:color w:val="1E1E1E"/>
                <w:sz w:val="24"/>
                <w:szCs w:val="24"/>
              </w:rPr>
              <w:t>33</w:t>
            </w:r>
          </w:p>
        </w:tc>
        <w:tc>
          <w:tcPr>
            <w:tcW w:w="7510" w:type="dxa"/>
            <w:tcBorders>
              <w:top w:val="nil"/>
              <w:left w:val="nil"/>
              <w:bottom w:val="single" w:sz="4" w:space="0" w:color="auto"/>
              <w:right w:val="single" w:sz="4" w:space="0" w:color="auto"/>
            </w:tcBorders>
            <w:shd w:val="clear" w:color="auto" w:fill="auto"/>
            <w:noWrap/>
            <w:vAlign w:val="center"/>
            <w:hideMark/>
          </w:tcPr>
          <w:p w:rsidR="00C677DB" w:rsidRPr="00C677DB" w:rsidRDefault="00C677DB" w:rsidP="00C677DB">
            <w:pPr>
              <w:widowControl/>
              <w:jc w:val="left"/>
              <w:rPr>
                <w:bCs/>
                <w:color w:val="1E1E1E"/>
                <w:sz w:val="24"/>
                <w:szCs w:val="24"/>
              </w:rPr>
            </w:pPr>
            <w:r w:rsidRPr="00C677DB">
              <w:rPr>
                <w:rFonts w:hint="eastAsia"/>
                <w:bCs/>
                <w:color w:val="1E1E1E"/>
                <w:sz w:val="24"/>
                <w:szCs w:val="24"/>
              </w:rPr>
              <w:t>申万菱信量化小盘股票型证券投资基金</w:t>
            </w:r>
            <w:r w:rsidRPr="00C677DB">
              <w:rPr>
                <w:rFonts w:hint="eastAsia"/>
                <w:bCs/>
                <w:color w:val="1E1E1E"/>
                <w:sz w:val="24"/>
                <w:szCs w:val="24"/>
              </w:rPr>
              <w:t>(LOF)</w:t>
            </w:r>
          </w:p>
        </w:tc>
      </w:tr>
      <w:tr w:rsidR="00C677DB" w:rsidRPr="00C677DB" w:rsidTr="00C677DB">
        <w:trPr>
          <w:trHeight w:val="43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C677DB" w:rsidRPr="00C677DB" w:rsidRDefault="00C677DB" w:rsidP="00C677DB">
            <w:pPr>
              <w:widowControl/>
              <w:jc w:val="center"/>
              <w:rPr>
                <w:bCs/>
                <w:color w:val="1E1E1E"/>
                <w:sz w:val="24"/>
                <w:szCs w:val="24"/>
              </w:rPr>
            </w:pPr>
            <w:r w:rsidRPr="00C677DB">
              <w:rPr>
                <w:rFonts w:hint="eastAsia"/>
                <w:bCs/>
                <w:color w:val="1E1E1E"/>
                <w:sz w:val="24"/>
                <w:szCs w:val="24"/>
              </w:rPr>
              <w:t>34</w:t>
            </w:r>
          </w:p>
        </w:tc>
        <w:tc>
          <w:tcPr>
            <w:tcW w:w="7510" w:type="dxa"/>
            <w:tcBorders>
              <w:top w:val="nil"/>
              <w:left w:val="nil"/>
              <w:bottom w:val="single" w:sz="4" w:space="0" w:color="auto"/>
              <w:right w:val="single" w:sz="4" w:space="0" w:color="auto"/>
            </w:tcBorders>
            <w:shd w:val="clear" w:color="auto" w:fill="auto"/>
            <w:noWrap/>
            <w:vAlign w:val="center"/>
            <w:hideMark/>
          </w:tcPr>
          <w:p w:rsidR="00C677DB" w:rsidRPr="00C677DB" w:rsidRDefault="00C677DB" w:rsidP="00C677DB">
            <w:pPr>
              <w:widowControl/>
              <w:jc w:val="left"/>
              <w:rPr>
                <w:bCs/>
                <w:color w:val="1E1E1E"/>
                <w:sz w:val="24"/>
                <w:szCs w:val="24"/>
              </w:rPr>
            </w:pPr>
            <w:r w:rsidRPr="00C677DB">
              <w:rPr>
                <w:rFonts w:hint="eastAsia"/>
                <w:bCs/>
                <w:color w:val="1E1E1E"/>
                <w:sz w:val="24"/>
                <w:szCs w:val="24"/>
              </w:rPr>
              <w:t>申万菱信绿色纯债债券型发起式证券投资基金</w:t>
            </w:r>
          </w:p>
        </w:tc>
      </w:tr>
      <w:tr w:rsidR="00C677DB" w:rsidRPr="00C677DB" w:rsidTr="00C677DB">
        <w:trPr>
          <w:trHeight w:val="43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C677DB" w:rsidRPr="00C677DB" w:rsidRDefault="00C677DB" w:rsidP="00C677DB">
            <w:pPr>
              <w:widowControl/>
              <w:jc w:val="center"/>
              <w:rPr>
                <w:bCs/>
                <w:color w:val="1E1E1E"/>
                <w:sz w:val="24"/>
                <w:szCs w:val="24"/>
              </w:rPr>
            </w:pPr>
            <w:r w:rsidRPr="00C677DB">
              <w:rPr>
                <w:rFonts w:hint="eastAsia"/>
                <w:bCs/>
                <w:color w:val="1E1E1E"/>
                <w:sz w:val="24"/>
                <w:szCs w:val="24"/>
              </w:rPr>
              <w:t>35</w:t>
            </w:r>
          </w:p>
        </w:tc>
        <w:tc>
          <w:tcPr>
            <w:tcW w:w="7510" w:type="dxa"/>
            <w:tcBorders>
              <w:top w:val="nil"/>
              <w:left w:val="nil"/>
              <w:bottom w:val="single" w:sz="4" w:space="0" w:color="auto"/>
              <w:right w:val="single" w:sz="4" w:space="0" w:color="auto"/>
            </w:tcBorders>
            <w:shd w:val="clear" w:color="auto" w:fill="auto"/>
            <w:noWrap/>
            <w:vAlign w:val="center"/>
            <w:hideMark/>
          </w:tcPr>
          <w:p w:rsidR="00C677DB" w:rsidRPr="00C677DB" w:rsidRDefault="00C677DB" w:rsidP="00C677DB">
            <w:pPr>
              <w:widowControl/>
              <w:jc w:val="left"/>
              <w:rPr>
                <w:bCs/>
                <w:color w:val="1E1E1E"/>
                <w:sz w:val="24"/>
                <w:szCs w:val="24"/>
              </w:rPr>
            </w:pPr>
            <w:r w:rsidRPr="00C677DB">
              <w:rPr>
                <w:rFonts w:hint="eastAsia"/>
                <w:bCs/>
                <w:color w:val="1E1E1E"/>
                <w:sz w:val="24"/>
                <w:szCs w:val="24"/>
              </w:rPr>
              <w:t>申万菱信全球新能源股票型发起式证券投资基金（</w:t>
            </w:r>
            <w:r w:rsidRPr="00C677DB">
              <w:rPr>
                <w:rFonts w:hint="eastAsia"/>
                <w:bCs/>
                <w:color w:val="1E1E1E"/>
                <w:sz w:val="24"/>
                <w:szCs w:val="24"/>
              </w:rPr>
              <w:t>QDII</w:t>
            </w:r>
            <w:r w:rsidRPr="00C677DB">
              <w:rPr>
                <w:rFonts w:hint="eastAsia"/>
                <w:bCs/>
                <w:color w:val="1E1E1E"/>
                <w:sz w:val="24"/>
                <w:szCs w:val="24"/>
              </w:rPr>
              <w:t>）</w:t>
            </w:r>
          </w:p>
        </w:tc>
      </w:tr>
      <w:tr w:rsidR="00C677DB" w:rsidRPr="00C677DB" w:rsidTr="00C677DB">
        <w:trPr>
          <w:trHeight w:val="43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C677DB" w:rsidRPr="00C677DB" w:rsidRDefault="00C677DB" w:rsidP="00C677DB">
            <w:pPr>
              <w:widowControl/>
              <w:jc w:val="center"/>
              <w:rPr>
                <w:bCs/>
                <w:color w:val="1E1E1E"/>
                <w:sz w:val="24"/>
                <w:szCs w:val="24"/>
              </w:rPr>
            </w:pPr>
            <w:r w:rsidRPr="00C677DB">
              <w:rPr>
                <w:rFonts w:hint="eastAsia"/>
                <w:bCs/>
                <w:color w:val="1E1E1E"/>
                <w:sz w:val="24"/>
                <w:szCs w:val="24"/>
              </w:rPr>
              <w:t>36</w:t>
            </w:r>
          </w:p>
        </w:tc>
        <w:tc>
          <w:tcPr>
            <w:tcW w:w="7510" w:type="dxa"/>
            <w:tcBorders>
              <w:top w:val="nil"/>
              <w:left w:val="nil"/>
              <w:bottom w:val="single" w:sz="4" w:space="0" w:color="auto"/>
              <w:right w:val="single" w:sz="4" w:space="0" w:color="auto"/>
            </w:tcBorders>
            <w:shd w:val="clear" w:color="auto" w:fill="auto"/>
            <w:noWrap/>
            <w:vAlign w:val="center"/>
            <w:hideMark/>
          </w:tcPr>
          <w:p w:rsidR="00C677DB" w:rsidRPr="00C677DB" w:rsidRDefault="00C677DB" w:rsidP="00C677DB">
            <w:pPr>
              <w:widowControl/>
              <w:jc w:val="left"/>
              <w:rPr>
                <w:bCs/>
                <w:color w:val="1E1E1E"/>
                <w:sz w:val="24"/>
                <w:szCs w:val="24"/>
              </w:rPr>
            </w:pPr>
            <w:r w:rsidRPr="00C677DB">
              <w:rPr>
                <w:rFonts w:hint="eastAsia"/>
                <w:bCs/>
                <w:color w:val="1E1E1E"/>
                <w:sz w:val="24"/>
                <w:szCs w:val="24"/>
              </w:rPr>
              <w:t>申万菱信上证</w:t>
            </w:r>
            <w:r w:rsidRPr="00C677DB">
              <w:rPr>
                <w:rFonts w:hint="eastAsia"/>
                <w:bCs/>
                <w:color w:val="1E1E1E"/>
                <w:sz w:val="24"/>
                <w:szCs w:val="24"/>
              </w:rPr>
              <w:t>50</w:t>
            </w:r>
            <w:r w:rsidRPr="00C677DB">
              <w:rPr>
                <w:rFonts w:hint="eastAsia"/>
                <w:bCs/>
                <w:color w:val="1E1E1E"/>
                <w:sz w:val="24"/>
                <w:szCs w:val="24"/>
              </w:rPr>
              <w:t>交易型开放式指数发起式证券投资基金</w:t>
            </w:r>
          </w:p>
        </w:tc>
      </w:tr>
      <w:tr w:rsidR="00C677DB" w:rsidRPr="00C677DB" w:rsidTr="00C677DB">
        <w:trPr>
          <w:trHeight w:val="43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C677DB" w:rsidRPr="00C677DB" w:rsidRDefault="00C677DB" w:rsidP="00C677DB">
            <w:pPr>
              <w:widowControl/>
              <w:jc w:val="center"/>
              <w:rPr>
                <w:bCs/>
                <w:color w:val="1E1E1E"/>
                <w:sz w:val="24"/>
                <w:szCs w:val="24"/>
              </w:rPr>
            </w:pPr>
            <w:r w:rsidRPr="00C677DB">
              <w:rPr>
                <w:rFonts w:hint="eastAsia"/>
                <w:bCs/>
                <w:color w:val="1E1E1E"/>
                <w:sz w:val="24"/>
                <w:szCs w:val="24"/>
              </w:rPr>
              <w:t>37</w:t>
            </w:r>
          </w:p>
        </w:tc>
        <w:tc>
          <w:tcPr>
            <w:tcW w:w="7510" w:type="dxa"/>
            <w:tcBorders>
              <w:top w:val="nil"/>
              <w:left w:val="nil"/>
              <w:bottom w:val="single" w:sz="4" w:space="0" w:color="auto"/>
              <w:right w:val="single" w:sz="4" w:space="0" w:color="auto"/>
            </w:tcBorders>
            <w:shd w:val="clear" w:color="auto" w:fill="auto"/>
            <w:noWrap/>
            <w:vAlign w:val="center"/>
            <w:hideMark/>
          </w:tcPr>
          <w:p w:rsidR="00C677DB" w:rsidRPr="00C677DB" w:rsidRDefault="00C677DB" w:rsidP="00C677DB">
            <w:pPr>
              <w:widowControl/>
              <w:jc w:val="left"/>
              <w:rPr>
                <w:bCs/>
                <w:color w:val="1E1E1E"/>
                <w:sz w:val="24"/>
                <w:szCs w:val="24"/>
              </w:rPr>
            </w:pPr>
            <w:r w:rsidRPr="00C677DB">
              <w:rPr>
                <w:rFonts w:hint="eastAsia"/>
                <w:bCs/>
                <w:color w:val="1E1E1E"/>
                <w:sz w:val="24"/>
                <w:szCs w:val="24"/>
              </w:rPr>
              <w:t>申万菱信上证</w:t>
            </w:r>
            <w:r w:rsidRPr="00C677DB">
              <w:rPr>
                <w:rFonts w:hint="eastAsia"/>
                <w:bCs/>
                <w:color w:val="1E1E1E"/>
                <w:sz w:val="24"/>
                <w:szCs w:val="24"/>
              </w:rPr>
              <w:t>G60</w:t>
            </w:r>
            <w:r w:rsidRPr="00C677DB">
              <w:rPr>
                <w:rFonts w:hint="eastAsia"/>
                <w:bCs/>
                <w:color w:val="1E1E1E"/>
                <w:sz w:val="24"/>
                <w:szCs w:val="24"/>
              </w:rPr>
              <w:t>战略新兴产业成份交易型开放式指数证券投资基金</w:t>
            </w:r>
          </w:p>
        </w:tc>
      </w:tr>
      <w:tr w:rsidR="00C677DB" w:rsidRPr="00C677DB" w:rsidTr="00C677DB">
        <w:trPr>
          <w:trHeight w:val="43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C677DB" w:rsidRPr="00C677DB" w:rsidRDefault="00C677DB" w:rsidP="00C677DB">
            <w:pPr>
              <w:widowControl/>
              <w:jc w:val="center"/>
              <w:rPr>
                <w:bCs/>
                <w:color w:val="1E1E1E"/>
                <w:sz w:val="24"/>
                <w:szCs w:val="24"/>
              </w:rPr>
            </w:pPr>
            <w:r w:rsidRPr="00C677DB">
              <w:rPr>
                <w:rFonts w:hint="eastAsia"/>
                <w:bCs/>
                <w:color w:val="1E1E1E"/>
                <w:sz w:val="24"/>
                <w:szCs w:val="24"/>
              </w:rPr>
              <w:t>38</w:t>
            </w:r>
          </w:p>
        </w:tc>
        <w:tc>
          <w:tcPr>
            <w:tcW w:w="7510" w:type="dxa"/>
            <w:tcBorders>
              <w:top w:val="nil"/>
              <w:left w:val="nil"/>
              <w:bottom w:val="single" w:sz="4" w:space="0" w:color="auto"/>
              <w:right w:val="single" w:sz="4" w:space="0" w:color="auto"/>
            </w:tcBorders>
            <w:shd w:val="clear" w:color="auto" w:fill="auto"/>
            <w:noWrap/>
            <w:vAlign w:val="center"/>
            <w:hideMark/>
          </w:tcPr>
          <w:p w:rsidR="00C677DB" w:rsidRPr="00C677DB" w:rsidRDefault="00C677DB" w:rsidP="00C677DB">
            <w:pPr>
              <w:widowControl/>
              <w:jc w:val="left"/>
              <w:rPr>
                <w:bCs/>
                <w:color w:val="1E1E1E"/>
                <w:sz w:val="24"/>
                <w:szCs w:val="24"/>
              </w:rPr>
            </w:pPr>
            <w:r w:rsidRPr="00C677DB">
              <w:rPr>
                <w:rFonts w:hint="eastAsia"/>
                <w:bCs/>
                <w:color w:val="1E1E1E"/>
                <w:sz w:val="24"/>
                <w:szCs w:val="24"/>
              </w:rPr>
              <w:t>申万菱信深证成份指数型证券投资基金</w:t>
            </w:r>
          </w:p>
        </w:tc>
      </w:tr>
      <w:tr w:rsidR="00C677DB" w:rsidRPr="00C677DB" w:rsidTr="00C677DB">
        <w:trPr>
          <w:trHeight w:val="43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C677DB" w:rsidRPr="00C677DB" w:rsidRDefault="00C677DB" w:rsidP="00C677DB">
            <w:pPr>
              <w:widowControl/>
              <w:jc w:val="center"/>
              <w:rPr>
                <w:bCs/>
                <w:color w:val="1E1E1E"/>
                <w:sz w:val="24"/>
                <w:szCs w:val="24"/>
              </w:rPr>
            </w:pPr>
            <w:r w:rsidRPr="00C677DB">
              <w:rPr>
                <w:rFonts w:hint="eastAsia"/>
                <w:bCs/>
                <w:color w:val="1E1E1E"/>
                <w:sz w:val="24"/>
                <w:szCs w:val="24"/>
              </w:rPr>
              <w:t>39</w:t>
            </w:r>
          </w:p>
        </w:tc>
        <w:tc>
          <w:tcPr>
            <w:tcW w:w="7510" w:type="dxa"/>
            <w:tcBorders>
              <w:top w:val="nil"/>
              <w:left w:val="nil"/>
              <w:bottom w:val="single" w:sz="4" w:space="0" w:color="auto"/>
              <w:right w:val="single" w:sz="4" w:space="0" w:color="auto"/>
            </w:tcBorders>
            <w:shd w:val="clear" w:color="auto" w:fill="auto"/>
            <w:noWrap/>
            <w:vAlign w:val="center"/>
            <w:hideMark/>
          </w:tcPr>
          <w:p w:rsidR="00C677DB" w:rsidRPr="00C677DB" w:rsidRDefault="00C677DB" w:rsidP="00C677DB">
            <w:pPr>
              <w:widowControl/>
              <w:jc w:val="left"/>
              <w:rPr>
                <w:bCs/>
                <w:color w:val="1E1E1E"/>
                <w:sz w:val="24"/>
                <w:szCs w:val="24"/>
              </w:rPr>
            </w:pPr>
            <w:r w:rsidRPr="00C677DB">
              <w:rPr>
                <w:rFonts w:hint="eastAsia"/>
                <w:bCs/>
                <w:color w:val="1E1E1E"/>
                <w:sz w:val="24"/>
                <w:szCs w:val="24"/>
              </w:rPr>
              <w:t>申万菱信盛利精选证券投资基金</w:t>
            </w:r>
          </w:p>
        </w:tc>
      </w:tr>
      <w:tr w:rsidR="00C677DB" w:rsidRPr="00C677DB" w:rsidTr="00C677DB">
        <w:trPr>
          <w:trHeight w:val="43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C677DB" w:rsidRPr="00C677DB" w:rsidRDefault="00C677DB" w:rsidP="00C677DB">
            <w:pPr>
              <w:widowControl/>
              <w:jc w:val="center"/>
              <w:rPr>
                <w:bCs/>
                <w:color w:val="1E1E1E"/>
                <w:sz w:val="24"/>
                <w:szCs w:val="24"/>
              </w:rPr>
            </w:pPr>
            <w:r w:rsidRPr="00C677DB">
              <w:rPr>
                <w:rFonts w:hint="eastAsia"/>
                <w:bCs/>
                <w:color w:val="1E1E1E"/>
                <w:sz w:val="24"/>
                <w:szCs w:val="24"/>
              </w:rPr>
              <w:t>40</w:t>
            </w:r>
          </w:p>
        </w:tc>
        <w:tc>
          <w:tcPr>
            <w:tcW w:w="7510" w:type="dxa"/>
            <w:tcBorders>
              <w:top w:val="nil"/>
              <w:left w:val="nil"/>
              <w:bottom w:val="single" w:sz="4" w:space="0" w:color="auto"/>
              <w:right w:val="single" w:sz="4" w:space="0" w:color="auto"/>
            </w:tcBorders>
            <w:shd w:val="clear" w:color="auto" w:fill="auto"/>
            <w:noWrap/>
            <w:vAlign w:val="center"/>
            <w:hideMark/>
          </w:tcPr>
          <w:p w:rsidR="00C677DB" w:rsidRPr="00C677DB" w:rsidRDefault="00C677DB" w:rsidP="00C677DB">
            <w:pPr>
              <w:widowControl/>
              <w:jc w:val="left"/>
              <w:rPr>
                <w:bCs/>
                <w:color w:val="1E1E1E"/>
                <w:sz w:val="24"/>
                <w:szCs w:val="24"/>
              </w:rPr>
            </w:pPr>
            <w:r w:rsidRPr="00C677DB">
              <w:rPr>
                <w:rFonts w:hint="eastAsia"/>
                <w:bCs/>
                <w:color w:val="1E1E1E"/>
                <w:sz w:val="24"/>
                <w:szCs w:val="24"/>
              </w:rPr>
              <w:t>申万菱信收益宝货币市场基金</w:t>
            </w:r>
          </w:p>
        </w:tc>
      </w:tr>
      <w:tr w:rsidR="00C677DB" w:rsidRPr="00C677DB" w:rsidTr="00C677DB">
        <w:trPr>
          <w:trHeight w:val="43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C677DB" w:rsidRPr="00C677DB" w:rsidRDefault="00C677DB" w:rsidP="00C677DB">
            <w:pPr>
              <w:widowControl/>
              <w:jc w:val="center"/>
              <w:rPr>
                <w:bCs/>
                <w:color w:val="1E1E1E"/>
                <w:sz w:val="24"/>
                <w:szCs w:val="24"/>
              </w:rPr>
            </w:pPr>
            <w:r w:rsidRPr="00C677DB">
              <w:rPr>
                <w:rFonts w:hint="eastAsia"/>
                <w:bCs/>
                <w:color w:val="1E1E1E"/>
                <w:sz w:val="24"/>
                <w:szCs w:val="24"/>
              </w:rPr>
              <w:t>41</w:t>
            </w:r>
          </w:p>
        </w:tc>
        <w:tc>
          <w:tcPr>
            <w:tcW w:w="7510" w:type="dxa"/>
            <w:tcBorders>
              <w:top w:val="nil"/>
              <w:left w:val="nil"/>
              <w:bottom w:val="single" w:sz="4" w:space="0" w:color="auto"/>
              <w:right w:val="single" w:sz="4" w:space="0" w:color="auto"/>
            </w:tcBorders>
            <w:shd w:val="clear" w:color="auto" w:fill="auto"/>
            <w:noWrap/>
            <w:vAlign w:val="center"/>
            <w:hideMark/>
          </w:tcPr>
          <w:p w:rsidR="00C677DB" w:rsidRPr="00C677DB" w:rsidRDefault="00C677DB" w:rsidP="00C677DB">
            <w:pPr>
              <w:widowControl/>
              <w:jc w:val="left"/>
              <w:rPr>
                <w:bCs/>
                <w:color w:val="1E1E1E"/>
                <w:sz w:val="24"/>
                <w:szCs w:val="24"/>
              </w:rPr>
            </w:pPr>
            <w:r w:rsidRPr="00C677DB">
              <w:rPr>
                <w:rFonts w:hint="eastAsia"/>
                <w:bCs/>
                <w:color w:val="1E1E1E"/>
                <w:sz w:val="24"/>
                <w:szCs w:val="24"/>
              </w:rPr>
              <w:t>申万菱信数字产业股票型发起式证券投资基金</w:t>
            </w:r>
          </w:p>
        </w:tc>
      </w:tr>
      <w:tr w:rsidR="00C677DB" w:rsidRPr="00C677DB" w:rsidTr="00C677DB">
        <w:trPr>
          <w:trHeight w:val="43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C677DB" w:rsidRPr="00C677DB" w:rsidRDefault="00C677DB" w:rsidP="00C677DB">
            <w:pPr>
              <w:widowControl/>
              <w:jc w:val="center"/>
              <w:rPr>
                <w:bCs/>
                <w:color w:val="1E1E1E"/>
                <w:sz w:val="24"/>
                <w:szCs w:val="24"/>
              </w:rPr>
            </w:pPr>
            <w:r w:rsidRPr="00C677DB">
              <w:rPr>
                <w:rFonts w:hint="eastAsia"/>
                <w:bCs/>
                <w:color w:val="1E1E1E"/>
                <w:sz w:val="24"/>
                <w:szCs w:val="24"/>
              </w:rPr>
              <w:t>42</w:t>
            </w:r>
          </w:p>
        </w:tc>
        <w:tc>
          <w:tcPr>
            <w:tcW w:w="7510" w:type="dxa"/>
            <w:tcBorders>
              <w:top w:val="nil"/>
              <w:left w:val="nil"/>
              <w:bottom w:val="single" w:sz="4" w:space="0" w:color="auto"/>
              <w:right w:val="single" w:sz="4" w:space="0" w:color="auto"/>
            </w:tcBorders>
            <w:shd w:val="clear" w:color="auto" w:fill="auto"/>
            <w:noWrap/>
            <w:vAlign w:val="center"/>
            <w:hideMark/>
          </w:tcPr>
          <w:p w:rsidR="00C677DB" w:rsidRPr="00C677DB" w:rsidRDefault="00C677DB" w:rsidP="00C677DB">
            <w:pPr>
              <w:widowControl/>
              <w:jc w:val="left"/>
              <w:rPr>
                <w:bCs/>
                <w:color w:val="1E1E1E"/>
                <w:sz w:val="24"/>
                <w:szCs w:val="24"/>
              </w:rPr>
            </w:pPr>
            <w:r w:rsidRPr="00C677DB">
              <w:rPr>
                <w:rFonts w:hint="eastAsia"/>
                <w:bCs/>
                <w:color w:val="1E1E1E"/>
                <w:sz w:val="24"/>
                <w:szCs w:val="24"/>
              </w:rPr>
              <w:t>申万菱信双利混合型证券投资基金</w:t>
            </w:r>
          </w:p>
        </w:tc>
      </w:tr>
      <w:tr w:rsidR="00C677DB" w:rsidRPr="00C677DB" w:rsidTr="00C677DB">
        <w:trPr>
          <w:trHeight w:val="43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C677DB" w:rsidRPr="00C677DB" w:rsidRDefault="00C677DB" w:rsidP="00C677DB">
            <w:pPr>
              <w:widowControl/>
              <w:jc w:val="center"/>
              <w:rPr>
                <w:bCs/>
                <w:color w:val="1E1E1E"/>
                <w:sz w:val="24"/>
                <w:szCs w:val="24"/>
              </w:rPr>
            </w:pPr>
            <w:r w:rsidRPr="00C677DB">
              <w:rPr>
                <w:rFonts w:hint="eastAsia"/>
                <w:bCs/>
                <w:color w:val="1E1E1E"/>
                <w:sz w:val="24"/>
                <w:szCs w:val="24"/>
              </w:rPr>
              <w:t>43</w:t>
            </w:r>
          </w:p>
        </w:tc>
        <w:tc>
          <w:tcPr>
            <w:tcW w:w="7510" w:type="dxa"/>
            <w:tcBorders>
              <w:top w:val="nil"/>
              <w:left w:val="nil"/>
              <w:bottom w:val="single" w:sz="4" w:space="0" w:color="auto"/>
              <w:right w:val="single" w:sz="4" w:space="0" w:color="auto"/>
            </w:tcBorders>
            <w:shd w:val="clear" w:color="auto" w:fill="auto"/>
            <w:noWrap/>
            <w:vAlign w:val="center"/>
            <w:hideMark/>
          </w:tcPr>
          <w:p w:rsidR="00C677DB" w:rsidRPr="00C677DB" w:rsidRDefault="00C677DB" w:rsidP="00C677DB">
            <w:pPr>
              <w:widowControl/>
              <w:jc w:val="left"/>
              <w:rPr>
                <w:bCs/>
                <w:color w:val="1E1E1E"/>
                <w:sz w:val="24"/>
                <w:szCs w:val="24"/>
              </w:rPr>
            </w:pPr>
            <w:r w:rsidRPr="00C677DB">
              <w:rPr>
                <w:rFonts w:hint="eastAsia"/>
                <w:bCs/>
                <w:color w:val="1E1E1E"/>
                <w:sz w:val="24"/>
                <w:szCs w:val="24"/>
              </w:rPr>
              <w:t>申万菱信双禧混合型发起式证券投资基金</w:t>
            </w:r>
          </w:p>
        </w:tc>
      </w:tr>
      <w:tr w:rsidR="00C677DB" w:rsidRPr="00C677DB" w:rsidTr="00C677DB">
        <w:trPr>
          <w:trHeight w:val="43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C677DB" w:rsidRPr="00C677DB" w:rsidRDefault="00C677DB" w:rsidP="00C677DB">
            <w:pPr>
              <w:widowControl/>
              <w:jc w:val="center"/>
              <w:rPr>
                <w:bCs/>
                <w:color w:val="1E1E1E"/>
                <w:sz w:val="24"/>
                <w:szCs w:val="24"/>
              </w:rPr>
            </w:pPr>
            <w:r w:rsidRPr="00C677DB">
              <w:rPr>
                <w:rFonts w:hint="eastAsia"/>
                <w:bCs/>
                <w:color w:val="1E1E1E"/>
                <w:sz w:val="24"/>
                <w:szCs w:val="24"/>
              </w:rPr>
              <w:t>44</w:t>
            </w:r>
          </w:p>
        </w:tc>
        <w:tc>
          <w:tcPr>
            <w:tcW w:w="7510" w:type="dxa"/>
            <w:tcBorders>
              <w:top w:val="nil"/>
              <w:left w:val="nil"/>
              <w:bottom w:val="single" w:sz="4" w:space="0" w:color="auto"/>
              <w:right w:val="single" w:sz="4" w:space="0" w:color="auto"/>
            </w:tcBorders>
            <w:shd w:val="clear" w:color="auto" w:fill="auto"/>
            <w:noWrap/>
            <w:vAlign w:val="center"/>
            <w:hideMark/>
          </w:tcPr>
          <w:p w:rsidR="00C677DB" w:rsidRPr="00C677DB" w:rsidRDefault="00C677DB" w:rsidP="00C677DB">
            <w:pPr>
              <w:widowControl/>
              <w:jc w:val="left"/>
              <w:rPr>
                <w:bCs/>
                <w:color w:val="1E1E1E"/>
                <w:sz w:val="24"/>
                <w:szCs w:val="24"/>
              </w:rPr>
            </w:pPr>
            <w:r w:rsidRPr="00C677DB">
              <w:rPr>
                <w:rFonts w:hint="eastAsia"/>
                <w:bCs/>
                <w:color w:val="1E1E1E"/>
                <w:sz w:val="24"/>
                <w:szCs w:val="24"/>
              </w:rPr>
              <w:t>申万菱信碳中和智选混合型发起式证券投资基金</w:t>
            </w:r>
          </w:p>
        </w:tc>
      </w:tr>
      <w:tr w:rsidR="00C677DB" w:rsidRPr="00C677DB" w:rsidTr="00C677DB">
        <w:trPr>
          <w:trHeight w:val="43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C677DB" w:rsidRPr="00C677DB" w:rsidRDefault="00C677DB" w:rsidP="00C677DB">
            <w:pPr>
              <w:widowControl/>
              <w:jc w:val="center"/>
              <w:rPr>
                <w:bCs/>
                <w:color w:val="1E1E1E"/>
                <w:sz w:val="24"/>
                <w:szCs w:val="24"/>
              </w:rPr>
            </w:pPr>
            <w:r w:rsidRPr="00C677DB">
              <w:rPr>
                <w:rFonts w:hint="eastAsia"/>
                <w:bCs/>
                <w:color w:val="1E1E1E"/>
                <w:sz w:val="24"/>
                <w:szCs w:val="24"/>
              </w:rPr>
              <w:t>45</w:t>
            </w:r>
          </w:p>
        </w:tc>
        <w:tc>
          <w:tcPr>
            <w:tcW w:w="7510" w:type="dxa"/>
            <w:tcBorders>
              <w:top w:val="nil"/>
              <w:left w:val="nil"/>
              <w:bottom w:val="single" w:sz="4" w:space="0" w:color="auto"/>
              <w:right w:val="single" w:sz="4" w:space="0" w:color="auto"/>
            </w:tcBorders>
            <w:shd w:val="clear" w:color="auto" w:fill="auto"/>
            <w:noWrap/>
            <w:vAlign w:val="center"/>
            <w:hideMark/>
          </w:tcPr>
          <w:p w:rsidR="00C677DB" w:rsidRPr="00C677DB" w:rsidRDefault="00C677DB" w:rsidP="00C677DB">
            <w:pPr>
              <w:widowControl/>
              <w:jc w:val="left"/>
              <w:rPr>
                <w:bCs/>
                <w:color w:val="1E1E1E"/>
                <w:sz w:val="24"/>
                <w:szCs w:val="24"/>
              </w:rPr>
            </w:pPr>
            <w:r w:rsidRPr="00C677DB">
              <w:rPr>
                <w:rFonts w:hint="eastAsia"/>
                <w:bCs/>
                <w:color w:val="1E1E1E"/>
                <w:sz w:val="24"/>
                <w:szCs w:val="24"/>
              </w:rPr>
              <w:t>申万菱信添利六个月持有期混合型证券投资基金</w:t>
            </w:r>
          </w:p>
        </w:tc>
      </w:tr>
      <w:tr w:rsidR="00C677DB" w:rsidRPr="00C677DB" w:rsidTr="00C677DB">
        <w:trPr>
          <w:trHeight w:val="43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C677DB" w:rsidRPr="00C677DB" w:rsidRDefault="00C677DB" w:rsidP="00C677DB">
            <w:pPr>
              <w:widowControl/>
              <w:jc w:val="center"/>
              <w:rPr>
                <w:bCs/>
                <w:color w:val="1E1E1E"/>
                <w:sz w:val="24"/>
                <w:szCs w:val="24"/>
              </w:rPr>
            </w:pPr>
            <w:r w:rsidRPr="00C677DB">
              <w:rPr>
                <w:rFonts w:hint="eastAsia"/>
                <w:bCs/>
                <w:color w:val="1E1E1E"/>
                <w:sz w:val="24"/>
                <w:szCs w:val="24"/>
              </w:rPr>
              <w:t>46</w:t>
            </w:r>
          </w:p>
        </w:tc>
        <w:tc>
          <w:tcPr>
            <w:tcW w:w="7510" w:type="dxa"/>
            <w:tcBorders>
              <w:top w:val="nil"/>
              <w:left w:val="nil"/>
              <w:bottom w:val="single" w:sz="4" w:space="0" w:color="auto"/>
              <w:right w:val="single" w:sz="4" w:space="0" w:color="auto"/>
            </w:tcBorders>
            <w:shd w:val="clear" w:color="auto" w:fill="auto"/>
            <w:noWrap/>
            <w:vAlign w:val="center"/>
            <w:hideMark/>
          </w:tcPr>
          <w:p w:rsidR="00C677DB" w:rsidRPr="00C677DB" w:rsidRDefault="00C677DB" w:rsidP="00C677DB">
            <w:pPr>
              <w:widowControl/>
              <w:jc w:val="left"/>
              <w:rPr>
                <w:bCs/>
                <w:color w:val="1E1E1E"/>
                <w:sz w:val="24"/>
                <w:szCs w:val="24"/>
              </w:rPr>
            </w:pPr>
            <w:r w:rsidRPr="00C677DB">
              <w:rPr>
                <w:rFonts w:hint="eastAsia"/>
                <w:bCs/>
                <w:color w:val="1E1E1E"/>
                <w:sz w:val="24"/>
                <w:szCs w:val="24"/>
              </w:rPr>
              <w:t>申万菱信稳健养老目标一年持有期混合型发起式基金中基金（</w:t>
            </w:r>
            <w:r w:rsidRPr="00C677DB">
              <w:rPr>
                <w:rFonts w:hint="eastAsia"/>
                <w:bCs/>
                <w:color w:val="1E1E1E"/>
                <w:sz w:val="24"/>
                <w:szCs w:val="24"/>
              </w:rPr>
              <w:t>FOF</w:t>
            </w:r>
            <w:r w:rsidRPr="00C677DB">
              <w:rPr>
                <w:rFonts w:hint="eastAsia"/>
                <w:bCs/>
                <w:color w:val="1E1E1E"/>
                <w:sz w:val="24"/>
                <w:szCs w:val="24"/>
              </w:rPr>
              <w:t>）</w:t>
            </w:r>
          </w:p>
        </w:tc>
      </w:tr>
      <w:tr w:rsidR="00C677DB" w:rsidRPr="00C677DB" w:rsidTr="00C677DB">
        <w:trPr>
          <w:trHeight w:val="43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C677DB" w:rsidRPr="00C677DB" w:rsidRDefault="00C677DB" w:rsidP="00C677DB">
            <w:pPr>
              <w:widowControl/>
              <w:jc w:val="center"/>
              <w:rPr>
                <w:bCs/>
                <w:color w:val="1E1E1E"/>
                <w:sz w:val="24"/>
                <w:szCs w:val="24"/>
              </w:rPr>
            </w:pPr>
            <w:r w:rsidRPr="00C677DB">
              <w:rPr>
                <w:rFonts w:hint="eastAsia"/>
                <w:bCs/>
                <w:color w:val="1E1E1E"/>
                <w:sz w:val="24"/>
                <w:szCs w:val="24"/>
              </w:rPr>
              <w:t>47</w:t>
            </w:r>
          </w:p>
        </w:tc>
        <w:tc>
          <w:tcPr>
            <w:tcW w:w="7510" w:type="dxa"/>
            <w:tcBorders>
              <w:top w:val="nil"/>
              <w:left w:val="nil"/>
              <w:bottom w:val="single" w:sz="4" w:space="0" w:color="auto"/>
              <w:right w:val="single" w:sz="4" w:space="0" w:color="auto"/>
            </w:tcBorders>
            <w:shd w:val="clear" w:color="auto" w:fill="auto"/>
            <w:noWrap/>
            <w:vAlign w:val="center"/>
            <w:hideMark/>
          </w:tcPr>
          <w:p w:rsidR="00C677DB" w:rsidRPr="00C677DB" w:rsidRDefault="00C677DB" w:rsidP="00C677DB">
            <w:pPr>
              <w:widowControl/>
              <w:jc w:val="left"/>
              <w:rPr>
                <w:bCs/>
                <w:color w:val="1E1E1E"/>
                <w:sz w:val="24"/>
                <w:szCs w:val="24"/>
              </w:rPr>
            </w:pPr>
            <w:r w:rsidRPr="00C677DB">
              <w:rPr>
                <w:rFonts w:hint="eastAsia"/>
                <w:bCs/>
                <w:color w:val="1E1E1E"/>
                <w:sz w:val="24"/>
                <w:szCs w:val="24"/>
              </w:rPr>
              <w:t>申万菱信稳鑫</w:t>
            </w:r>
            <w:r w:rsidRPr="00C677DB">
              <w:rPr>
                <w:rFonts w:hint="eastAsia"/>
                <w:bCs/>
                <w:color w:val="1E1E1E"/>
                <w:sz w:val="24"/>
                <w:szCs w:val="24"/>
              </w:rPr>
              <w:t>30</w:t>
            </w:r>
            <w:r w:rsidRPr="00C677DB">
              <w:rPr>
                <w:rFonts w:hint="eastAsia"/>
                <w:bCs/>
                <w:color w:val="1E1E1E"/>
                <w:sz w:val="24"/>
                <w:szCs w:val="24"/>
              </w:rPr>
              <w:t>天滚动持有短债债券型发起式证券投资基金</w:t>
            </w:r>
          </w:p>
        </w:tc>
      </w:tr>
      <w:tr w:rsidR="00C677DB" w:rsidRPr="00C677DB" w:rsidTr="00C677DB">
        <w:trPr>
          <w:trHeight w:val="43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C677DB" w:rsidRPr="00C677DB" w:rsidRDefault="00C677DB" w:rsidP="00C677DB">
            <w:pPr>
              <w:widowControl/>
              <w:jc w:val="center"/>
              <w:rPr>
                <w:bCs/>
                <w:color w:val="1E1E1E"/>
                <w:sz w:val="24"/>
                <w:szCs w:val="24"/>
              </w:rPr>
            </w:pPr>
            <w:r w:rsidRPr="00C677DB">
              <w:rPr>
                <w:rFonts w:hint="eastAsia"/>
                <w:bCs/>
                <w:color w:val="1E1E1E"/>
                <w:sz w:val="24"/>
                <w:szCs w:val="24"/>
              </w:rPr>
              <w:t>48</w:t>
            </w:r>
          </w:p>
        </w:tc>
        <w:tc>
          <w:tcPr>
            <w:tcW w:w="7510" w:type="dxa"/>
            <w:tcBorders>
              <w:top w:val="nil"/>
              <w:left w:val="nil"/>
              <w:bottom w:val="single" w:sz="4" w:space="0" w:color="auto"/>
              <w:right w:val="single" w:sz="4" w:space="0" w:color="auto"/>
            </w:tcBorders>
            <w:shd w:val="clear" w:color="auto" w:fill="auto"/>
            <w:noWrap/>
            <w:vAlign w:val="center"/>
            <w:hideMark/>
          </w:tcPr>
          <w:p w:rsidR="00C677DB" w:rsidRPr="00C677DB" w:rsidRDefault="00C677DB" w:rsidP="00C677DB">
            <w:pPr>
              <w:widowControl/>
              <w:jc w:val="left"/>
              <w:rPr>
                <w:bCs/>
                <w:color w:val="1E1E1E"/>
                <w:sz w:val="24"/>
                <w:szCs w:val="24"/>
              </w:rPr>
            </w:pPr>
            <w:r w:rsidRPr="00C677DB">
              <w:rPr>
                <w:rFonts w:hint="eastAsia"/>
                <w:bCs/>
                <w:color w:val="1E1E1E"/>
                <w:sz w:val="24"/>
                <w:szCs w:val="24"/>
              </w:rPr>
              <w:t>申万菱信稳鑫</w:t>
            </w:r>
            <w:r w:rsidRPr="00C677DB">
              <w:rPr>
                <w:rFonts w:hint="eastAsia"/>
                <w:bCs/>
                <w:color w:val="1E1E1E"/>
                <w:sz w:val="24"/>
                <w:szCs w:val="24"/>
              </w:rPr>
              <w:t>60</w:t>
            </w:r>
            <w:r w:rsidRPr="00C677DB">
              <w:rPr>
                <w:rFonts w:hint="eastAsia"/>
                <w:bCs/>
                <w:color w:val="1E1E1E"/>
                <w:sz w:val="24"/>
                <w:szCs w:val="24"/>
              </w:rPr>
              <w:t>天滚动持有中短债债券型证券投资基金</w:t>
            </w:r>
          </w:p>
        </w:tc>
      </w:tr>
      <w:tr w:rsidR="00C677DB" w:rsidRPr="00C677DB" w:rsidTr="00C677DB">
        <w:trPr>
          <w:trHeight w:val="43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C677DB" w:rsidRPr="00C677DB" w:rsidRDefault="00C677DB" w:rsidP="00C677DB">
            <w:pPr>
              <w:widowControl/>
              <w:jc w:val="center"/>
              <w:rPr>
                <w:bCs/>
                <w:color w:val="1E1E1E"/>
                <w:sz w:val="24"/>
                <w:szCs w:val="24"/>
              </w:rPr>
            </w:pPr>
            <w:r w:rsidRPr="00C677DB">
              <w:rPr>
                <w:rFonts w:hint="eastAsia"/>
                <w:bCs/>
                <w:color w:val="1E1E1E"/>
                <w:sz w:val="24"/>
                <w:szCs w:val="24"/>
              </w:rPr>
              <w:t>49</w:t>
            </w:r>
          </w:p>
        </w:tc>
        <w:tc>
          <w:tcPr>
            <w:tcW w:w="7510" w:type="dxa"/>
            <w:tcBorders>
              <w:top w:val="nil"/>
              <w:left w:val="nil"/>
              <w:bottom w:val="single" w:sz="4" w:space="0" w:color="auto"/>
              <w:right w:val="single" w:sz="4" w:space="0" w:color="auto"/>
            </w:tcBorders>
            <w:shd w:val="clear" w:color="auto" w:fill="auto"/>
            <w:noWrap/>
            <w:vAlign w:val="center"/>
            <w:hideMark/>
          </w:tcPr>
          <w:p w:rsidR="00C677DB" w:rsidRPr="00C677DB" w:rsidRDefault="00C677DB" w:rsidP="00C677DB">
            <w:pPr>
              <w:widowControl/>
              <w:jc w:val="left"/>
              <w:rPr>
                <w:bCs/>
                <w:color w:val="1E1E1E"/>
                <w:sz w:val="24"/>
                <w:szCs w:val="24"/>
              </w:rPr>
            </w:pPr>
            <w:r w:rsidRPr="00C677DB">
              <w:rPr>
                <w:rFonts w:hint="eastAsia"/>
                <w:bCs/>
                <w:color w:val="1E1E1E"/>
                <w:sz w:val="24"/>
                <w:szCs w:val="24"/>
              </w:rPr>
              <w:t>申万菱信稳鑫</w:t>
            </w:r>
            <w:r w:rsidRPr="00C677DB">
              <w:rPr>
                <w:rFonts w:hint="eastAsia"/>
                <w:bCs/>
                <w:color w:val="1E1E1E"/>
                <w:sz w:val="24"/>
                <w:szCs w:val="24"/>
              </w:rPr>
              <w:t>90</w:t>
            </w:r>
            <w:r w:rsidRPr="00C677DB">
              <w:rPr>
                <w:rFonts w:hint="eastAsia"/>
                <w:bCs/>
                <w:color w:val="1E1E1E"/>
                <w:sz w:val="24"/>
                <w:szCs w:val="24"/>
              </w:rPr>
              <w:t>天滚动持有中短债债券型证券投资基金</w:t>
            </w:r>
          </w:p>
        </w:tc>
      </w:tr>
      <w:tr w:rsidR="00C677DB" w:rsidRPr="00C677DB" w:rsidTr="00C677DB">
        <w:trPr>
          <w:trHeight w:val="43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C677DB" w:rsidRPr="00C677DB" w:rsidRDefault="00C677DB" w:rsidP="00C677DB">
            <w:pPr>
              <w:widowControl/>
              <w:jc w:val="center"/>
              <w:rPr>
                <w:bCs/>
                <w:color w:val="1E1E1E"/>
                <w:sz w:val="24"/>
                <w:szCs w:val="24"/>
              </w:rPr>
            </w:pPr>
            <w:r w:rsidRPr="00C677DB">
              <w:rPr>
                <w:rFonts w:hint="eastAsia"/>
                <w:bCs/>
                <w:color w:val="1E1E1E"/>
                <w:sz w:val="24"/>
                <w:szCs w:val="24"/>
              </w:rPr>
              <w:t>50</w:t>
            </w:r>
          </w:p>
        </w:tc>
        <w:tc>
          <w:tcPr>
            <w:tcW w:w="7510" w:type="dxa"/>
            <w:tcBorders>
              <w:top w:val="nil"/>
              <w:left w:val="nil"/>
              <w:bottom w:val="single" w:sz="4" w:space="0" w:color="auto"/>
              <w:right w:val="single" w:sz="4" w:space="0" w:color="auto"/>
            </w:tcBorders>
            <w:shd w:val="clear" w:color="auto" w:fill="auto"/>
            <w:noWrap/>
            <w:vAlign w:val="center"/>
            <w:hideMark/>
          </w:tcPr>
          <w:p w:rsidR="00C677DB" w:rsidRPr="00C677DB" w:rsidRDefault="00C677DB" w:rsidP="00C677DB">
            <w:pPr>
              <w:widowControl/>
              <w:jc w:val="left"/>
              <w:rPr>
                <w:bCs/>
                <w:color w:val="1E1E1E"/>
                <w:sz w:val="24"/>
                <w:szCs w:val="24"/>
              </w:rPr>
            </w:pPr>
            <w:r w:rsidRPr="00C677DB">
              <w:rPr>
                <w:rFonts w:hint="eastAsia"/>
                <w:bCs/>
                <w:color w:val="1E1E1E"/>
                <w:sz w:val="24"/>
                <w:szCs w:val="24"/>
              </w:rPr>
              <w:t>申万菱信稳益宝债券型证券投资基金</w:t>
            </w:r>
          </w:p>
        </w:tc>
      </w:tr>
      <w:tr w:rsidR="00C677DB" w:rsidRPr="00C677DB" w:rsidTr="00C677DB">
        <w:trPr>
          <w:trHeight w:val="43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C677DB" w:rsidRPr="00C677DB" w:rsidRDefault="00C677DB" w:rsidP="00C677DB">
            <w:pPr>
              <w:widowControl/>
              <w:jc w:val="center"/>
              <w:rPr>
                <w:bCs/>
                <w:color w:val="1E1E1E"/>
                <w:sz w:val="24"/>
                <w:szCs w:val="24"/>
              </w:rPr>
            </w:pPr>
            <w:r w:rsidRPr="00C677DB">
              <w:rPr>
                <w:rFonts w:hint="eastAsia"/>
                <w:bCs/>
                <w:color w:val="1E1E1E"/>
                <w:sz w:val="24"/>
                <w:szCs w:val="24"/>
              </w:rPr>
              <w:t>51</w:t>
            </w:r>
          </w:p>
        </w:tc>
        <w:tc>
          <w:tcPr>
            <w:tcW w:w="7510" w:type="dxa"/>
            <w:tcBorders>
              <w:top w:val="nil"/>
              <w:left w:val="nil"/>
              <w:bottom w:val="single" w:sz="4" w:space="0" w:color="auto"/>
              <w:right w:val="single" w:sz="4" w:space="0" w:color="auto"/>
            </w:tcBorders>
            <w:shd w:val="clear" w:color="auto" w:fill="auto"/>
            <w:noWrap/>
            <w:vAlign w:val="center"/>
            <w:hideMark/>
          </w:tcPr>
          <w:p w:rsidR="00C677DB" w:rsidRPr="00C677DB" w:rsidRDefault="00C677DB" w:rsidP="00C677DB">
            <w:pPr>
              <w:widowControl/>
              <w:jc w:val="left"/>
              <w:rPr>
                <w:bCs/>
                <w:color w:val="1E1E1E"/>
                <w:sz w:val="24"/>
                <w:szCs w:val="24"/>
              </w:rPr>
            </w:pPr>
            <w:r w:rsidRPr="00C677DB">
              <w:rPr>
                <w:rFonts w:hint="eastAsia"/>
                <w:bCs/>
                <w:color w:val="1E1E1E"/>
                <w:sz w:val="24"/>
                <w:szCs w:val="24"/>
              </w:rPr>
              <w:t>申万菱信消费增长混合型证券投资基金</w:t>
            </w:r>
          </w:p>
        </w:tc>
      </w:tr>
      <w:tr w:rsidR="00C677DB" w:rsidRPr="00C677DB" w:rsidTr="00C677DB">
        <w:trPr>
          <w:trHeight w:val="43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C677DB" w:rsidRPr="00C677DB" w:rsidRDefault="00C677DB" w:rsidP="00C677DB">
            <w:pPr>
              <w:widowControl/>
              <w:jc w:val="center"/>
              <w:rPr>
                <w:bCs/>
                <w:color w:val="1E1E1E"/>
                <w:sz w:val="24"/>
                <w:szCs w:val="24"/>
              </w:rPr>
            </w:pPr>
            <w:r w:rsidRPr="00C677DB">
              <w:rPr>
                <w:rFonts w:hint="eastAsia"/>
                <w:bCs/>
                <w:color w:val="1E1E1E"/>
                <w:sz w:val="24"/>
                <w:szCs w:val="24"/>
              </w:rPr>
              <w:t>52</w:t>
            </w:r>
          </w:p>
        </w:tc>
        <w:tc>
          <w:tcPr>
            <w:tcW w:w="7510" w:type="dxa"/>
            <w:tcBorders>
              <w:top w:val="nil"/>
              <w:left w:val="nil"/>
              <w:bottom w:val="single" w:sz="4" w:space="0" w:color="auto"/>
              <w:right w:val="single" w:sz="4" w:space="0" w:color="auto"/>
            </w:tcBorders>
            <w:shd w:val="clear" w:color="auto" w:fill="auto"/>
            <w:noWrap/>
            <w:vAlign w:val="center"/>
            <w:hideMark/>
          </w:tcPr>
          <w:p w:rsidR="00C677DB" w:rsidRPr="00C677DB" w:rsidRDefault="00C677DB" w:rsidP="00C677DB">
            <w:pPr>
              <w:widowControl/>
              <w:jc w:val="left"/>
              <w:rPr>
                <w:bCs/>
                <w:color w:val="1E1E1E"/>
                <w:sz w:val="24"/>
                <w:szCs w:val="24"/>
              </w:rPr>
            </w:pPr>
            <w:r w:rsidRPr="00C677DB">
              <w:rPr>
                <w:rFonts w:hint="eastAsia"/>
                <w:bCs/>
                <w:color w:val="1E1E1E"/>
                <w:sz w:val="24"/>
                <w:szCs w:val="24"/>
              </w:rPr>
              <w:t>申万菱信新动力混合型证券投资基金</w:t>
            </w:r>
          </w:p>
        </w:tc>
      </w:tr>
      <w:tr w:rsidR="00C677DB" w:rsidRPr="00C677DB" w:rsidTr="00C677DB">
        <w:trPr>
          <w:trHeight w:val="43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C677DB" w:rsidRPr="00C677DB" w:rsidRDefault="00C677DB" w:rsidP="00C677DB">
            <w:pPr>
              <w:widowControl/>
              <w:jc w:val="center"/>
              <w:rPr>
                <w:bCs/>
                <w:color w:val="1E1E1E"/>
                <w:sz w:val="24"/>
                <w:szCs w:val="24"/>
              </w:rPr>
            </w:pPr>
            <w:r w:rsidRPr="00C677DB">
              <w:rPr>
                <w:rFonts w:hint="eastAsia"/>
                <w:bCs/>
                <w:color w:val="1E1E1E"/>
                <w:sz w:val="24"/>
                <w:szCs w:val="24"/>
              </w:rPr>
              <w:t>53</w:t>
            </w:r>
          </w:p>
        </w:tc>
        <w:tc>
          <w:tcPr>
            <w:tcW w:w="7510" w:type="dxa"/>
            <w:tcBorders>
              <w:top w:val="nil"/>
              <w:left w:val="nil"/>
              <w:bottom w:val="single" w:sz="4" w:space="0" w:color="auto"/>
              <w:right w:val="single" w:sz="4" w:space="0" w:color="auto"/>
            </w:tcBorders>
            <w:shd w:val="clear" w:color="auto" w:fill="auto"/>
            <w:noWrap/>
            <w:vAlign w:val="center"/>
            <w:hideMark/>
          </w:tcPr>
          <w:p w:rsidR="00C677DB" w:rsidRPr="00C677DB" w:rsidRDefault="00C677DB" w:rsidP="00C677DB">
            <w:pPr>
              <w:widowControl/>
              <w:jc w:val="left"/>
              <w:rPr>
                <w:bCs/>
                <w:color w:val="1E1E1E"/>
                <w:sz w:val="24"/>
                <w:szCs w:val="24"/>
              </w:rPr>
            </w:pPr>
            <w:r w:rsidRPr="00C677DB">
              <w:rPr>
                <w:rFonts w:hint="eastAsia"/>
                <w:bCs/>
                <w:color w:val="1E1E1E"/>
                <w:sz w:val="24"/>
                <w:szCs w:val="24"/>
              </w:rPr>
              <w:t>申万菱信新经济混合型证券投资基金</w:t>
            </w:r>
          </w:p>
        </w:tc>
      </w:tr>
      <w:tr w:rsidR="00C677DB" w:rsidRPr="00C677DB" w:rsidTr="00C677DB">
        <w:trPr>
          <w:trHeight w:val="43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C677DB" w:rsidRPr="00C677DB" w:rsidRDefault="00C677DB" w:rsidP="00C677DB">
            <w:pPr>
              <w:widowControl/>
              <w:jc w:val="center"/>
              <w:rPr>
                <w:bCs/>
                <w:color w:val="1E1E1E"/>
                <w:sz w:val="24"/>
                <w:szCs w:val="24"/>
              </w:rPr>
            </w:pPr>
            <w:r w:rsidRPr="00C677DB">
              <w:rPr>
                <w:rFonts w:hint="eastAsia"/>
                <w:bCs/>
                <w:color w:val="1E1E1E"/>
                <w:sz w:val="24"/>
                <w:szCs w:val="24"/>
              </w:rPr>
              <w:t>54</w:t>
            </w:r>
          </w:p>
        </w:tc>
        <w:tc>
          <w:tcPr>
            <w:tcW w:w="7510" w:type="dxa"/>
            <w:tcBorders>
              <w:top w:val="nil"/>
              <w:left w:val="nil"/>
              <w:bottom w:val="single" w:sz="4" w:space="0" w:color="auto"/>
              <w:right w:val="single" w:sz="4" w:space="0" w:color="auto"/>
            </w:tcBorders>
            <w:shd w:val="clear" w:color="auto" w:fill="auto"/>
            <w:noWrap/>
            <w:vAlign w:val="center"/>
            <w:hideMark/>
          </w:tcPr>
          <w:p w:rsidR="00C677DB" w:rsidRPr="00C677DB" w:rsidRDefault="00C677DB" w:rsidP="00C677DB">
            <w:pPr>
              <w:widowControl/>
              <w:jc w:val="left"/>
              <w:rPr>
                <w:bCs/>
                <w:color w:val="1E1E1E"/>
                <w:sz w:val="24"/>
                <w:szCs w:val="24"/>
              </w:rPr>
            </w:pPr>
            <w:r w:rsidRPr="00C677DB">
              <w:rPr>
                <w:rFonts w:hint="eastAsia"/>
                <w:bCs/>
                <w:color w:val="1E1E1E"/>
                <w:sz w:val="24"/>
                <w:szCs w:val="24"/>
              </w:rPr>
              <w:t>申万菱信新能源汽车主题灵活配置混合型证券投资基金</w:t>
            </w:r>
          </w:p>
        </w:tc>
      </w:tr>
      <w:tr w:rsidR="00C677DB" w:rsidRPr="00C677DB" w:rsidTr="00C677DB">
        <w:trPr>
          <w:trHeight w:val="43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C677DB" w:rsidRPr="00C677DB" w:rsidRDefault="00C677DB" w:rsidP="00C677DB">
            <w:pPr>
              <w:widowControl/>
              <w:jc w:val="center"/>
              <w:rPr>
                <w:bCs/>
                <w:color w:val="1E1E1E"/>
                <w:sz w:val="24"/>
                <w:szCs w:val="24"/>
              </w:rPr>
            </w:pPr>
            <w:r w:rsidRPr="00C677DB">
              <w:rPr>
                <w:rFonts w:hint="eastAsia"/>
                <w:bCs/>
                <w:color w:val="1E1E1E"/>
                <w:sz w:val="24"/>
                <w:szCs w:val="24"/>
              </w:rPr>
              <w:lastRenderedPageBreak/>
              <w:t>55</w:t>
            </w:r>
          </w:p>
        </w:tc>
        <w:tc>
          <w:tcPr>
            <w:tcW w:w="7510" w:type="dxa"/>
            <w:tcBorders>
              <w:top w:val="nil"/>
              <w:left w:val="nil"/>
              <w:bottom w:val="single" w:sz="4" w:space="0" w:color="auto"/>
              <w:right w:val="single" w:sz="4" w:space="0" w:color="auto"/>
            </w:tcBorders>
            <w:shd w:val="clear" w:color="auto" w:fill="auto"/>
            <w:noWrap/>
            <w:vAlign w:val="center"/>
            <w:hideMark/>
          </w:tcPr>
          <w:p w:rsidR="00C677DB" w:rsidRPr="00C677DB" w:rsidRDefault="00C677DB" w:rsidP="00C677DB">
            <w:pPr>
              <w:widowControl/>
              <w:jc w:val="left"/>
              <w:rPr>
                <w:bCs/>
                <w:color w:val="1E1E1E"/>
                <w:sz w:val="24"/>
                <w:szCs w:val="24"/>
              </w:rPr>
            </w:pPr>
            <w:r w:rsidRPr="00C677DB">
              <w:rPr>
                <w:rFonts w:hint="eastAsia"/>
                <w:bCs/>
                <w:color w:val="1E1E1E"/>
                <w:sz w:val="24"/>
                <w:szCs w:val="24"/>
              </w:rPr>
              <w:t>申万菱信鑫享稳健混合型发起式证券投资基金</w:t>
            </w:r>
          </w:p>
        </w:tc>
      </w:tr>
      <w:tr w:rsidR="00C677DB" w:rsidRPr="00C677DB" w:rsidTr="00C677DB">
        <w:trPr>
          <w:trHeight w:val="43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C677DB" w:rsidRPr="00C677DB" w:rsidRDefault="00C677DB" w:rsidP="00C677DB">
            <w:pPr>
              <w:widowControl/>
              <w:jc w:val="center"/>
              <w:rPr>
                <w:bCs/>
                <w:color w:val="1E1E1E"/>
                <w:sz w:val="24"/>
                <w:szCs w:val="24"/>
              </w:rPr>
            </w:pPr>
            <w:r w:rsidRPr="00C677DB">
              <w:rPr>
                <w:rFonts w:hint="eastAsia"/>
                <w:bCs/>
                <w:color w:val="1E1E1E"/>
                <w:sz w:val="24"/>
                <w:szCs w:val="24"/>
              </w:rPr>
              <w:t>56</w:t>
            </w:r>
          </w:p>
        </w:tc>
        <w:tc>
          <w:tcPr>
            <w:tcW w:w="7510" w:type="dxa"/>
            <w:tcBorders>
              <w:top w:val="nil"/>
              <w:left w:val="nil"/>
              <w:bottom w:val="single" w:sz="4" w:space="0" w:color="auto"/>
              <w:right w:val="single" w:sz="4" w:space="0" w:color="auto"/>
            </w:tcBorders>
            <w:shd w:val="clear" w:color="auto" w:fill="auto"/>
            <w:noWrap/>
            <w:vAlign w:val="center"/>
            <w:hideMark/>
          </w:tcPr>
          <w:p w:rsidR="00C677DB" w:rsidRPr="00C677DB" w:rsidRDefault="00C677DB" w:rsidP="00C677DB">
            <w:pPr>
              <w:widowControl/>
              <w:jc w:val="left"/>
              <w:rPr>
                <w:bCs/>
                <w:color w:val="1E1E1E"/>
                <w:sz w:val="24"/>
                <w:szCs w:val="24"/>
              </w:rPr>
            </w:pPr>
            <w:r w:rsidRPr="00C677DB">
              <w:rPr>
                <w:rFonts w:hint="eastAsia"/>
                <w:bCs/>
                <w:color w:val="1E1E1E"/>
                <w:sz w:val="24"/>
                <w:szCs w:val="24"/>
              </w:rPr>
              <w:t>申万菱信行业轮动股票型证券投资基金</w:t>
            </w:r>
          </w:p>
        </w:tc>
      </w:tr>
      <w:tr w:rsidR="00C677DB" w:rsidRPr="00C677DB" w:rsidTr="00C677DB">
        <w:trPr>
          <w:trHeight w:val="43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C677DB" w:rsidRPr="00C677DB" w:rsidRDefault="00C677DB" w:rsidP="00C677DB">
            <w:pPr>
              <w:widowControl/>
              <w:jc w:val="center"/>
              <w:rPr>
                <w:bCs/>
                <w:color w:val="1E1E1E"/>
                <w:sz w:val="24"/>
                <w:szCs w:val="24"/>
              </w:rPr>
            </w:pPr>
            <w:r w:rsidRPr="00C677DB">
              <w:rPr>
                <w:rFonts w:hint="eastAsia"/>
                <w:bCs/>
                <w:color w:val="1E1E1E"/>
                <w:sz w:val="24"/>
                <w:szCs w:val="24"/>
              </w:rPr>
              <w:t>57</w:t>
            </w:r>
          </w:p>
        </w:tc>
        <w:tc>
          <w:tcPr>
            <w:tcW w:w="7510" w:type="dxa"/>
            <w:tcBorders>
              <w:top w:val="nil"/>
              <w:left w:val="nil"/>
              <w:bottom w:val="single" w:sz="4" w:space="0" w:color="auto"/>
              <w:right w:val="single" w:sz="4" w:space="0" w:color="auto"/>
            </w:tcBorders>
            <w:shd w:val="clear" w:color="auto" w:fill="auto"/>
            <w:noWrap/>
            <w:vAlign w:val="center"/>
            <w:hideMark/>
          </w:tcPr>
          <w:p w:rsidR="00C677DB" w:rsidRPr="00C677DB" w:rsidRDefault="00C677DB" w:rsidP="00C677DB">
            <w:pPr>
              <w:widowControl/>
              <w:jc w:val="left"/>
              <w:rPr>
                <w:bCs/>
                <w:color w:val="1E1E1E"/>
                <w:sz w:val="24"/>
                <w:szCs w:val="24"/>
              </w:rPr>
            </w:pPr>
            <w:r w:rsidRPr="00C677DB">
              <w:rPr>
                <w:rFonts w:hint="eastAsia"/>
                <w:bCs/>
                <w:color w:val="1E1E1E"/>
                <w:sz w:val="24"/>
                <w:szCs w:val="24"/>
              </w:rPr>
              <w:t>申万菱信兴乐优选混合型证券投资基金</w:t>
            </w:r>
          </w:p>
        </w:tc>
      </w:tr>
      <w:tr w:rsidR="00C677DB" w:rsidRPr="00C677DB" w:rsidTr="00C677DB">
        <w:trPr>
          <w:trHeight w:val="43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C677DB" w:rsidRPr="00C677DB" w:rsidRDefault="00C677DB" w:rsidP="00C677DB">
            <w:pPr>
              <w:widowControl/>
              <w:jc w:val="center"/>
              <w:rPr>
                <w:bCs/>
                <w:color w:val="1E1E1E"/>
                <w:sz w:val="24"/>
                <w:szCs w:val="24"/>
              </w:rPr>
            </w:pPr>
            <w:r w:rsidRPr="00C677DB">
              <w:rPr>
                <w:rFonts w:hint="eastAsia"/>
                <w:bCs/>
                <w:color w:val="1E1E1E"/>
                <w:sz w:val="24"/>
                <w:szCs w:val="24"/>
              </w:rPr>
              <w:t>58</w:t>
            </w:r>
          </w:p>
        </w:tc>
        <w:tc>
          <w:tcPr>
            <w:tcW w:w="7510" w:type="dxa"/>
            <w:tcBorders>
              <w:top w:val="nil"/>
              <w:left w:val="nil"/>
              <w:bottom w:val="single" w:sz="4" w:space="0" w:color="auto"/>
              <w:right w:val="single" w:sz="4" w:space="0" w:color="auto"/>
            </w:tcBorders>
            <w:shd w:val="clear" w:color="auto" w:fill="auto"/>
            <w:noWrap/>
            <w:vAlign w:val="center"/>
            <w:hideMark/>
          </w:tcPr>
          <w:p w:rsidR="00C677DB" w:rsidRPr="00C677DB" w:rsidRDefault="00C677DB" w:rsidP="00C677DB">
            <w:pPr>
              <w:widowControl/>
              <w:jc w:val="left"/>
              <w:rPr>
                <w:bCs/>
                <w:color w:val="1E1E1E"/>
                <w:sz w:val="24"/>
                <w:szCs w:val="24"/>
              </w:rPr>
            </w:pPr>
            <w:r w:rsidRPr="00C677DB">
              <w:rPr>
                <w:rFonts w:hint="eastAsia"/>
                <w:bCs/>
                <w:color w:val="1E1E1E"/>
                <w:sz w:val="24"/>
                <w:szCs w:val="24"/>
              </w:rPr>
              <w:t>申万菱信养老目标日期</w:t>
            </w:r>
            <w:r w:rsidRPr="00C677DB">
              <w:rPr>
                <w:rFonts w:hint="eastAsia"/>
                <w:bCs/>
                <w:color w:val="1E1E1E"/>
                <w:sz w:val="24"/>
                <w:szCs w:val="24"/>
              </w:rPr>
              <w:t>2040</w:t>
            </w:r>
            <w:r w:rsidRPr="00C677DB">
              <w:rPr>
                <w:rFonts w:hint="eastAsia"/>
                <w:bCs/>
                <w:color w:val="1E1E1E"/>
                <w:sz w:val="24"/>
                <w:szCs w:val="24"/>
              </w:rPr>
              <w:t>三年持有期混合型发起式基金中基金（</w:t>
            </w:r>
            <w:r w:rsidRPr="00C677DB">
              <w:rPr>
                <w:rFonts w:hint="eastAsia"/>
                <w:bCs/>
                <w:color w:val="1E1E1E"/>
                <w:sz w:val="24"/>
                <w:szCs w:val="24"/>
              </w:rPr>
              <w:t>FOF</w:t>
            </w:r>
            <w:r w:rsidRPr="00C677DB">
              <w:rPr>
                <w:rFonts w:hint="eastAsia"/>
                <w:bCs/>
                <w:color w:val="1E1E1E"/>
                <w:sz w:val="24"/>
                <w:szCs w:val="24"/>
              </w:rPr>
              <w:t>）</w:t>
            </w:r>
          </w:p>
        </w:tc>
      </w:tr>
      <w:tr w:rsidR="00C677DB" w:rsidRPr="00C677DB" w:rsidTr="00C677DB">
        <w:trPr>
          <w:trHeight w:val="43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C677DB" w:rsidRPr="00C677DB" w:rsidRDefault="00C677DB" w:rsidP="00C677DB">
            <w:pPr>
              <w:widowControl/>
              <w:jc w:val="center"/>
              <w:rPr>
                <w:bCs/>
                <w:color w:val="1E1E1E"/>
                <w:sz w:val="24"/>
                <w:szCs w:val="24"/>
              </w:rPr>
            </w:pPr>
            <w:r w:rsidRPr="00C677DB">
              <w:rPr>
                <w:rFonts w:hint="eastAsia"/>
                <w:bCs/>
                <w:color w:val="1E1E1E"/>
                <w:sz w:val="24"/>
                <w:szCs w:val="24"/>
              </w:rPr>
              <w:t>59</w:t>
            </w:r>
          </w:p>
        </w:tc>
        <w:tc>
          <w:tcPr>
            <w:tcW w:w="7510" w:type="dxa"/>
            <w:tcBorders>
              <w:top w:val="nil"/>
              <w:left w:val="nil"/>
              <w:bottom w:val="single" w:sz="4" w:space="0" w:color="auto"/>
              <w:right w:val="single" w:sz="4" w:space="0" w:color="auto"/>
            </w:tcBorders>
            <w:shd w:val="clear" w:color="auto" w:fill="auto"/>
            <w:noWrap/>
            <w:vAlign w:val="center"/>
            <w:hideMark/>
          </w:tcPr>
          <w:p w:rsidR="00C677DB" w:rsidRPr="00C677DB" w:rsidRDefault="00C677DB" w:rsidP="00C677DB">
            <w:pPr>
              <w:widowControl/>
              <w:jc w:val="left"/>
              <w:rPr>
                <w:bCs/>
                <w:color w:val="1E1E1E"/>
                <w:sz w:val="24"/>
                <w:szCs w:val="24"/>
              </w:rPr>
            </w:pPr>
            <w:r w:rsidRPr="00C677DB">
              <w:rPr>
                <w:rFonts w:hint="eastAsia"/>
                <w:bCs/>
                <w:color w:val="1E1E1E"/>
                <w:sz w:val="24"/>
                <w:szCs w:val="24"/>
              </w:rPr>
              <w:t>申万菱信养老目标日期</w:t>
            </w:r>
            <w:r w:rsidRPr="00C677DB">
              <w:rPr>
                <w:rFonts w:hint="eastAsia"/>
                <w:bCs/>
                <w:color w:val="1E1E1E"/>
                <w:sz w:val="24"/>
                <w:szCs w:val="24"/>
              </w:rPr>
              <w:t>2045</w:t>
            </w:r>
            <w:r w:rsidRPr="00C677DB">
              <w:rPr>
                <w:rFonts w:hint="eastAsia"/>
                <w:bCs/>
                <w:color w:val="1E1E1E"/>
                <w:sz w:val="24"/>
                <w:szCs w:val="24"/>
              </w:rPr>
              <w:t>五年持有期混合型发起式基金中基金（</w:t>
            </w:r>
            <w:r w:rsidRPr="00C677DB">
              <w:rPr>
                <w:rFonts w:hint="eastAsia"/>
                <w:bCs/>
                <w:color w:val="1E1E1E"/>
                <w:sz w:val="24"/>
                <w:szCs w:val="24"/>
              </w:rPr>
              <w:t>FOF)</w:t>
            </w:r>
          </w:p>
        </w:tc>
      </w:tr>
      <w:tr w:rsidR="00C677DB" w:rsidRPr="00C677DB" w:rsidTr="00C677DB">
        <w:trPr>
          <w:trHeight w:val="43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C677DB" w:rsidRPr="00C677DB" w:rsidRDefault="00C677DB" w:rsidP="00C677DB">
            <w:pPr>
              <w:widowControl/>
              <w:jc w:val="center"/>
              <w:rPr>
                <w:bCs/>
                <w:color w:val="1E1E1E"/>
                <w:sz w:val="24"/>
                <w:szCs w:val="24"/>
              </w:rPr>
            </w:pPr>
            <w:r w:rsidRPr="00C677DB">
              <w:rPr>
                <w:rFonts w:hint="eastAsia"/>
                <w:bCs/>
                <w:color w:val="1E1E1E"/>
                <w:sz w:val="24"/>
                <w:szCs w:val="24"/>
              </w:rPr>
              <w:t>60</w:t>
            </w:r>
          </w:p>
        </w:tc>
        <w:tc>
          <w:tcPr>
            <w:tcW w:w="7510" w:type="dxa"/>
            <w:tcBorders>
              <w:top w:val="nil"/>
              <w:left w:val="nil"/>
              <w:bottom w:val="single" w:sz="4" w:space="0" w:color="auto"/>
              <w:right w:val="single" w:sz="4" w:space="0" w:color="auto"/>
            </w:tcBorders>
            <w:shd w:val="clear" w:color="auto" w:fill="auto"/>
            <w:noWrap/>
            <w:vAlign w:val="center"/>
            <w:hideMark/>
          </w:tcPr>
          <w:p w:rsidR="00C677DB" w:rsidRPr="00C677DB" w:rsidRDefault="00C677DB" w:rsidP="00C677DB">
            <w:pPr>
              <w:widowControl/>
              <w:jc w:val="left"/>
              <w:rPr>
                <w:bCs/>
                <w:color w:val="1E1E1E"/>
                <w:sz w:val="24"/>
                <w:szCs w:val="24"/>
              </w:rPr>
            </w:pPr>
            <w:r w:rsidRPr="00C677DB">
              <w:rPr>
                <w:rFonts w:hint="eastAsia"/>
                <w:bCs/>
                <w:color w:val="1E1E1E"/>
                <w:sz w:val="24"/>
                <w:szCs w:val="24"/>
              </w:rPr>
              <w:t>申万菱信医药先锋股票型证券投资基金</w:t>
            </w:r>
          </w:p>
        </w:tc>
      </w:tr>
      <w:tr w:rsidR="00C677DB" w:rsidRPr="00C677DB" w:rsidTr="00C677DB">
        <w:trPr>
          <w:trHeight w:val="43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C677DB" w:rsidRPr="00C677DB" w:rsidRDefault="00C677DB" w:rsidP="00C677DB">
            <w:pPr>
              <w:widowControl/>
              <w:jc w:val="center"/>
              <w:rPr>
                <w:bCs/>
                <w:color w:val="1E1E1E"/>
                <w:sz w:val="24"/>
                <w:szCs w:val="24"/>
              </w:rPr>
            </w:pPr>
            <w:r w:rsidRPr="00C677DB">
              <w:rPr>
                <w:rFonts w:hint="eastAsia"/>
                <w:bCs/>
                <w:color w:val="1E1E1E"/>
                <w:sz w:val="24"/>
                <w:szCs w:val="24"/>
              </w:rPr>
              <w:t>61</w:t>
            </w:r>
          </w:p>
        </w:tc>
        <w:tc>
          <w:tcPr>
            <w:tcW w:w="7510" w:type="dxa"/>
            <w:tcBorders>
              <w:top w:val="nil"/>
              <w:left w:val="nil"/>
              <w:bottom w:val="single" w:sz="4" w:space="0" w:color="auto"/>
              <w:right w:val="single" w:sz="4" w:space="0" w:color="auto"/>
            </w:tcBorders>
            <w:shd w:val="clear" w:color="auto" w:fill="auto"/>
            <w:noWrap/>
            <w:vAlign w:val="center"/>
            <w:hideMark/>
          </w:tcPr>
          <w:p w:rsidR="00C677DB" w:rsidRPr="00C677DB" w:rsidRDefault="00C677DB" w:rsidP="00C677DB">
            <w:pPr>
              <w:widowControl/>
              <w:jc w:val="left"/>
              <w:rPr>
                <w:bCs/>
                <w:color w:val="1E1E1E"/>
                <w:sz w:val="24"/>
                <w:szCs w:val="24"/>
              </w:rPr>
            </w:pPr>
            <w:r w:rsidRPr="00C677DB">
              <w:rPr>
                <w:rFonts w:hint="eastAsia"/>
                <w:bCs/>
                <w:color w:val="1E1E1E"/>
                <w:sz w:val="24"/>
                <w:szCs w:val="24"/>
              </w:rPr>
              <w:t>申万菱信智能汽车股票型证券投资基金</w:t>
            </w:r>
          </w:p>
        </w:tc>
      </w:tr>
      <w:tr w:rsidR="00C677DB" w:rsidRPr="00C677DB" w:rsidTr="00C677DB">
        <w:trPr>
          <w:trHeight w:val="43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C677DB" w:rsidRPr="00C677DB" w:rsidRDefault="00C677DB" w:rsidP="00C677DB">
            <w:pPr>
              <w:widowControl/>
              <w:jc w:val="center"/>
              <w:rPr>
                <w:bCs/>
                <w:color w:val="1E1E1E"/>
                <w:sz w:val="24"/>
                <w:szCs w:val="24"/>
              </w:rPr>
            </w:pPr>
            <w:r w:rsidRPr="00C677DB">
              <w:rPr>
                <w:rFonts w:hint="eastAsia"/>
                <w:bCs/>
                <w:color w:val="1E1E1E"/>
                <w:sz w:val="24"/>
                <w:szCs w:val="24"/>
              </w:rPr>
              <w:t>62</w:t>
            </w:r>
          </w:p>
        </w:tc>
        <w:tc>
          <w:tcPr>
            <w:tcW w:w="7510" w:type="dxa"/>
            <w:tcBorders>
              <w:top w:val="nil"/>
              <w:left w:val="nil"/>
              <w:bottom w:val="single" w:sz="4" w:space="0" w:color="auto"/>
              <w:right w:val="single" w:sz="4" w:space="0" w:color="auto"/>
            </w:tcBorders>
            <w:shd w:val="clear" w:color="auto" w:fill="auto"/>
            <w:noWrap/>
            <w:vAlign w:val="center"/>
            <w:hideMark/>
          </w:tcPr>
          <w:p w:rsidR="00C677DB" w:rsidRPr="00C677DB" w:rsidRDefault="00C677DB" w:rsidP="00C677DB">
            <w:pPr>
              <w:widowControl/>
              <w:jc w:val="left"/>
              <w:rPr>
                <w:bCs/>
                <w:color w:val="1E1E1E"/>
                <w:sz w:val="24"/>
                <w:szCs w:val="24"/>
              </w:rPr>
            </w:pPr>
            <w:r w:rsidRPr="00C677DB">
              <w:rPr>
                <w:rFonts w:hint="eastAsia"/>
                <w:bCs/>
                <w:color w:val="1E1E1E"/>
                <w:sz w:val="24"/>
                <w:szCs w:val="24"/>
              </w:rPr>
              <w:t>申万菱信智能驱动股票型证券投资基金</w:t>
            </w:r>
          </w:p>
        </w:tc>
      </w:tr>
      <w:tr w:rsidR="00C677DB" w:rsidRPr="00C677DB" w:rsidTr="00C677DB">
        <w:trPr>
          <w:trHeight w:val="43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C677DB" w:rsidRPr="00C677DB" w:rsidRDefault="00C677DB" w:rsidP="00C677DB">
            <w:pPr>
              <w:widowControl/>
              <w:jc w:val="center"/>
              <w:rPr>
                <w:bCs/>
                <w:color w:val="1E1E1E"/>
                <w:sz w:val="24"/>
                <w:szCs w:val="24"/>
              </w:rPr>
            </w:pPr>
            <w:r w:rsidRPr="00C677DB">
              <w:rPr>
                <w:rFonts w:hint="eastAsia"/>
                <w:bCs/>
                <w:color w:val="1E1E1E"/>
                <w:sz w:val="24"/>
                <w:szCs w:val="24"/>
              </w:rPr>
              <w:t>63</w:t>
            </w:r>
          </w:p>
        </w:tc>
        <w:tc>
          <w:tcPr>
            <w:tcW w:w="7510" w:type="dxa"/>
            <w:tcBorders>
              <w:top w:val="nil"/>
              <w:left w:val="nil"/>
              <w:bottom w:val="single" w:sz="4" w:space="0" w:color="auto"/>
              <w:right w:val="single" w:sz="4" w:space="0" w:color="auto"/>
            </w:tcBorders>
            <w:shd w:val="clear" w:color="auto" w:fill="auto"/>
            <w:noWrap/>
            <w:vAlign w:val="center"/>
            <w:hideMark/>
          </w:tcPr>
          <w:p w:rsidR="00C677DB" w:rsidRPr="00C677DB" w:rsidRDefault="00C677DB" w:rsidP="00C677DB">
            <w:pPr>
              <w:widowControl/>
              <w:jc w:val="left"/>
              <w:rPr>
                <w:bCs/>
                <w:color w:val="1E1E1E"/>
                <w:sz w:val="24"/>
                <w:szCs w:val="24"/>
              </w:rPr>
            </w:pPr>
            <w:r w:rsidRPr="00C677DB">
              <w:rPr>
                <w:rFonts w:hint="eastAsia"/>
                <w:bCs/>
                <w:color w:val="1E1E1E"/>
                <w:sz w:val="24"/>
                <w:szCs w:val="24"/>
              </w:rPr>
              <w:t>申万菱信智能生活量化选股混合型发起式证券投资基金</w:t>
            </w:r>
          </w:p>
        </w:tc>
      </w:tr>
      <w:tr w:rsidR="00C677DB" w:rsidRPr="00C677DB" w:rsidTr="00C677DB">
        <w:trPr>
          <w:trHeight w:val="43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C677DB" w:rsidRPr="00C677DB" w:rsidRDefault="00C677DB" w:rsidP="00C677DB">
            <w:pPr>
              <w:widowControl/>
              <w:jc w:val="center"/>
              <w:rPr>
                <w:bCs/>
                <w:color w:val="1E1E1E"/>
                <w:sz w:val="24"/>
                <w:szCs w:val="24"/>
              </w:rPr>
            </w:pPr>
            <w:r w:rsidRPr="00C677DB">
              <w:rPr>
                <w:rFonts w:hint="eastAsia"/>
                <w:bCs/>
                <w:color w:val="1E1E1E"/>
                <w:sz w:val="24"/>
                <w:szCs w:val="24"/>
              </w:rPr>
              <w:t>64</w:t>
            </w:r>
          </w:p>
        </w:tc>
        <w:tc>
          <w:tcPr>
            <w:tcW w:w="7510" w:type="dxa"/>
            <w:tcBorders>
              <w:top w:val="nil"/>
              <w:left w:val="nil"/>
              <w:bottom w:val="single" w:sz="4" w:space="0" w:color="auto"/>
              <w:right w:val="single" w:sz="4" w:space="0" w:color="auto"/>
            </w:tcBorders>
            <w:shd w:val="clear" w:color="auto" w:fill="auto"/>
            <w:noWrap/>
            <w:vAlign w:val="center"/>
            <w:hideMark/>
          </w:tcPr>
          <w:p w:rsidR="00C677DB" w:rsidRPr="00C677DB" w:rsidRDefault="00C677DB" w:rsidP="00C677DB">
            <w:pPr>
              <w:widowControl/>
              <w:jc w:val="left"/>
              <w:rPr>
                <w:bCs/>
                <w:color w:val="1E1E1E"/>
                <w:sz w:val="24"/>
                <w:szCs w:val="24"/>
              </w:rPr>
            </w:pPr>
            <w:r w:rsidRPr="00C677DB">
              <w:rPr>
                <w:rFonts w:hint="eastAsia"/>
                <w:bCs/>
                <w:color w:val="1E1E1E"/>
                <w:sz w:val="24"/>
                <w:szCs w:val="24"/>
              </w:rPr>
              <w:t>申万菱信中小企业</w:t>
            </w:r>
            <w:r w:rsidRPr="00C677DB">
              <w:rPr>
                <w:rFonts w:hint="eastAsia"/>
                <w:bCs/>
                <w:color w:val="1E1E1E"/>
                <w:sz w:val="24"/>
                <w:szCs w:val="24"/>
              </w:rPr>
              <w:t>100</w:t>
            </w:r>
            <w:r w:rsidRPr="00C677DB">
              <w:rPr>
                <w:rFonts w:hint="eastAsia"/>
                <w:bCs/>
                <w:color w:val="1E1E1E"/>
                <w:sz w:val="24"/>
                <w:szCs w:val="24"/>
              </w:rPr>
              <w:t>指数证券投资基金</w:t>
            </w:r>
            <w:r w:rsidRPr="00C677DB">
              <w:rPr>
                <w:rFonts w:hint="eastAsia"/>
                <w:bCs/>
                <w:color w:val="1E1E1E"/>
                <w:sz w:val="24"/>
                <w:szCs w:val="24"/>
              </w:rPr>
              <w:t>(LOF)</w:t>
            </w:r>
          </w:p>
        </w:tc>
      </w:tr>
      <w:tr w:rsidR="00C677DB" w:rsidRPr="00C677DB" w:rsidTr="00C677DB">
        <w:trPr>
          <w:trHeight w:val="43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C677DB" w:rsidRPr="00C677DB" w:rsidRDefault="00C677DB" w:rsidP="00C677DB">
            <w:pPr>
              <w:widowControl/>
              <w:jc w:val="center"/>
              <w:rPr>
                <w:bCs/>
                <w:color w:val="1E1E1E"/>
                <w:sz w:val="24"/>
                <w:szCs w:val="24"/>
              </w:rPr>
            </w:pPr>
            <w:r w:rsidRPr="00C677DB">
              <w:rPr>
                <w:rFonts w:hint="eastAsia"/>
                <w:bCs/>
                <w:color w:val="1E1E1E"/>
                <w:sz w:val="24"/>
                <w:szCs w:val="24"/>
              </w:rPr>
              <w:t>65</w:t>
            </w:r>
          </w:p>
        </w:tc>
        <w:tc>
          <w:tcPr>
            <w:tcW w:w="7510" w:type="dxa"/>
            <w:tcBorders>
              <w:top w:val="nil"/>
              <w:left w:val="nil"/>
              <w:bottom w:val="single" w:sz="4" w:space="0" w:color="auto"/>
              <w:right w:val="single" w:sz="4" w:space="0" w:color="auto"/>
            </w:tcBorders>
            <w:shd w:val="clear" w:color="auto" w:fill="auto"/>
            <w:noWrap/>
            <w:vAlign w:val="center"/>
            <w:hideMark/>
          </w:tcPr>
          <w:p w:rsidR="00C677DB" w:rsidRPr="00C677DB" w:rsidRDefault="00C677DB" w:rsidP="00C677DB">
            <w:pPr>
              <w:widowControl/>
              <w:jc w:val="left"/>
              <w:rPr>
                <w:bCs/>
                <w:color w:val="1E1E1E"/>
                <w:sz w:val="24"/>
                <w:szCs w:val="24"/>
              </w:rPr>
            </w:pPr>
            <w:r w:rsidRPr="00C677DB">
              <w:rPr>
                <w:rFonts w:hint="eastAsia"/>
                <w:bCs/>
                <w:color w:val="1E1E1E"/>
                <w:sz w:val="24"/>
                <w:szCs w:val="24"/>
              </w:rPr>
              <w:t>申万菱信中证</w:t>
            </w:r>
            <w:r w:rsidRPr="00C677DB">
              <w:rPr>
                <w:rFonts w:hint="eastAsia"/>
                <w:bCs/>
                <w:color w:val="1E1E1E"/>
                <w:sz w:val="24"/>
                <w:szCs w:val="24"/>
              </w:rPr>
              <w:t>500</w:t>
            </w:r>
            <w:r w:rsidRPr="00C677DB">
              <w:rPr>
                <w:rFonts w:hint="eastAsia"/>
                <w:bCs/>
                <w:color w:val="1E1E1E"/>
                <w:sz w:val="24"/>
                <w:szCs w:val="24"/>
              </w:rPr>
              <w:t>指数优选增强型证券投资基金</w:t>
            </w:r>
          </w:p>
        </w:tc>
      </w:tr>
      <w:tr w:rsidR="00C677DB" w:rsidRPr="00C677DB" w:rsidTr="00C677DB">
        <w:trPr>
          <w:trHeight w:val="43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C677DB" w:rsidRPr="00C677DB" w:rsidRDefault="00C677DB" w:rsidP="00C677DB">
            <w:pPr>
              <w:widowControl/>
              <w:jc w:val="center"/>
              <w:rPr>
                <w:bCs/>
                <w:color w:val="1E1E1E"/>
                <w:sz w:val="24"/>
                <w:szCs w:val="24"/>
              </w:rPr>
            </w:pPr>
            <w:r w:rsidRPr="00C677DB">
              <w:rPr>
                <w:rFonts w:hint="eastAsia"/>
                <w:bCs/>
                <w:color w:val="1E1E1E"/>
                <w:sz w:val="24"/>
                <w:szCs w:val="24"/>
              </w:rPr>
              <w:t>66</w:t>
            </w:r>
          </w:p>
        </w:tc>
        <w:tc>
          <w:tcPr>
            <w:tcW w:w="7510" w:type="dxa"/>
            <w:tcBorders>
              <w:top w:val="nil"/>
              <w:left w:val="nil"/>
              <w:bottom w:val="single" w:sz="4" w:space="0" w:color="auto"/>
              <w:right w:val="single" w:sz="4" w:space="0" w:color="auto"/>
            </w:tcBorders>
            <w:shd w:val="clear" w:color="auto" w:fill="auto"/>
            <w:noWrap/>
            <w:vAlign w:val="center"/>
            <w:hideMark/>
          </w:tcPr>
          <w:p w:rsidR="00C677DB" w:rsidRPr="00C677DB" w:rsidRDefault="00C677DB" w:rsidP="00C677DB">
            <w:pPr>
              <w:widowControl/>
              <w:jc w:val="left"/>
              <w:rPr>
                <w:bCs/>
                <w:color w:val="1E1E1E"/>
                <w:sz w:val="24"/>
                <w:szCs w:val="24"/>
              </w:rPr>
            </w:pPr>
            <w:r w:rsidRPr="00C677DB">
              <w:rPr>
                <w:rFonts w:hint="eastAsia"/>
                <w:bCs/>
                <w:color w:val="1E1E1E"/>
                <w:sz w:val="24"/>
                <w:szCs w:val="24"/>
              </w:rPr>
              <w:t>申万菱信中证</w:t>
            </w:r>
            <w:r w:rsidRPr="00C677DB">
              <w:rPr>
                <w:rFonts w:hint="eastAsia"/>
                <w:bCs/>
                <w:color w:val="1E1E1E"/>
                <w:sz w:val="24"/>
                <w:szCs w:val="24"/>
              </w:rPr>
              <w:t>500</w:t>
            </w:r>
            <w:r w:rsidRPr="00C677DB">
              <w:rPr>
                <w:rFonts w:hint="eastAsia"/>
                <w:bCs/>
                <w:color w:val="1E1E1E"/>
                <w:sz w:val="24"/>
                <w:szCs w:val="24"/>
              </w:rPr>
              <w:t>指数增强型证券投资基金</w:t>
            </w:r>
          </w:p>
        </w:tc>
      </w:tr>
      <w:tr w:rsidR="00C677DB" w:rsidRPr="00C677DB" w:rsidTr="00C677DB">
        <w:trPr>
          <w:trHeight w:val="43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C677DB" w:rsidRPr="00C677DB" w:rsidRDefault="00C677DB" w:rsidP="00C677DB">
            <w:pPr>
              <w:widowControl/>
              <w:jc w:val="center"/>
              <w:rPr>
                <w:bCs/>
                <w:color w:val="1E1E1E"/>
                <w:sz w:val="24"/>
                <w:szCs w:val="24"/>
              </w:rPr>
            </w:pPr>
            <w:r w:rsidRPr="00C677DB">
              <w:rPr>
                <w:rFonts w:hint="eastAsia"/>
                <w:bCs/>
                <w:color w:val="1E1E1E"/>
                <w:sz w:val="24"/>
                <w:szCs w:val="24"/>
              </w:rPr>
              <w:t>67</w:t>
            </w:r>
          </w:p>
        </w:tc>
        <w:tc>
          <w:tcPr>
            <w:tcW w:w="7510" w:type="dxa"/>
            <w:tcBorders>
              <w:top w:val="nil"/>
              <w:left w:val="nil"/>
              <w:bottom w:val="single" w:sz="4" w:space="0" w:color="auto"/>
              <w:right w:val="single" w:sz="4" w:space="0" w:color="auto"/>
            </w:tcBorders>
            <w:shd w:val="clear" w:color="auto" w:fill="auto"/>
            <w:noWrap/>
            <w:vAlign w:val="center"/>
            <w:hideMark/>
          </w:tcPr>
          <w:p w:rsidR="00C677DB" w:rsidRPr="00C677DB" w:rsidRDefault="00C677DB" w:rsidP="00C677DB">
            <w:pPr>
              <w:widowControl/>
              <w:jc w:val="left"/>
              <w:rPr>
                <w:bCs/>
                <w:color w:val="1E1E1E"/>
                <w:sz w:val="24"/>
                <w:szCs w:val="24"/>
              </w:rPr>
            </w:pPr>
            <w:r w:rsidRPr="00C677DB">
              <w:rPr>
                <w:rFonts w:hint="eastAsia"/>
                <w:bCs/>
                <w:color w:val="1E1E1E"/>
                <w:sz w:val="24"/>
                <w:szCs w:val="24"/>
              </w:rPr>
              <w:t>申万菱信中证</w:t>
            </w:r>
            <w:r w:rsidRPr="00C677DB">
              <w:rPr>
                <w:rFonts w:hint="eastAsia"/>
                <w:bCs/>
                <w:color w:val="1E1E1E"/>
                <w:sz w:val="24"/>
                <w:szCs w:val="24"/>
              </w:rPr>
              <w:t>1000</w:t>
            </w:r>
            <w:r w:rsidRPr="00C677DB">
              <w:rPr>
                <w:rFonts w:hint="eastAsia"/>
                <w:bCs/>
                <w:color w:val="1E1E1E"/>
                <w:sz w:val="24"/>
                <w:szCs w:val="24"/>
              </w:rPr>
              <w:t>指数增强型证券投资基金</w:t>
            </w:r>
          </w:p>
        </w:tc>
      </w:tr>
      <w:tr w:rsidR="00C677DB" w:rsidRPr="00C677DB" w:rsidTr="00C677DB">
        <w:trPr>
          <w:trHeight w:val="43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C677DB" w:rsidRPr="00C677DB" w:rsidRDefault="00C677DB" w:rsidP="00C677DB">
            <w:pPr>
              <w:widowControl/>
              <w:jc w:val="center"/>
              <w:rPr>
                <w:bCs/>
                <w:color w:val="1E1E1E"/>
                <w:sz w:val="24"/>
                <w:szCs w:val="24"/>
              </w:rPr>
            </w:pPr>
            <w:r w:rsidRPr="00C677DB">
              <w:rPr>
                <w:rFonts w:hint="eastAsia"/>
                <w:bCs/>
                <w:color w:val="1E1E1E"/>
                <w:sz w:val="24"/>
                <w:szCs w:val="24"/>
              </w:rPr>
              <w:t>68</w:t>
            </w:r>
          </w:p>
        </w:tc>
        <w:tc>
          <w:tcPr>
            <w:tcW w:w="7510" w:type="dxa"/>
            <w:tcBorders>
              <w:top w:val="nil"/>
              <w:left w:val="nil"/>
              <w:bottom w:val="single" w:sz="4" w:space="0" w:color="auto"/>
              <w:right w:val="single" w:sz="4" w:space="0" w:color="auto"/>
            </w:tcBorders>
            <w:shd w:val="clear" w:color="auto" w:fill="auto"/>
            <w:noWrap/>
            <w:vAlign w:val="center"/>
            <w:hideMark/>
          </w:tcPr>
          <w:p w:rsidR="00C677DB" w:rsidRPr="00C677DB" w:rsidRDefault="00C677DB" w:rsidP="00C677DB">
            <w:pPr>
              <w:widowControl/>
              <w:jc w:val="left"/>
              <w:rPr>
                <w:bCs/>
                <w:color w:val="1E1E1E"/>
                <w:sz w:val="24"/>
                <w:szCs w:val="24"/>
              </w:rPr>
            </w:pPr>
            <w:r w:rsidRPr="00C677DB">
              <w:rPr>
                <w:rFonts w:hint="eastAsia"/>
                <w:bCs/>
                <w:color w:val="1E1E1E"/>
                <w:sz w:val="24"/>
                <w:szCs w:val="24"/>
              </w:rPr>
              <w:t>申万菱信中证沪港深数字经济主题指数型发起式证券投资基金</w:t>
            </w:r>
          </w:p>
        </w:tc>
      </w:tr>
      <w:tr w:rsidR="00C677DB" w:rsidRPr="00C677DB" w:rsidTr="00C677DB">
        <w:trPr>
          <w:trHeight w:val="43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C677DB" w:rsidRPr="00C677DB" w:rsidRDefault="00C677DB" w:rsidP="00C677DB">
            <w:pPr>
              <w:widowControl/>
              <w:jc w:val="center"/>
              <w:rPr>
                <w:bCs/>
                <w:color w:val="1E1E1E"/>
                <w:sz w:val="24"/>
                <w:szCs w:val="24"/>
              </w:rPr>
            </w:pPr>
            <w:r w:rsidRPr="00C677DB">
              <w:rPr>
                <w:rFonts w:hint="eastAsia"/>
                <w:bCs/>
                <w:color w:val="1E1E1E"/>
                <w:sz w:val="24"/>
                <w:szCs w:val="24"/>
              </w:rPr>
              <w:t>69</w:t>
            </w:r>
          </w:p>
        </w:tc>
        <w:tc>
          <w:tcPr>
            <w:tcW w:w="7510" w:type="dxa"/>
            <w:tcBorders>
              <w:top w:val="nil"/>
              <w:left w:val="nil"/>
              <w:bottom w:val="single" w:sz="4" w:space="0" w:color="auto"/>
              <w:right w:val="single" w:sz="4" w:space="0" w:color="auto"/>
            </w:tcBorders>
            <w:shd w:val="clear" w:color="auto" w:fill="auto"/>
            <w:noWrap/>
            <w:vAlign w:val="center"/>
            <w:hideMark/>
          </w:tcPr>
          <w:p w:rsidR="00C677DB" w:rsidRPr="00C677DB" w:rsidRDefault="00C677DB" w:rsidP="00C677DB">
            <w:pPr>
              <w:widowControl/>
              <w:jc w:val="left"/>
              <w:rPr>
                <w:bCs/>
                <w:color w:val="1E1E1E"/>
                <w:sz w:val="24"/>
                <w:szCs w:val="24"/>
              </w:rPr>
            </w:pPr>
            <w:r w:rsidRPr="00C677DB">
              <w:rPr>
                <w:rFonts w:hint="eastAsia"/>
                <w:bCs/>
                <w:color w:val="1E1E1E"/>
                <w:sz w:val="24"/>
                <w:szCs w:val="24"/>
              </w:rPr>
              <w:t>申万菱信中证环保产业指数型证券投资基金</w:t>
            </w:r>
            <w:r w:rsidRPr="00C677DB">
              <w:rPr>
                <w:rFonts w:hint="eastAsia"/>
                <w:bCs/>
                <w:color w:val="1E1E1E"/>
                <w:sz w:val="24"/>
                <w:szCs w:val="24"/>
              </w:rPr>
              <w:t>(LOF)</w:t>
            </w:r>
          </w:p>
        </w:tc>
      </w:tr>
      <w:tr w:rsidR="00C677DB" w:rsidRPr="00C677DB" w:rsidTr="00C677DB">
        <w:trPr>
          <w:trHeight w:val="43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C677DB" w:rsidRPr="00C677DB" w:rsidRDefault="00C677DB" w:rsidP="00C677DB">
            <w:pPr>
              <w:widowControl/>
              <w:jc w:val="center"/>
              <w:rPr>
                <w:bCs/>
                <w:color w:val="1E1E1E"/>
                <w:sz w:val="24"/>
                <w:szCs w:val="24"/>
              </w:rPr>
            </w:pPr>
            <w:r w:rsidRPr="00C677DB">
              <w:rPr>
                <w:rFonts w:hint="eastAsia"/>
                <w:bCs/>
                <w:color w:val="1E1E1E"/>
                <w:sz w:val="24"/>
                <w:szCs w:val="24"/>
              </w:rPr>
              <w:t>70</w:t>
            </w:r>
          </w:p>
        </w:tc>
        <w:tc>
          <w:tcPr>
            <w:tcW w:w="7510" w:type="dxa"/>
            <w:tcBorders>
              <w:top w:val="nil"/>
              <w:left w:val="nil"/>
              <w:bottom w:val="single" w:sz="4" w:space="0" w:color="auto"/>
              <w:right w:val="single" w:sz="4" w:space="0" w:color="auto"/>
            </w:tcBorders>
            <w:shd w:val="clear" w:color="auto" w:fill="auto"/>
            <w:noWrap/>
            <w:vAlign w:val="center"/>
            <w:hideMark/>
          </w:tcPr>
          <w:p w:rsidR="00C677DB" w:rsidRPr="00C677DB" w:rsidRDefault="00C677DB" w:rsidP="00C677DB">
            <w:pPr>
              <w:widowControl/>
              <w:jc w:val="left"/>
              <w:rPr>
                <w:bCs/>
                <w:color w:val="1E1E1E"/>
                <w:sz w:val="24"/>
                <w:szCs w:val="24"/>
              </w:rPr>
            </w:pPr>
            <w:r w:rsidRPr="00C677DB">
              <w:rPr>
                <w:rFonts w:hint="eastAsia"/>
                <w:bCs/>
                <w:color w:val="1E1E1E"/>
                <w:sz w:val="24"/>
                <w:szCs w:val="24"/>
              </w:rPr>
              <w:t>申万菱信中证军工指数型证券投资基金</w:t>
            </w:r>
          </w:p>
        </w:tc>
      </w:tr>
      <w:tr w:rsidR="00C677DB" w:rsidRPr="00C677DB" w:rsidTr="00C677DB">
        <w:trPr>
          <w:trHeight w:val="43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C677DB" w:rsidRPr="00C677DB" w:rsidRDefault="00C677DB" w:rsidP="00C677DB">
            <w:pPr>
              <w:widowControl/>
              <w:jc w:val="center"/>
              <w:rPr>
                <w:bCs/>
                <w:color w:val="1E1E1E"/>
                <w:sz w:val="24"/>
                <w:szCs w:val="24"/>
              </w:rPr>
            </w:pPr>
            <w:r w:rsidRPr="00C677DB">
              <w:rPr>
                <w:rFonts w:hint="eastAsia"/>
                <w:bCs/>
                <w:color w:val="1E1E1E"/>
                <w:sz w:val="24"/>
                <w:szCs w:val="24"/>
              </w:rPr>
              <w:t>71</w:t>
            </w:r>
          </w:p>
        </w:tc>
        <w:tc>
          <w:tcPr>
            <w:tcW w:w="7510" w:type="dxa"/>
            <w:tcBorders>
              <w:top w:val="nil"/>
              <w:left w:val="nil"/>
              <w:bottom w:val="single" w:sz="4" w:space="0" w:color="auto"/>
              <w:right w:val="single" w:sz="4" w:space="0" w:color="auto"/>
            </w:tcBorders>
            <w:shd w:val="clear" w:color="auto" w:fill="auto"/>
            <w:noWrap/>
            <w:vAlign w:val="center"/>
            <w:hideMark/>
          </w:tcPr>
          <w:p w:rsidR="00C677DB" w:rsidRPr="00C677DB" w:rsidRDefault="00C677DB" w:rsidP="00C677DB">
            <w:pPr>
              <w:widowControl/>
              <w:jc w:val="left"/>
              <w:rPr>
                <w:bCs/>
                <w:color w:val="1E1E1E"/>
                <w:sz w:val="24"/>
                <w:szCs w:val="24"/>
              </w:rPr>
            </w:pPr>
            <w:r w:rsidRPr="00C677DB">
              <w:rPr>
                <w:rFonts w:hint="eastAsia"/>
                <w:bCs/>
                <w:color w:val="1E1E1E"/>
                <w:sz w:val="24"/>
                <w:szCs w:val="24"/>
              </w:rPr>
              <w:t>申万菱信中证内地新能源主题交易型开放式指数证券投资基金</w:t>
            </w:r>
          </w:p>
        </w:tc>
      </w:tr>
      <w:tr w:rsidR="00C677DB" w:rsidRPr="00C677DB" w:rsidTr="00C677DB">
        <w:trPr>
          <w:trHeight w:val="43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C677DB" w:rsidRPr="00C677DB" w:rsidRDefault="00C677DB" w:rsidP="00C677DB">
            <w:pPr>
              <w:widowControl/>
              <w:jc w:val="center"/>
              <w:rPr>
                <w:bCs/>
                <w:color w:val="1E1E1E"/>
                <w:sz w:val="24"/>
                <w:szCs w:val="24"/>
              </w:rPr>
            </w:pPr>
            <w:r w:rsidRPr="00C677DB">
              <w:rPr>
                <w:rFonts w:hint="eastAsia"/>
                <w:bCs/>
                <w:color w:val="1E1E1E"/>
                <w:sz w:val="24"/>
                <w:szCs w:val="24"/>
              </w:rPr>
              <w:t>72</w:t>
            </w:r>
          </w:p>
        </w:tc>
        <w:tc>
          <w:tcPr>
            <w:tcW w:w="7510" w:type="dxa"/>
            <w:tcBorders>
              <w:top w:val="nil"/>
              <w:left w:val="nil"/>
              <w:bottom w:val="single" w:sz="4" w:space="0" w:color="auto"/>
              <w:right w:val="single" w:sz="4" w:space="0" w:color="auto"/>
            </w:tcBorders>
            <w:shd w:val="clear" w:color="auto" w:fill="auto"/>
            <w:noWrap/>
            <w:vAlign w:val="center"/>
            <w:hideMark/>
          </w:tcPr>
          <w:p w:rsidR="00C677DB" w:rsidRPr="00C677DB" w:rsidRDefault="00C677DB" w:rsidP="00C677DB">
            <w:pPr>
              <w:widowControl/>
              <w:jc w:val="left"/>
              <w:rPr>
                <w:bCs/>
                <w:color w:val="1E1E1E"/>
                <w:sz w:val="24"/>
                <w:szCs w:val="24"/>
              </w:rPr>
            </w:pPr>
            <w:r w:rsidRPr="00C677DB">
              <w:rPr>
                <w:rFonts w:hint="eastAsia"/>
                <w:bCs/>
                <w:color w:val="1E1E1E"/>
                <w:sz w:val="24"/>
                <w:szCs w:val="24"/>
              </w:rPr>
              <w:t>申万菱信中证内地新能源主题交易型开放式指数证券投资基金发起式联接基金</w:t>
            </w:r>
          </w:p>
        </w:tc>
      </w:tr>
      <w:tr w:rsidR="00C677DB" w:rsidRPr="00C677DB" w:rsidTr="00C677DB">
        <w:trPr>
          <w:trHeight w:val="43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C677DB" w:rsidRPr="00C677DB" w:rsidRDefault="00C677DB" w:rsidP="00C677DB">
            <w:pPr>
              <w:widowControl/>
              <w:jc w:val="center"/>
              <w:rPr>
                <w:bCs/>
                <w:color w:val="1E1E1E"/>
                <w:sz w:val="24"/>
                <w:szCs w:val="24"/>
              </w:rPr>
            </w:pPr>
            <w:r w:rsidRPr="00C677DB">
              <w:rPr>
                <w:rFonts w:hint="eastAsia"/>
                <w:bCs/>
                <w:color w:val="1E1E1E"/>
                <w:sz w:val="24"/>
                <w:szCs w:val="24"/>
              </w:rPr>
              <w:t>73</w:t>
            </w:r>
          </w:p>
        </w:tc>
        <w:tc>
          <w:tcPr>
            <w:tcW w:w="7510" w:type="dxa"/>
            <w:tcBorders>
              <w:top w:val="nil"/>
              <w:left w:val="nil"/>
              <w:bottom w:val="single" w:sz="4" w:space="0" w:color="auto"/>
              <w:right w:val="single" w:sz="4" w:space="0" w:color="auto"/>
            </w:tcBorders>
            <w:shd w:val="clear" w:color="auto" w:fill="auto"/>
            <w:noWrap/>
            <w:vAlign w:val="center"/>
            <w:hideMark/>
          </w:tcPr>
          <w:p w:rsidR="00C677DB" w:rsidRPr="00C677DB" w:rsidRDefault="00C677DB" w:rsidP="00C677DB">
            <w:pPr>
              <w:widowControl/>
              <w:jc w:val="left"/>
              <w:rPr>
                <w:bCs/>
                <w:color w:val="1E1E1E"/>
                <w:sz w:val="24"/>
                <w:szCs w:val="24"/>
              </w:rPr>
            </w:pPr>
            <w:r w:rsidRPr="00C677DB">
              <w:rPr>
                <w:rFonts w:hint="eastAsia"/>
                <w:bCs/>
                <w:color w:val="1E1E1E"/>
                <w:sz w:val="24"/>
                <w:szCs w:val="24"/>
              </w:rPr>
              <w:t>申万菱信中证申万电子行业投资指数型证券投资基金（</w:t>
            </w:r>
            <w:r w:rsidRPr="00C677DB">
              <w:rPr>
                <w:rFonts w:hint="eastAsia"/>
                <w:bCs/>
                <w:color w:val="1E1E1E"/>
                <w:sz w:val="24"/>
                <w:szCs w:val="24"/>
              </w:rPr>
              <w:t>LOF</w:t>
            </w:r>
            <w:r w:rsidRPr="00C677DB">
              <w:rPr>
                <w:rFonts w:hint="eastAsia"/>
                <w:bCs/>
                <w:color w:val="1E1E1E"/>
                <w:sz w:val="24"/>
                <w:szCs w:val="24"/>
              </w:rPr>
              <w:t>）</w:t>
            </w:r>
          </w:p>
        </w:tc>
      </w:tr>
      <w:tr w:rsidR="00C677DB" w:rsidRPr="00C677DB" w:rsidTr="00C677DB">
        <w:trPr>
          <w:trHeight w:val="43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C677DB" w:rsidRPr="00C677DB" w:rsidRDefault="00C677DB" w:rsidP="00C677DB">
            <w:pPr>
              <w:widowControl/>
              <w:jc w:val="center"/>
              <w:rPr>
                <w:bCs/>
                <w:color w:val="1E1E1E"/>
                <w:sz w:val="24"/>
                <w:szCs w:val="24"/>
              </w:rPr>
            </w:pPr>
            <w:r w:rsidRPr="00C677DB">
              <w:rPr>
                <w:rFonts w:hint="eastAsia"/>
                <w:bCs/>
                <w:color w:val="1E1E1E"/>
                <w:sz w:val="24"/>
                <w:szCs w:val="24"/>
              </w:rPr>
              <w:t>74</w:t>
            </w:r>
          </w:p>
        </w:tc>
        <w:tc>
          <w:tcPr>
            <w:tcW w:w="7510" w:type="dxa"/>
            <w:tcBorders>
              <w:top w:val="nil"/>
              <w:left w:val="nil"/>
              <w:bottom w:val="single" w:sz="4" w:space="0" w:color="auto"/>
              <w:right w:val="single" w:sz="4" w:space="0" w:color="auto"/>
            </w:tcBorders>
            <w:shd w:val="clear" w:color="auto" w:fill="auto"/>
            <w:noWrap/>
            <w:vAlign w:val="center"/>
            <w:hideMark/>
          </w:tcPr>
          <w:p w:rsidR="00C677DB" w:rsidRPr="00C677DB" w:rsidRDefault="00C677DB" w:rsidP="00C677DB">
            <w:pPr>
              <w:widowControl/>
              <w:jc w:val="left"/>
              <w:rPr>
                <w:bCs/>
                <w:color w:val="1E1E1E"/>
                <w:sz w:val="24"/>
                <w:szCs w:val="24"/>
              </w:rPr>
            </w:pPr>
            <w:r w:rsidRPr="00C677DB">
              <w:rPr>
                <w:rFonts w:hint="eastAsia"/>
                <w:bCs/>
                <w:color w:val="1E1E1E"/>
                <w:sz w:val="24"/>
                <w:szCs w:val="24"/>
              </w:rPr>
              <w:t>申万菱信中证申万医药生物指数型证券投资基金</w:t>
            </w:r>
          </w:p>
        </w:tc>
      </w:tr>
      <w:tr w:rsidR="00C677DB" w:rsidRPr="00C677DB" w:rsidTr="00C677DB">
        <w:trPr>
          <w:trHeight w:val="43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C677DB" w:rsidRPr="00C677DB" w:rsidRDefault="00C677DB" w:rsidP="00C677DB">
            <w:pPr>
              <w:widowControl/>
              <w:jc w:val="center"/>
              <w:rPr>
                <w:bCs/>
                <w:color w:val="1E1E1E"/>
                <w:sz w:val="24"/>
                <w:szCs w:val="24"/>
              </w:rPr>
            </w:pPr>
            <w:r w:rsidRPr="00C677DB">
              <w:rPr>
                <w:rFonts w:hint="eastAsia"/>
                <w:bCs/>
                <w:color w:val="1E1E1E"/>
                <w:sz w:val="24"/>
                <w:szCs w:val="24"/>
              </w:rPr>
              <w:t>75</w:t>
            </w:r>
          </w:p>
        </w:tc>
        <w:tc>
          <w:tcPr>
            <w:tcW w:w="7510" w:type="dxa"/>
            <w:tcBorders>
              <w:top w:val="nil"/>
              <w:left w:val="nil"/>
              <w:bottom w:val="single" w:sz="4" w:space="0" w:color="auto"/>
              <w:right w:val="single" w:sz="4" w:space="0" w:color="auto"/>
            </w:tcBorders>
            <w:shd w:val="clear" w:color="auto" w:fill="auto"/>
            <w:noWrap/>
            <w:vAlign w:val="center"/>
            <w:hideMark/>
          </w:tcPr>
          <w:p w:rsidR="00C677DB" w:rsidRPr="00C677DB" w:rsidRDefault="00C677DB" w:rsidP="00C677DB">
            <w:pPr>
              <w:widowControl/>
              <w:jc w:val="left"/>
              <w:rPr>
                <w:bCs/>
                <w:color w:val="1E1E1E"/>
                <w:sz w:val="24"/>
                <w:szCs w:val="24"/>
              </w:rPr>
            </w:pPr>
            <w:r w:rsidRPr="00C677DB">
              <w:rPr>
                <w:rFonts w:hint="eastAsia"/>
                <w:bCs/>
                <w:color w:val="1E1E1E"/>
                <w:sz w:val="24"/>
                <w:szCs w:val="24"/>
              </w:rPr>
              <w:t>申万菱信中证申万证券行业指数型证券投资基金</w:t>
            </w:r>
          </w:p>
        </w:tc>
      </w:tr>
      <w:tr w:rsidR="00C677DB" w:rsidRPr="00C677DB" w:rsidTr="00C677DB">
        <w:trPr>
          <w:trHeight w:val="43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C677DB" w:rsidRPr="00C677DB" w:rsidRDefault="00C677DB" w:rsidP="00C677DB">
            <w:pPr>
              <w:widowControl/>
              <w:jc w:val="center"/>
              <w:rPr>
                <w:bCs/>
                <w:color w:val="1E1E1E"/>
                <w:sz w:val="24"/>
                <w:szCs w:val="24"/>
              </w:rPr>
            </w:pPr>
            <w:r w:rsidRPr="00C677DB">
              <w:rPr>
                <w:rFonts w:hint="eastAsia"/>
                <w:bCs/>
                <w:color w:val="1E1E1E"/>
                <w:sz w:val="24"/>
                <w:szCs w:val="24"/>
              </w:rPr>
              <w:t>76</w:t>
            </w:r>
          </w:p>
        </w:tc>
        <w:tc>
          <w:tcPr>
            <w:tcW w:w="7510" w:type="dxa"/>
            <w:tcBorders>
              <w:top w:val="nil"/>
              <w:left w:val="nil"/>
              <w:bottom w:val="single" w:sz="4" w:space="0" w:color="auto"/>
              <w:right w:val="single" w:sz="4" w:space="0" w:color="auto"/>
            </w:tcBorders>
            <w:shd w:val="clear" w:color="auto" w:fill="auto"/>
            <w:noWrap/>
            <w:vAlign w:val="center"/>
            <w:hideMark/>
          </w:tcPr>
          <w:p w:rsidR="00C677DB" w:rsidRPr="00C677DB" w:rsidRDefault="00C677DB" w:rsidP="00C677DB">
            <w:pPr>
              <w:widowControl/>
              <w:jc w:val="left"/>
              <w:rPr>
                <w:bCs/>
                <w:color w:val="1E1E1E"/>
                <w:sz w:val="24"/>
                <w:szCs w:val="24"/>
              </w:rPr>
            </w:pPr>
            <w:r w:rsidRPr="00C677DB">
              <w:rPr>
                <w:rFonts w:hint="eastAsia"/>
                <w:bCs/>
                <w:color w:val="1E1E1E"/>
                <w:sz w:val="24"/>
                <w:szCs w:val="24"/>
              </w:rPr>
              <w:t>申万菱信中证同业存单</w:t>
            </w:r>
            <w:r w:rsidRPr="00C677DB">
              <w:rPr>
                <w:rFonts w:hint="eastAsia"/>
                <w:bCs/>
                <w:color w:val="1E1E1E"/>
                <w:sz w:val="24"/>
                <w:szCs w:val="24"/>
              </w:rPr>
              <w:t>AAA</w:t>
            </w:r>
            <w:r w:rsidRPr="00C677DB">
              <w:rPr>
                <w:rFonts w:hint="eastAsia"/>
                <w:bCs/>
                <w:color w:val="1E1E1E"/>
                <w:sz w:val="24"/>
                <w:szCs w:val="24"/>
              </w:rPr>
              <w:t>指数</w:t>
            </w:r>
            <w:r w:rsidRPr="00C677DB">
              <w:rPr>
                <w:rFonts w:hint="eastAsia"/>
                <w:bCs/>
                <w:color w:val="1E1E1E"/>
                <w:sz w:val="24"/>
                <w:szCs w:val="24"/>
              </w:rPr>
              <w:t>7</w:t>
            </w:r>
            <w:r w:rsidRPr="00C677DB">
              <w:rPr>
                <w:rFonts w:hint="eastAsia"/>
                <w:bCs/>
                <w:color w:val="1E1E1E"/>
                <w:sz w:val="24"/>
                <w:szCs w:val="24"/>
              </w:rPr>
              <w:t>天持有期证券投资基金</w:t>
            </w:r>
          </w:p>
        </w:tc>
      </w:tr>
      <w:tr w:rsidR="00C677DB" w:rsidRPr="00C677DB" w:rsidTr="00C677DB">
        <w:trPr>
          <w:trHeight w:val="43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C677DB" w:rsidRPr="00C677DB" w:rsidRDefault="00C677DB" w:rsidP="00C677DB">
            <w:pPr>
              <w:widowControl/>
              <w:jc w:val="center"/>
              <w:rPr>
                <w:bCs/>
                <w:color w:val="1E1E1E"/>
                <w:sz w:val="24"/>
                <w:szCs w:val="24"/>
              </w:rPr>
            </w:pPr>
            <w:r w:rsidRPr="00C677DB">
              <w:rPr>
                <w:rFonts w:hint="eastAsia"/>
                <w:bCs/>
                <w:color w:val="1E1E1E"/>
                <w:sz w:val="24"/>
                <w:szCs w:val="24"/>
              </w:rPr>
              <w:t>77</w:t>
            </w:r>
          </w:p>
        </w:tc>
        <w:tc>
          <w:tcPr>
            <w:tcW w:w="7510" w:type="dxa"/>
            <w:tcBorders>
              <w:top w:val="nil"/>
              <w:left w:val="nil"/>
              <w:bottom w:val="single" w:sz="4" w:space="0" w:color="auto"/>
              <w:right w:val="single" w:sz="4" w:space="0" w:color="auto"/>
            </w:tcBorders>
            <w:shd w:val="clear" w:color="auto" w:fill="auto"/>
            <w:noWrap/>
            <w:vAlign w:val="center"/>
            <w:hideMark/>
          </w:tcPr>
          <w:p w:rsidR="00C677DB" w:rsidRPr="00C677DB" w:rsidRDefault="00C677DB" w:rsidP="00C677DB">
            <w:pPr>
              <w:widowControl/>
              <w:jc w:val="left"/>
              <w:rPr>
                <w:bCs/>
                <w:color w:val="1E1E1E"/>
                <w:sz w:val="24"/>
                <w:szCs w:val="24"/>
              </w:rPr>
            </w:pPr>
            <w:r w:rsidRPr="00C677DB">
              <w:rPr>
                <w:rFonts w:hint="eastAsia"/>
                <w:bCs/>
                <w:color w:val="1E1E1E"/>
                <w:sz w:val="24"/>
                <w:szCs w:val="24"/>
              </w:rPr>
              <w:t>申万菱信中证研发创新</w:t>
            </w:r>
            <w:r w:rsidRPr="00C677DB">
              <w:rPr>
                <w:rFonts w:hint="eastAsia"/>
                <w:bCs/>
                <w:color w:val="1E1E1E"/>
                <w:sz w:val="24"/>
                <w:szCs w:val="24"/>
              </w:rPr>
              <w:t>100</w:t>
            </w:r>
            <w:r w:rsidRPr="00C677DB">
              <w:rPr>
                <w:rFonts w:hint="eastAsia"/>
                <w:bCs/>
                <w:color w:val="1E1E1E"/>
                <w:sz w:val="24"/>
                <w:szCs w:val="24"/>
              </w:rPr>
              <w:t>交易型开放式指数证券投资基金</w:t>
            </w:r>
          </w:p>
        </w:tc>
      </w:tr>
      <w:tr w:rsidR="00C677DB" w:rsidRPr="00C677DB" w:rsidTr="00C677DB">
        <w:trPr>
          <w:trHeight w:val="43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C677DB" w:rsidRPr="00C677DB" w:rsidRDefault="00C677DB" w:rsidP="00C677DB">
            <w:pPr>
              <w:widowControl/>
              <w:jc w:val="center"/>
              <w:rPr>
                <w:bCs/>
                <w:color w:val="1E1E1E"/>
                <w:sz w:val="24"/>
                <w:szCs w:val="24"/>
              </w:rPr>
            </w:pPr>
            <w:r w:rsidRPr="00C677DB">
              <w:rPr>
                <w:rFonts w:hint="eastAsia"/>
                <w:bCs/>
                <w:color w:val="1E1E1E"/>
                <w:sz w:val="24"/>
                <w:szCs w:val="24"/>
              </w:rPr>
              <w:t>78</w:t>
            </w:r>
          </w:p>
        </w:tc>
        <w:tc>
          <w:tcPr>
            <w:tcW w:w="7510" w:type="dxa"/>
            <w:tcBorders>
              <w:top w:val="nil"/>
              <w:left w:val="nil"/>
              <w:bottom w:val="single" w:sz="4" w:space="0" w:color="auto"/>
              <w:right w:val="single" w:sz="4" w:space="0" w:color="auto"/>
            </w:tcBorders>
            <w:shd w:val="clear" w:color="auto" w:fill="auto"/>
            <w:noWrap/>
            <w:vAlign w:val="center"/>
            <w:hideMark/>
          </w:tcPr>
          <w:p w:rsidR="00C677DB" w:rsidRPr="00C677DB" w:rsidRDefault="00C677DB" w:rsidP="00C677DB">
            <w:pPr>
              <w:widowControl/>
              <w:jc w:val="left"/>
              <w:rPr>
                <w:bCs/>
                <w:color w:val="1E1E1E"/>
                <w:sz w:val="24"/>
                <w:szCs w:val="24"/>
              </w:rPr>
            </w:pPr>
            <w:r w:rsidRPr="00C677DB">
              <w:rPr>
                <w:rFonts w:hint="eastAsia"/>
                <w:bCs/>
                <w:color w:val="1E1E1E"/>
                <w:sz w:val="24"/>
                <w:szCs w:val="24"/>
              </w:rPr>
              <w:t>申万菱信中证研发创新</w:t>
            </w:r>
            <w:r w:rsidRPr="00C677DB">
              <w:rPr>
                <w:rFonts w:hint="eastAsia"/>
                <w:bCs/>
                <w:color w:val="1E1E1E"/>
                <w:sz w:val="24"/>
                <w:szCs w:val="24"/>
              </w:rPr>
              <w:t>100</w:t>
            </w:r>
            <w:r w:rsidRPr="00C677DB">
              <w:rPr>
                <w:rFonts w:hint="eastAsia"/>
                <w:bCs/>
                <w:color w:val="1E1E1E"/>
                <w:sz w:val="24"/>
                <w:szCs w:val="24"/>
              </w:rPr>
              <w:t>交易型开放式指数证券投资基金联接基金</w:t>
            </w:r>
          </w:p>
        </w:tc>
      </w:tr>
      <w:tr w:rsidR="00C677DB" w:rsidRPr="00C677DB" w:rsidTr="00C677DB">
        <w:trPr>
          <w:trHeight w:val="43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C677DB" w:rsidRPr="00C677DB" w:rsidRDefault="00C677DB" w:rsidP="00C677DB">
            <w:pPr>
              <w:widowControl/>
              <w:jc w:val="center"/>
              <w:rPr>
                <w:bCs/>
                <w:color w:val="1E1E1E"/>
                <w:sz w:val="24"/>
                <w:szCs w:val="24"/>
              </w:rPr>
            </w:pPr>
            <w:r w:rsidRPr="00C677DB">
              <w:rPr>
                <w:rFonts w:hint="eastAsia"/>
                <w:bCs/>
                <w:color w:val="1E1E1E"/>
                <w:sz w:val="24"/>
                <w:szCs w:val="24"/>
              </w:rPr>
              <w:t>79</w:t>
            </w:r>
          </w:p>
        </w:tc>
        <w:tc>
          <w:tcPr>
            <w:tcW w:w="7510" w:type="dxa"/>
            <w:tcBorders>
              <w:top w:val="nil"/>
              <w:left w:val="nil"/>
              <w:bottom w:val="single" w:sz="4" w:space="0" w:color="auto"/>
              <w:right w:val="single" w:sz="4" w:space="0" w:color="auto"/>
            </w:tcBorders>
            <w:shd w:val="clear" w:color="auto" w:fill="auto"/>
            <w:noWrap/>
            <w:vAlign w:val="center"/>
            <w:hideMark/>
          </w:tcPr>
          <w:p w:rsidR="00C677DB" w:rsidRPr="00C677DB" w:rsidRDefault="00C677DB" w:rsidP="00C677DB">
            <w:pPr>
              <w:widowControl/>
              <w:jc w:val="left"/>
              <w:rPr>
                <w:bCs/>
                <w:color w:val="1E1E1E"/>
                <w:sz w:val="24"/>
                <w:szCs w:val="24"/>
              </w:rPr>
            </w:pPr>
            <w:r w:rsidRPr="00C677DB">
              <w:rPr>
                <w:rFonts w:hint="eastAsia"/>
                <w:bCs/>
                <w:color w:val="1E1E1E"/>
                <w:sz w:val="24"/>
                <w:szCs w:val="24"/>
              </w:rPr>
              <w:t>申万菱信专精特新主题混合型发起式证券投资基金</w:t>
            </w:r>
          </w:p>
        </w:tc>
      </w:tr>
    </w:tbl>
    <w:p w:rsidR="003D2DCF" w:rsidRDefault="00127D6E">
      <w:pPr>
        <w:spacing w:line="5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202</w:t>
      </w:r>
      <w:r w:rsidR="00C03E01">
        <w:rPr>
          <w:rFonts w:ascii="宋体" w:eastAsia="宋体" w:hAnsi="宋体" w:cs="宋体"/>
          <w:color w:val="000000"/>
          <w:kern w:val="0"/>
          <w:sz w:val="24"/>
          <w:szCs w:val="24"/>
        </w:rPr>
        <w:t>4</w:t>
      </w:r>
      <w:r>
        <w:rPr>
          <w:rFonts w:ascii="宋体" w:eastAsia="宋体" w:hAnsi="宋体" w:cs="宋体" w:hint="eastAsia"/>
          <w:color w:val="000000"/>
          <w:kern w:val="0"/>
          <w:sz w:val="24"/>
          <w:szCs w:val="24"/>
        </w:rPr>
        <w:t>年</w:t>
      </w:r>
      <w:r w:rsidR="0043029C">
        <w:rPr>
          <w:rFonts w:ascii="宋体" w:eastAsia="宋体" w:hAnsi="宋体" w:cs="宋体" w:hint="eastAsia"/>
          <w:color w:val="000000"/>
          <w:kern w:val="0"/>
          <w:sz w:val="24"/>
          <w:szCs w:val="24"/>
        </w:rPr>
        <w:t>中期</w:t>
      </w:r>
      <w:r>
        <w:rPr>
          <w:rFonts w:ascii="宋体" w:eastAsia="宋体" w:hAnsi="宋体" w:cs="宋体" w:hint="eastAsia"/>
          <w:color w:val="000000"/>
          <w:kern w:val="0"/>
          <w:sz w:val="24"/>
          <w:szCs w:val="24"/>
        </w:rPr>
        <w:t>报告全文于202</w:t>
      </w:r>
      <w:r w:rsidR="00BF2E78">
        <w:rPr>
          <w:rFonts w:ascii="宋体" w:eastAsia="宋体" w:hAnsi="宋体" w:cs="宋体"/>
          <w:color w:val="000000"/>
          <w:kern w:val="0"/>
          <w:sz w:val="24"/>
          <w:szCs w:val="24"/>
        </w:rPr>
        <w:t>4</w:t>
      </w:r>
      <w:r>
        <w:rPr>
          <w:rFonts w:ascii="宋体" w:eastAsia="宋体" w:hAnsi="宋体" w:cs="宋体" w:hint="eastAsia"/>
          <w:color w:val="000000"/>
          <w:kern w:val="0"/>
          <w:sz w:val="24"/>
          <w:szCs w:val="24"/>
        </w:rPr>
        <w:t>年</w:t>
      </w:r>
      <w:r w:rsidR="0043029C">
        <w:rPr>
          <w:rFonts w:ascii="宋体" w:eastAsia="宋体" w:hAnsi="宋体" w:cs="宋体"/>
          <w:color w:val="000000"/>
          <w:kern w:val="0"/>
          <w:sz w:val="24"/>
          <w:szCs w:val="24"/>
        </w:rPr>
        <w:t>8</w:t>
      </w:r>
      <w:r>
        <w:rPr>
          <w:rFonts w:ascii="宋体" w:eastAsia="宋体" w:hAnsi="宋体" w:cs="宋体" w:hint="eastAsia"/>
          <w:color w:val="000000"/>
          <w:kern w:val="0"/>
          <w:sz w:val="24"/>
          <w:szCs w:val="24"/>
        </w:rPr>
        <w:t>月</w:t>
      </w:r>
      <w:r w:rsidR="0043029C">
        <w:rPr>
          <w:rFonts w:ascii="宋体" w:eastAsia="宋体" w:hAnsi="宋体" w:cs="宋体"/>
          <w:color w:val="000000"/>
          <w:kern w:val="0"/>
          <w:sz w:val="24"/>
          <w:szCs w:val="24"/>
        </w:rPr>
        <w:t>30</w:t>
      </w:r>
      <w:r>
        <w:rPr>
          <w:rFonts w:ascii="宋体" w:eastAsia="宋体" w:hAnsi="宋体" w:cs="宋体" w:hint="eastAsia"/>
          <w:color w:val="000000"/>
          <w:kern w:val="0"/>
          <w:sz w:val="24"/>
          <w:szCs w:val="24"/>
        </w:rPr>
        <w:t>日在本公司网站（www.swsmu.com）和中国证监会基金电子披露网站（http://eid.csrc.gov.cn/fund）披露，供投资者查阅。如有疑问可拨打本公司客服电话（400-880-8588）咨询。</w:t>
      </w:r>
    </w:p>
    <w:p w:rsidR="003D2DCF" w:rsidRDefault="00127D6E">
      <w:pPr>
        <w:spacing w:line="5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本公司承诺以诚实信用、勤勉尽责的原则管理和运用基金资产，但不保证基金一定盈利，也不保证最低收益。请充分了解基金的风险收益特征，审慎做出投资决定。</w:t>
      </w:r>
    </w:p>
    <w:p w:rsidR="003D2DCF" w:rsidRDefault="00127D6E">
      <w:pPr>
        <w:spacing w:line="5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特此公告。</w:t>
      </w:r>
    </w:p>
    <w:p w:rsidR="003D2DCF" w:rsidRDefault="00127D6E">
      <w:pPr>
        <w:spacing w:line="500" w:lineRule="exact"/>
        <w:ind w:firstLineChars="200" w:firstLine="480"/>
        <w:jc w:val="right"/>
        <w:rPr>
          <w:rFonts w:ascii="宋体" w:eastAsia="宋体" w:hAnsi="宋体" w:cs="宋体"/>
          <w:color w:val="000000"/>
          <w:kern w:val="0"/>
          <w:sz w:val="24"/>
          <w:szCs w:val="24"/>
        </w:rPr>
      </w:pPr>
      <w:r>
        <w:rPr>
          <w:rFonts w:ascii="宋体" w:eastAsia="宋体" w:hAnsi="宋体" w:cs="宋体" w:hint="eastAsia"/>
          <w:color w:val="000000"/>
          <w:kern w:val="0"/>
          <w:sz w:val="24"/>
          <w:szCs w:val="24"/>
        </w:rPr>
        <w:t>申万菱信基金管理有限公司</w:t>
      </w:r>
    </w:p>
    <w:p w:rsidR="003D2DCF" w:rsidRDefault="00127D6E">
      <w:pPr>
        <w:spacing w:line="500" w:lineRule="exact"/>
        <w:ind w:firstLineChars="200" w:firstLine="480"/>
        <w:jc w:val="right"/>
      </w:pPr>
      <w:r>
        <w:rPr>
          <w:rFonts w:ascii="宋体" w:eastAsia="宋体" w:hAnsi="宋体" w:cs="宋体" w:hint="eastAsia"/>
          <w:color w:val="000000"/>
          <w:kern w:val="0"/>
          <w:sz w:val="24"/>
          <w:szCs w:val="24"/>
        </w:rPr>
        <w:t>202</w:t>
      </w:r>
      <w:r w:rsidR="00BF2E78">
        <w:rPr>
          <w:rFonts w:ascii="宋体" w:eastAsia="宋体" w:hAnsi="宋体" w:cs="宋体"/>
          <w:color w:val="000000"/>
          <w:kern w:val="0"/>
          <w:sz w:val="24"/>
          <w:szCs w:val="24"/>
        </w:rPr>
        <w:t>4</w:t>
      </w:r>
      <w:r>
        <w:rPr>
          <w:rFonts w:ascii="宋体" w:eastAsia="宋体" w:hAnsi="宋体" w:cs="宋体" w:hint="eastAsia"/>
          <w:color w:val="000000"/>
          <w:kern w:val="0"/>
          <w:sz w:val="24"/>
          <w:szCs w:val="24"/>
        </w:rPr>
        <w:t>年</w:t>
      </w:r>
      <w:r w:rsidR="0043029C">
        <w:rPr>
          <w:rFonts w:ascii="宋体" w:eastAsia="宋体" w:hAnsi="宋体" w:cs="宋体"/>
          <w:color w:val="000000"/>
          <w:kern w:val="0"/>
          <w:sz w:val="24"/>
          <w:szCs w:val="24"/>
        </w:rPr>
        <w:t>8</w:t>
      </w:r>
      <w:r>
        <w:rPr>
          <w:rFonts w:ascii="宋体" w:eastAsia="宋体" w:hAnsi="宋体" w:cs="宋体" w:hint="eastAsia"/>
          <w:color w:val="000000"/>
          <w:kern w:val="0"/>
          <w:sz w:val="24"/>
          <w:szCs w:val="24"/>
        </w:rPr>
        <w:t>月</w:t>
      </w:r>
      <w:r w:rsidR="0043029C">
        <w:rPr>
          <w:rFonts w:ascii="宋体" w:eastAsia="宋体" w:hAnsi="宋体" w:cs="宋体"/>
          <w:color w:val="000000"/>
          <w:kern w:val="0"/>
          <w:sz w:val="24"/>
          <w:szCs w:val="24"/>
        </w:rPr>
        <w:t>30</w:t>
      </w:r>
      <w:bookmarkStart w:id="0" w:name="_GoBack"/>
      <w:bookmarkEnd w:id="0"/>
      <w:r>
        <w:rPr>
          <w:rFonts w:ascii="宋体" w:eastAsia="宋体" w:hAnsi="宋体" w:cs="宋体" w:hint="eastAsia"/>
          <w:color w:val="000000"/>
          <w:kern w:val="0"/>
          <w:sz w:val="24"/>
          <w:szCs w:val="24"/>
        </w:rPr>
        <w:t>日</w:t>
      </w:r>
    </w:p>
    <w:p w:rsidR="003D2DCF" w:rsidRDefault="003D2DCF"/>
    <w:p w:rsidR="003D2DCF" w:rsidRDefault="003D2DCF"/>
    <w:sectPr w:rsidR="003D2DCF" w:rsidSect="0078502D">
      <w:pgSz w:w="11906" w:h="16838"/>
      <w:pgMar w:top="1440" w:right="1983"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2424" w:rsidRDefault="00182424" w:rsidP="00182424">
      <w:r>
        <w:separator/>
      </w:r>
    </w:p>
  </w:endnote>
  <w:endnote w:type="continuationSeparator" w:id="0">
    <w:p w:rsidR="00182424" w:rsidRDefault="00182424" w:rsidP="001824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2424" w:rsidRDefault="00182424" w:rsidP="00182424">
      <w:r>
        <w:separator/>
      </w:r>
    </w:p>
  </w:footnote>
  <w:footnote w:type="continuationSeparator" w:id="0">
    <w:p w:rsidR="00182424" w:rsidRDefault="00182424" w:rsidP="001824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noPunctuationKerning/>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6FFD"/>
    <w:rsid w:val="00074006"/>
    <w:rsid w:val="00122C0B"/>
    <w:rsid w:val="00127D6E"/>
    <w:rsid w:val="00182424"/>
    <w:rsid w:val="001D6FFD"/>
    <w:rsid w:val="002D4014"/>
    <w:rsid w:val="00347410"/>
    <w:rsid w:val="0035567B"/>
    <w:rsid w:val="003841BB"/>
    <w:rsid w:val="003D2DCF"/>
    <w:rsid w:val="00422FB9"/>
    <w:rsid w:val="0043029C"/>
    <w:rsid w:val="004442FB"/>
    <w:rsid w:val="005364EA"/>
    <w:rsid w:val="00572756"/>
    <w:rsid w:val="006702FE"/>
    <w:rsid w:val="006C78FF"/>
    <w:rsid w:val="0078502D"/>
    <w:rsid w:val="00792921"/>
    <w:rsid w:val="007A26E2"/>
    <w:rsid w:val="007D3305"/>
    <w:rsid w:val="008C62AD"/>
    <w:rsid w:val="008D0210"/>
    <w:rsid w:val="008F17F2"/>
    <w:rsid w:val="00AA7BD6"/>
    <w:rsid w:val="00B35A1A"/>
    <w:rsid w:val="00B65CC2"/>
    <w:rsid w:val="00BF2E78"/>
    <w:rsid w:val="00C03E01"/>
    <w:rsid w:val="00C677DB"/>
    <w:rsid w:val="00E9785D"/>
    <w:rsid w:val="00EF5A63"/>
    <w:rsid w:val="00F01121"/>
    <w:rsid w:val="07130382"/>
    <w:rsid w:val="36240E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02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qFormat/>
    <w:rsid w:val="007850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78502D"/>
    <w:rPr>
      <w:rFonts w:ascii="宋体" w:eastAsia="宋体" w:hAnsi="宋体" w:cs="宋体"/>
      <w:kern w:val="0"/>
      <w:sz w:val="24"/>
      <w:szCs w:val="24"/>
    </w:rPr>
  </w:style>
  <w:style w:type="character" w:customStyle="1" w:styleId="font11">
    <w:name w:val="font11"/>
    <w:basedOn w:val="a0"/>
    <w:rsid w:val="0078502D"/>
    <w:rPr>
      <w:rFonts w:ascii="宋体" w:eastAsia="宋体" w:hAnsi="宋体" w:hint="eastAsia"/>
      <w:color w:val="000000"/>
      <w:sz w:val="21"/>
      <w:szCs w:val="21"/>
      <w:u w:val="none"/>
    </w:rPr>
  </w:style>
  <w:style w:type="character" w:customStyle="1" w:styleId="font01">
    <w:name w:val="font01"/>
    <w:basedOn w:val="a0"/>
    <w:qFormat/>
    <w:rsid w:val="0078502D"/>
    <w:rPr>
      <w:rFonts w:ascii="Arial" w:hAnsi="Arial" w:cs="Arial" w:hint="default"/>
      <w:color w:val="000000"/>
      <w:sz w:val="20"/>
      <w:szCs w:val="20"/>
      <w:u w:val="none"/>
    </w:rPr>
  </w:style>
  <w:style w:type="character" w:customStyle="1" w:styleId="font21">
    <w:name w:val="font21"/>
    <w:basedOn w:val="a0"/>
    <w:qFormat/>
    <w:rsid w:val="0078502D"/>
    <w:rPr>
      <w:rFonts w:ascii="宋体" w:eastAsia="宋体" w:hAnsi="宋体" w:hint="eastAsia"/>
      <w:color w:val="000000"/>
      <w:sz w:val="20"/>
      <w:szCs w:val="20"/>
      <w:u w:val="none"/>
    </w:rPr>
  </w:style>
  <w:style w:type="paragraph" w:styleId="a3">
    <w:name w:val="header"/>
    <w:basedOn w:val="a"/>
    <w:link w:val="Char"/>
    <w:uiPriority w:val="99"/>
    <w:unhideWhenUsed/>
    <w:rsid w:val="001824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82424"/>
    <w:rPr>
      <w:rFonts w:asciiTheme="minorHAnsi" w:eastAsiaTheme="minorEastAsia" w:hAnsiTheme="minorHAnsi" w:cstheme="minorBidi"/>
      <w:kern w:val="2"/>
      <w:sz w:val="18"/>
      <w:szCs w:val="18"/>
    </w:rPr>
  </w:style>
  <w:style w:type="paragraph" w:styleId="a4">
    <w:name w:val="footer"/>
    <w:basedOn w:val="a"/>
    <w:link w:val="Char0"/>
    <w:uiPriority w:val="99"/>
    <w:unhideWhenUsed/>
    <w:rsid w:val="00182424"/>
    <w:pPr>
      <w:tabs>
        <w:tab w:val="center" w:pos="4153"/>
        <w:tab w:val="right" w:pos="8306"/>
      </w:tabs>
      <w:snapToGrid w:val="0"/>
      <w:jc w:val="left"/>
    </w:pPr>
    <w:rPr>
      <w:sz w:val="18"/>
      <w:szCs w:val="18"/>
    </w:rPr>
  </w:style>
  <w:style w:type="character" w:customStyle="1" w:styleId="Char0">
    <w:name w:val="页脚 Char"/>
    <w:basedOn w:val="a0"/>
    <w:link w:val="a4"/>
    <w:uiPriority w:val="99"/>
    <w:rsid w:val="00182424"/>
    <w:rPr>
      <w:rFonts w:asciiTheme="minorHAnsi" w:eastAsiaTheme="minorEastAsia" w:hAnsiTheme="minorHAnsi" w:cstheme="minorBidi"/>
      <w:kern w:val="2"/>
      <w:sz w:val="18"/>
      <w:szCs w:val="18"/>
    </w:rPr>
  </w:style>
  <w:style w:type="character" w:styleId="a5">
    <w:name w:val="Hyperlink"/>
    <w:basedOn w:val="a0"/>
    <w:uiPriority w:val="99"/>
    <w:semiHidden/>
    <w:unhideWhenUsed/>
    <w:rsid w:val="00BF2E78"/>
    <w:rPr>
      <w:color w:val="0563C1"/>
      <w:u w:val="single"/>
    </w:rPr>
  </w:style>
</w:styles>
</file>

<file path=word/webSettings.xml><?xml version="1.0" encoding="utf-8"?>
<w:webSettings xmlns:r="http://schemas.openxmlformats.org/officeDocument/2006/relationships" xmlns:w="http://schemas.openxmlformats.org/wordprocessingml/2006/main">
  <w:divs>
    <w:div w:id="886720753">
      <w:bodyDiv w:val="1"/>
      <w:marLeft w:val="0"/>
      <w:marRight w:val="0"/>
      <w:marTop w:val="0"/>
      <w:marBottom w:val="0"/>
      <w:divBdr>
        <w:top w:val="none" w:sz="0" w:space="0" w:color="auto"/>
        <w:left w:val="none" w:sz="0" w:space="0" w:color="auto"/>
        <w:bottom w:val="none" w:sz="0" w:space="0" w:color="auto"/>
        <w:right w:val="none" w:sz="0" w:space="0" w:color="auto"/>
      </w:divBdr>
    </w:div>
    <w:div w:id="887569845">
      <w:bodyDiv w:val="1"/>
      <w:marLeft w:val="0"/>
      <w:marRight w:val="0"/>
      <w:marTop w:val="0"/>
      <w:marBottom w:val="0"/>
      <w:divBdr>
        <w:top w:val="none" w:sz="0" w:space="0" w:color="auto"/>
        <w:left w:val="none" w:sz="0" w:space="0" w:color="auto"/>
        <w:bottom w:val="none" w:sz="0" w:space="0" w:color="auto"/>
        <w:right w:val="none" w:sz="0" w:space="0" w:color="auto"/>
      </w:divBdr>
    </w:div>
    <w:div w:id="1019697601">
      <w:bodyDiv w:val="1"/>
      <w:marLeft w:val="0"/>
      <w:marRight w:val="0"/>
      <w:marTop w:val="0"/>
      <w:marBottom w:val="0"/>
      <w:divBdr>
        <w:top w:val="none" w:sz="0" w:space="0" w:color="auto"/>
        <w:left w:val="none" w:sz="0" w:space="0" w:color="auto"/>
        <w:bottom w:val="none" w:sz="0" w:space="0" w:color="auto"/>
        <w:right w:val="none" w:sz="0" w:space="0" w:color="auto"/>
      </w:divBdr>
    </w:div>
    <w:div w:id="1564412911">
      <w:bodyDiv w:val="1"/>
      <w:marLeft w:val="0"/>
      <w:marRight w:val="0"/>
      <w:marTop w:val="0"/>
      <w:marBottom w:val="0"/>
      <w:divBdr>
        <w:top w:val="none" w:sz="0" w:space="0" w:color="auto"/>
        <w:left w:val="none" w:sz="0" w:space="0" w:color="auto"/>
        <w:bottom w:val="none" w:sz="0" w:space="0" w:color="auto"/>
        <w:right w:val="none" w:sz="0" w:space="0" w:color="auto"/>
      </w:divBdr>
    </w:div>
    <w:div w:id="1962494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172.16.3.151\FileShare\&#37096;&#38376;&#25991;&#20214;&#22841;\&#30417;&#23519;&#31293;&#26680;&#24635;&#37096;\172-2024\&#24180;&#24230;&#12289;&#23395;&#25253;\2&#23395;&#24230;\2024&#24180;2&#23395;&#24230;&#23395;&#25253;&#23450;&#31295;\&#30003;&#19975;&#33777;&#20449;&#23433;&#27888;&#40718;&#21033;&#19968;&#24180;&#23450;&#26399;&#24320;&#25918;&#20538;&#21048;&#22411;&#21457;&#36215;&#24335;&#35777;&#21048;&#25237;&#36164;&#22522;&#37329;2024&#24180;&#31532;2&#23395;&#24230;&#25253;&#21578;.docx"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390</Words>
  <Characters>2224</Characters>
  <Application>Microsoft Office Word</Application>
  <DocSecurity>4</DocSecurity>
  <Lines>18</Lines>
  <Paragraphs>5</Paragraphs>
  <ScaleCrop>false</ScaleCrop>
  <Company>Microsoft</Company>
  <LinksUpToDate>false</LinksUpToDate>
  <CharactersWithSpaces>2609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张淑静</dc:creator>
  <cp:lastModifiedBy>ZHONGM</cp:lastModifiedBy>
  <cp:revision>2</cp:revision>
  <dcterms:created xsi:type="dcterms:W3CDTF">2024-08-29T16:03:00Z</dcterms:created>
  <dcterms:modified xsi:type="dcterms:W3CDTF">2024-08-29T16:03:00Z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1F7D9DBA563F439F946A4E043EF665D7</vt:lpwstr>
  </property>
</Properties>
</file>