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8F5" w:rsidRDefault="009478F5">
      <w:pPr>
        <w:pStyle w:val="a4"/>
        <w:spacing w:before="4" w:line="360" w:lineRule="auto"/>
        <w:ind w:left="0"/>
        <w:rPr>
          <w:rFonts w:asciiTheme="majorEastAsia" w:eastAsiaTheme="majorEastAsia" w:hAnsiTheme="majorEastAsia"/>
          <w:sz w:val="24"/>
          <w:szCs w:val="24"/>
        </w:rPr>
      </w:pPr>
    </w:p>
    <w:p w:rsidR="009478F5" w:rsidRDefault="002B053A">
      <w:pPr>
        <w:spacing w:before="172" w:line="360" w:lineRule="auto"/>
        <w:ind w:left="1032" w:right="714" w:hanging="261"/>
        <w:jc w:val="center"/>
        <w:outlineLvl w:val="0"/>
        <w:rPr>
          <w:rFonts w:asciiTheme="majorEastAsia" w:eastAsiaTheme="majorEastAsia" w:hAnsiTheme="majorEastAsia" w:cs="黑体"/>
          <w:b/>
          <w:sz w:val="24"/>
          <w:szCs w:val="24"/>
        </w:rPr>
      </w:pPr>
      <w:r>
        <w:rPr>
          <w:rFonts w:asciiTheme="majorEastAsia" w:eastAsiaTheme="majorEastAsia" w:hAnsiTheme="majorEastAsia" w:cs="黑体" w:hint="eastAsia"/>
          <w:b/>
          <w:spacing w:val="-1"/>
          <w:sz w:val="24"/>
          <w:szCs w:val="24"/>
        </w:rPr>
        <w:t>东兴成长优选混合型发起式证券投资基金</w:t>
      </w:r>
      <w:r>
        <w:rPr>
          <w:rFonts w:asciiTheme="majorEastAsia" w:eastAsiaTheme="majorEastAsia" w:hAnsiTheme="majorEastAsia" w:cs="黑体"/>
          <w:b/>
          <w:spacing w:val="-1"/>
          <w:sz w:val="24"/>
          <w:szCs w:val="24"/>
        </w:rPr>
        <w:t>开放日常申购</w:t>
      </w:r>
      <w:r>
        <w:rPr>
          <w:rFonts w:asciiTheme="majorEastAsia" w:eastAsiaTheme="majorEastAsia" w:hAnsiTheme="majorEastAsia" w:cs="黑体" w:hint="eastAsia"/>
          <w:b/>
          <w:spacing w:val="-1"/>
          <w:sz w:val="24"/>
          <w:szCs w:val="24"/>
        </w:rPr>
        <w:t>、</w:t>
      </w:r>
      <w:r>
        <w:rPr>
          <w:rFonts w:asciiTheme="majorEastAsia" w:eastAsiaTheme="majorEastAsia" w:hAnsiTheme="majorEastAsia" w:cs="黑体" w:hint="eastAsia"/>
          <w:b/>
          <w:spacing w:val="-1"/>
          <w:sz w:val="24"/>
          <w:szCs w:val="24"/>
          <w:lang w:val="en-US"/>
        </w:rPr>
        <w:t>赎回、转换业务和定期定额投资</w:t>
      </w:r>
      <w:r>
        <w:rPr>
          <w:rFonts w:asciiTheme="majorEastAsia" w:eastAsiaTheme="majorEastAsia" w:hAnsiTheme="majorEastAsia" w:cs="黑体"/>
          <w:b/>
          <w:spacing w:val="-1"/>
          <w:sz w:val="24"/>
          <w:szCs w:val="24"/>
        </w:rPr>
        <w:t>的公告</w:t>
      </w:r>
    </w:p>
    <w:p w:rsidR="009478F5" w:rsidRDefault="002B053A">
      <w:pPr>
        <w:pStyle w:val="a4"/>
        <w:spacing w:before="171" w:line="360" w:lineRule="auto"/>
        <w:ind w:left="0" w:right="1055"/>
        <w:jc w:val="center"/>
        <w:rPr>
          <w:rFonts w:asciiTheme="majorEastAsia" w:eastAsiaTheme="majorEastAsia" w:hAnsiTheme="majorEastAsia"/>
          <w:b/>
          <w:sz w:val="24"/>
          <w:szCs w:val="24"/>
        </w:rPr>
      </w:pPr>
      <w:r>
        <w:rPr>
          <w:rFonts w:asciiTheme="majorEastAsia" w:eastAsiaTheme="majorEastAsia" w:hAnsiTheme="majorEastAsia" w:hint="eastAsia"/>
          <w:sz w:val="24"/>
          <w:szCs w:val="24"/>
        </w:rPr>
        <w:t>公告送出日期：</w:t>
      </w:r>
      <w:r>
        <w:rPr>
          <w:rFonts w:asciiTheme="majorEastAsia" w:eastAsiaTheme="majorEastAsia" w:hAnsiTheme="majorEastAsia"/>
          <w:sz w:val="24"/>
          <w:szCs w:val="24"/>
        </w:rPr>
        <w:t>202</w:t>
      </w:r>
      <w:r>
        <w:rPr>
          <w:rFonts w:asciiTheme="majorEastAsia" w:eastAsiaTheme="majorEastAsia" w:hAnsiTheme="majorEastAsia" w:hint="eastAsia"/>
          <w:sz w:val="24"/>
          <w:szCs w:val="24"/>
          <w:lang w:val="en-US"/>
        </w:rPr>
        <w:t>4</w:t>
      </w:r>
      <w:r>
        <w:rPr>
          <w:rFonts w:asciiTheme="majorEastAsia" w:eastAsiaTheme="majorEastAsia" w:hAnsiTheme="majorEastAsia"/>
          <w:sz w:val="24"/>
          <w:szCs w:val="24"/>
        </w:rPr>
        <w:t>年</w:t>
      </w:r>
      <w:r>
        <w:rPr>
          <w:rFonts w:asciiTheme="majorEastAsia" w:eastAsiaTheme="majorEastAsia" w:hAnsiTheme="majorEastAsia"/>
          <w:sz w:val="24"/>
          <w:szCs w:val="24"/>
          <w:lang w:val="en-US"/>
        </w:rPr>
        <w:t>0</w:t>
      </w:r>
      <w:r>
        <w:rPr>
          <w:rFonts w:asciiTheme="majorEastAsia" w:eastAsiaTheme="majorEastAsia" w:hAnsiTheme="majorEastAsia" w:hint="eastAsia"/>
          <w:sz w:val="24"/>
          <w:szCs w:val="24"/>
          <w:lang w:val="en-US"/>
        </w:rPr>
        <w:t>8</w:t>
      </w:r>
      <w:r>
        <w:rPr>
          <w:rFonts w:asciiTheme="majorEastAsia" w:eastAsiaTheme="majorEastAsia" w:hAnsiTheme="majorEastAsia"/>
          <w:sz w:val="24"/>
          <w:szCs w:val="24"/>
        </w:rPr>
        <w:t>月</w:t>
      </w:r>
      <w:r>
        <w:rPr>
          <w:rFonts w:asciiTheme="majorEastAsia" w:eastAsiaTheme="majorEastAsia" w:hAnsiTheme="majorEastAsia" w:hint="eastAsia"/>
          <w:sz w:val="24"/>
          <w:szCs w:val="24"/>
          <w:lang w:val="en-US"/>
        </w:rPr>
        <w:t>30</w:t>
      </w:r>
      <w:r>
        <w:rPr>
          <w:rFonts w:asciiTheme="majorEastAsia" w:eastAsiaTheme="majorEastAsia" w:hAnsiTheme="majorEastAsia"/>
          <w:sz w:val="24"/>
          <w:szCs w:val="24"/>
        </w:rPr>
        <w:t>日</w:t>
      </w:r>
    </w:p>
    <w:p w:rsidR="009478F5" w:rsidRDefault="002B053A" w:rsidP="002B053A">
      <w:pPr>
        <w:pStyle w:val="af0"/>
        <w:spacing w:beforeLines="50" w:afterLines="50"/>
        <w:ind w:left="352" w:hanging="352"/>
        <w:rPr>
          <w:rFonts w:asciiTheme="majorEastAsia" w:eastAsiaTheme="majorEastAsia" w:hAnsiTheme="majorEastAsia"/>
          <w:b/>
          <w:sz w:val="24"/>
          <w:szCs w:val="24"/>
        </w:rPr>
      </w:pPr>
      <w:r>
        <w:rPr>
          <w:rFonts w:asciiTheme="majorEastAsia" w:eastAsiaTheme="majorEastAsia" w:hAnsiTheme="majorEastAsia"/>
          <w:b/>
          <w:sz w:val="24"/>
          <w:szCs w:val="24"/>
        </w:rPr>
        <w:t>1</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公告基本信息</w:t>
      </w:r>
    </w:p>
    <w:tbl>
      <w:tblPr>
        <w:tblStyle w:val="TableGrid"/>
        <w:tblW w:w="9459" w:type="dxa"/>
        <w:tblInd w:w="0" w:type="dxa"/>
        <w:tblCellMar>
          <w:top w:w="47" w:type="dxa"/>
          <w:left w:w="106" w:type="dxa"/>
          <w:right w:w="55" w:type="dxa"/>
        </w:tblCellMar>
        <w:tblLook w:val="04A0"/>
      </w:tblPr>
      <w:tblGrid>
        <w:gridCol w:w="2792"/>
        <w:gridCol w:w="3372"/>
        <w:gridCol w:w="3295"/>
      </w:tblGrid>
      <w:tr w:rsidR="009478F5">
        <w:trPr>
          <w:trHeight w:val="322"/>
        </w:trPr>
        <w:tc>
          <w:tcPr>
            <w:tcW w:w="2792" w:type="dxa"/>
            <w:tcBorders>
              <w:top w:val="single" w:sz="4" w:space="0" w:color="000000"/>
              <w:left w:val="single" w:sz="4" w:space="0" w:color="000000"/>
              <w:bottom w:val="single" w:sz="4" w:space="0" w:color="000000"/>
              <w:right w:val="single" w:sz="4" w:space="0" w:color="000000"/>
            </w:tcBorders>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sz w:val="24"/>
                <w:szCs w:val="24"/>
              </w:rPr>
              <w:t>基金名称</w:t>
            </w:r>
          </w:p>
        </w:tc>
        <w:tc>
          <w:tcPr>
            <w:tcW w:w="6667" w:type="dxa"/>
            <w:gridSpan w:val="2"/>
            <w:tcBorders>
              <w:top w:val="single" w:sz="4" w:space="0" w:color="000000"/>
              <w:left w:val="single" w:sz="4" w:space="0" w:color="000000"/>
              <w:bottom w:val="single" w:sz="4" w:space="0" w:color="000000"/>
              <w:right w:val="single" w:sz="4" w:space="0" w:color="000000"/>
            </w:tcBorders>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hint="eastAsia"/>
                <w:sz w:val="24"/>
                <w:szCs w:val="24"/>
              </w:rPr>
              <w:t>东兴成长优选混合型发起式证券投资基金</w:t>
            </w:r>
          </w:p>
        </w:tc>
      </w:tr>
      <w:tr w:rsidR="009478F5">
        <w:trPr>
          <w:trHeight w:val="322"/>
        </w:trPr>
        <w:tc>
          <w:tcPr>
            <w:tcW w:w="2792" w:type="dxa"/>
            <w:tcBorders>
              <w:top w:val="single" w:sz="4" w:space="0" w:color="000000"/>
              <w:left w:val="single" w:sz="4" w:space="0" w:color="000000"/>
              <w:bottom w:val="single" w:sz="4" w:space="0" w:color="000000"/>
              <w:right w:val="single" w:sz="4" w:space="0" w:color="000000"/>
            </w:tcBorders>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sz w:val="24"/>
                <w:szCs w:val="24"/>
              </w:rPr>
              <w:t>基金简称</w:t>
            </w:r>
          </w:p>
        </w:tc>
        <w:tc>
          <w:tcPr>
            <w:tcW w:w="6667" w:type="dxa"/>
            <w:gridSpan w:val="2"/>
            <w:tcBorders>
              <w:top w:val="single" w:sz="4" w:space="0" w:color="000000"/>
              <w:left w:val="single" w:sz="4" w:space="0" w:color="000000"/>
              <w:bottom w:val="single" w:sz="4" w:space="0" w:color="000000"/>
              <w:right w:val="single" w:sz="4" w:space="0" w:color="000000"/>
            </w:tcBorders>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hint="eastAsia"/>
                <w:sz w:val="24"/>
                <w:szCs w:val="24"/>
              </w:rPr>
              <w:t>东兴成长优选混合发起</w:t>
            </w:r>
          </w:p>
        </w:tc>
      </w:tr>
      <w:tr w:rsidR="009478F5">
        <w:trPr>
          <w:trHeight w:val="324"/>
        </w:trPr>
        <w:tc>
          <w:tcPr>
            <w:tcW w:w="2792" w:type="dxa"/>
            <w:tcBorders>
              <w:top w:val="single" w:sz="4" w:space="0" w:color="000000"/>
              <w:left w:val="single" w:sz="4" w:space="0" w:color="000000"/>
              <w:bottom w:val="single" w:sz="4" w:space="0" w:color="000000"/>
              <w:right w:val="single" w:sz="4" w:space="0" w:color="000000"/>
            </w:tcBorders>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sz w:val="24"/>
                <w:szCs w:val="24"/>
              </w:rPr>
              <w:t>基金主代码</w:t>
            </w:r>
          </w:p>
        </w:tc>
        <w:tc>
          <w:tcPr>
            <w:tcW w:w="6667" w:type="dxa"/>
            <w:gridSpan w:val="2"/>
            <w:tcBorders>
              <w:top w:val="single" w:sz="4" w:space="0" w:color="000000"/>
              <w:left w:val="single" w:sz="4" w:space="0" w:color="000000"/>
              <w:bottom w:val="single" w:sz="4" w:space="0" w:color="000000"/>
              <w:right w:val="single" w:sz="4" w:space="0" w:color="000000"/>
            </w:tcBorders>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hint="eastAsia"/>
                <w:sz w:val="24"/>
                <w:szCs w:val="24"/>
              </w:rPr>
              <w:t>021390</w:t>
            </w:r>
          </w:p>
        </w:tc>
      </w:tr>
      <w:tr w:rsidR="009478F5">
        <w:trPr>
          <w:trHeight w:val="322"/>
        </w:trPr>
        <w:tc>
          <w:tcPr>
            <w:tcW w:w="2792" w:type="dxa"/>
            <w:tcBorders>
              <w:top w:val="single" w:sz="4" w:space="0" w:color="000000"/>
              <w:left w:val="single" w:sz="4" w:space="0" w:color="000000"/>
              <w:bottom w:val="single" w:sz="4" w:space="0" w:color="000000"/>
              <w:right w:val="single" w:sz="4" w:space="0" w:color="000000"/>
            </w:tcBorders>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sz w:val="24"/>
                <w:szCs w:val="24"/>
              </w:rPr>
              <w:t>基金运作方式</w:t>
            </w:r>
          </w:p>
        </w:tc>
        <w:tc>
          <w:tcPr>
            <w:tcW w:w="6667" w:type="dxa"/>
            <w:gridSpan w:val="2"/>
            <w:tcBorders>
              <w:top w:val="single" w:sz="4" w:space="0" w:color="000000"/>
              <w:left w:val="single" w:sz="4" w:space="0" w:color="000000"/>
              <w:bottom w:val="single" w:sz="4" w:space="0" w:color="000000"/>
              <w:right w:val="single" w:sz="4" w:space="0" w:color="000000"/>
            </w:tcBorders>
          </w:tcPr>
          <w:p w:rsidR="009478F5" w:rsidRDefault="002B053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契约型开放式</w:t>
            </w:r>
          </w:p>
        </w:tc>
      </w:tr>
      <w:tr w:rsidR="009478F5">
        <w:trPr>
          <w:trHeight w:val="322"/>
        </w:trPr>
        <w:tc>
          <w:tcPr>
            <w:tcW w:w="2792" w:type="dxa"/>
            <w:tcBorders>
              <w:top w:val="single" w:sz="4" w:space="0" w:color="000000"/>
              <w:left w:val="single" w:sz="4" w:space="0" w:color="000000"/>
              <w:bottom w:val="single" w:sz="4" w:space="0" w:color="000000"/>
              <w:right w:val="single" w:sz="4" w:space="0" w:color="000000"/>
            </w:tcBorders>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sz w:val="24"/>
                <w:szCs w:val="24"/>
              </w:rPr>
              <w:t>基金合同生效日</w:t>
            </w:r>
          </w:p>
        </w:tc>
        <w:tc>
          <w:tcPr>
            <w:tcW w:w="6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sz w:val="24"/>
                <w:szCs w:val="24"/>
              </w:rPr>
              <w:t>20</w:t>
            </w:r>
            <w:r>
              <w:rPr>
                <w:rFonts w:asciiTheme="majorEastAsia" w:eastAsiaTheme="majorEastAsia" w:hAnsiTheme="majorEastAsia"/>
                <w:sz w:val="24"/>
                <w:szCs w:val="24"/>
                <w:lang w:val="en-US"/>
              </w:rPr>
              <w:t>2</w:t>
            </w:r>
            <w:r>
              <w:rPr>
                <w:rFonts w:asciiTheme="majorEastAsia" w:eastAsiaTheme="majorEastAsia" w:hAnsiTheme="majorEastAsia" w:hint="eastAsia"/>
                <w:sz w:val="24"/>
                <w:szCs w:val="24"/>
                <w:lang w:val="en-US"/>
              </w:rPr>
              <w:t>4</w:t>
            </w:r>
            <w:r>
              <w:rPr>
                <w:rFonts w:asciiTheme="majorEastAsia" w:eastAsiaTheme="majorEastAsia" w:hAnsiTheme="majorEastAsia" w:hint="eastAsia"/>
                <w:sz w:val="24"/>
                <w:szCs w:val="24"/>
              </w:rPr>
              <w:t>年</w:t>
            </w:r>
            <w:r>
              <w:rPr>
                <w:rFonts w:asciiTheme="majorEastAsia" w:eastAsiaTheme="majorEastAsia" w:hAnsiTheme="majorEastAsia"/>
                <w:sz w:val="24"/>
                <w:szCs w:val="24"/>
                <w:lang w:val="en-US"/>
              </w:rPr>
              <w:t>0</w:t>
            </w:r>
            <w:r>
              <w:rPr>
                <w:rFonts w:asciiTheme="majorEastAsia" w:eastAsiaTheme="majorEastAsia" w:hAnsiTheme="majorEastAsia" w:hint="eastAsia"/>
                <w:sz w:val="24"/>
                <w:szCs w:val="24"/>
                <w:lang w:val="en-US"/>
              </w:rPr>
              <w:t>8</w:t>
            </w:r>
            <w:r>
              <w:rPr>
                <w:rFonts w:asciiTheme="majorEastAsia" w:eastAsiaTheme="majorEastAsia" w:hAnsiTheme="majorEastAsia" w:hint="eastAsia"/>
                <w:sz w:val="24"/>
                <w:szCs w:val="24"/>
              </w:rPr>
              <w:t>月</w:t>
            </w:r>
            <w:r>
              <w:rPr>
                <w:rFonts w:asciiTheme="majorEastAsia" w:eastAsiaTheme="majorEastAsia" w:hAnsiTheme="majorEastAsia" w:hint="eastAsia"/>
                <w:sz w:val="24"/>
                <w:szCs w:val="24"/>
                <w:lang w:val="en-US"/>
              </w:rPr>
              <w:t>0</w:t>
            </w:r>
            <w:r>
              <w:rPr>
                <w:rFonts w:asciiTheme="majorEastAsia" w:eastAsiaTheme="majorEastAsia" w:hAnsiTheme="majorEastAsia" w:hint="eastAsia"/>
                <w:sz w:val="24"/>
                <w:szCs w:val="24"/>
                <w:lang w:val="en-US"/>
              </w:rPr>
              <w:t>1</w:t>
            </w:r>
            <w:r>
              <w:rPr>
                <w:rFonts w:asciiTheme="majorEastAsia" w:eastAsiaTheme="majorEastAsia" w:hAnsiTheme="majorEastAsia" w:hint="eastAsia"/>
                <w:sz w:val="24"/>
                <w:szCs w:val="24"/>
              </w:rPr>
              <w:t>日</w:t>
            </w:r>
            <w:r>
              <w:rPr>
                <w:rFonts w:asciiTheme="majorEastAsia" w:eastAsiaTheme="majorEastAsia" w:hAnsiTheme="majorEastAsia"/>
                <w:sz w:val="24"/>
                <w:szCs w:val="24"/>
              </w:rPr>
              <w:tab/>
            </w:r>
          </w:p>
        </w:tc>
      </w:tr>
      <w:tr w:rsidR="009478F5">
        <w:trPr>
          <w:trHeight w:val="322"/>
        </w:trPr>
        <w:tc>
          <w:tcPr>
            <w:tcW w:w="2792" w:type="dxa"/>
            <w:tcBorders>
              <w:top w:val="single" w:sz="4" w:space="0" w:color="000000"/>
              <w:left w:val="single" w:sz="4" w:space="0" w:color="000000"/>
              <w:bottom w:val="single" w:sz="4" w:space="0" w:color="000000"/>
              <w:right w:val="single" w:sz="4" w:space="0" w:color="000000"/>
            </w:tcBorders>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sz w:val="24"/>
                <w:szCs w:val="24"/>
              </w:rPr>
              <w:t>基金管理人名称</w:t>
            </w:r>
          </w:p>
        </w:tc>
        <w:tc>
          <w:tcPr>
            <w:tcW w:w="6667" w:type="dxa"/>
            <w:gridSpan w:val="2"/>
            <w:tcBorders>
              <w:top w:val="single" w:sz="4" w:space="0" w:color="000000"/>
              <w:left w:val="single" w:sz="4" w:space="0" w:color="000000"/>
              <w:bottom w:val="single" w:sz="4" w:space="0" w:color="000000"/>
              <w:right w:val="single" w:sz="4" w:space="0" w:color="000000"/>
            </w:tcBorders>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hint="eastAsia"/>
                <w:sz w:val="24"/>
                <w:szCs w:val="24"/>
              </w:rPr>
              <w:t>东兴基金管理有限公司</w:t>
            </w:r>
          </w:p>
        </w:tc>
      </w:tr>
      <w:tr w:rsidR="009478F5">
        <w:trPr>
          <w:trHeight w:val="322"/>
        </w:trPr>
        <w:tc>
          <w:tcPr>
            <w:tcW w:w="2792" w:type="dxa"/>
            <w:tcBorders>
              <w:top w:val="single" w:sz="4" w:space="0" w:color="000000"/>
              <w:left w:val="single" w:sz="4" w:space="0" w:color="000000"/>
              <w:bottom w:val="single" w:sz="4" w:space="0" w:color="000000"/>
              <w:right w:val="single" w:sz="4" w:space="0" w:color="000000"/>
            </w:tcBorders>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sz w:val="24"/>
                <w:szCs w:val="24"/>
              </w:rPr>
              <w:t>基金托管人名称</w:t>
            </w:r>
          </w:p>
        </w:tc>
        <w:tc>
          <w:tcPr>
            <w:tcW w:w="6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hint="eastAsia"/>
                <w:sz w:val="24"/>
                <w:szCs w:val="24"/>
              </w:rPr>
              <w:t>兴业银行股份有限公司</w:t>
            </w:r>
          </w:p>
        </w:tc>
      </w:tr>
      <w:tr w:rsidR="009478F5">
        <w:trPr>
          <w:trHeight w:val="322"/>
        </w:trPr>
        <w:tc>
          <w:tcPr>
            <w:tcW w:w="2792" w:type="dxa"/>
            <w:tcBorders>
              <w:top w:val="single" w:sz="4" w:space="0" w:color="000000"/>
              <w:left w:val="single" w:sz="4" w:space="0" w:color="000000"/>
              <w:bottom w:val="single" w:sz="4" w:space="0" w:color="000000"/>
              <w:right w:val="single" w:sz="4" w:space="0" w:color="000000"/>
            </w:tcBorders>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sz w:val="24"/>
                <w:szCs w:val="24"/>
              </w:rPr>
              <w:t>基金注册登记机构名称</w:t>
            </w:r>
          </w:p>
        </w:tc>
        <w:tc>
          <w:tcPr>
            <w:tcW w:w="6667" w:type="dxa"/>
            <w:gridSpan w:val="2"/>
            <w:tcBorders>
              <w:top w:val="single" w:sz="4" w:space="0" w:color="000000"/>
              <w:left w:val="single" w:sz="4" w:space="0" w:color="000000"/>
              <w:bottom w:val="single" w:sz="4" w:space="0" w:color="000000"/>
              <w:right w:val="single" w:sz="4" w:space="0" w:color="000000"/>
            </w:tcBorders>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hint="eastAsia"/>
                <w:sz w:val="24"/>
                <w:szCs w:val="24"/>
              </w:rPr>
              <w:t>东兴基金管理有限公司</w:t>
            </w:r>
          </w:p>
        </w:tc>
      </w:tr>
      <w:tr w:rsidR="009478F5">
        <w:trPr>
          <w:trHeight w:val="948"/>
        </w:trPr>
        <w:tc>
          <w:tcPr>
            <w:tcW w:w="2792" w:type="dxa"/>
            <w:tcBorders>
              <w:top w:val="single" w:sz="4" w:space="0" w:color="000000"/>
              <w:left w:val="single" w:sz="4" w:space="0" w:color="000000"/>
              <w:bottom w:val="single" w:sz="4" w:space="0" w:color="000000"/>
              <w:right w:val="single" w:sz="4" w:space="0" w:color="000000"/>
            </w:tcBorders>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sz w:val="24"/>
                <w:szCs w:val="24"/>
              </w:rPr>
              <w:t>公告依据</w:t>
            </w:r>
          </w:p>
        </w:tc>
        <w:tc>
          <w:tcPr>
            <w:tcW w:w="6667" w:type="dxa"/>
            <w:gridSpan w:val="2"/>
            <w:tcBorders>
              <w:top w:val="single" w:sz="4" w:space="0" w:color="000000"/>
              <w:left w:val="single" w:sz="4" w:space="0" w:color="000000"/>
              <w:bottom w:val="single" w:sz="4" w:space="0" w:color="000000"/>
              <w:right w:val="single" w:sz="4" w:space="0" w:color="000000"/>
            </w:tcBorders>
          </w:tcPr>
          <w:p w:rsidR="009478F5" w:rsidRDefault="002B053A">
            <w:pPr>
              <w:spacing w:line="360" w:lineRule="auto"/>
              <w:ind w:left="2"/>
              <w:rPr>
                <w:rFonts w:asciiTheme="majorEastAsia" w:eastAsiaTheme="majorEastAsia" w:hAnsiTheme="majorEastAsia"/>
                <w:sz w:val="24"/>
                <w:szCs w:val="24"/>
                <w:lang w:val="en-US"/>
              </w:rPr>
            </w:pPr>
            <w:r>
              <w:rPr>
                <w:rFonts w:asciiTheme="majorEastAsia" w:eastAsiaTheme="majorEastAsia" w:hAnsiTheme="majorEastAsia" w:hint="eastAsia"/>
                <w:sz w:val="24"/>
                <w:szCs w:val="24"/>
              </w:rPr>
              <w:t>《公开募集证券投资基金信息披露管理办法》《东兴成长优选混合型发起式证券投资基金基金合同》《东兴成长优选混合型发起式证券投资基金招募说明书》</w:t>
            </w:r>
            <w:r>
              <w:rPr>
                <w:rFonts w:asciiTheme="majorEastAsia" w:eastAsiaTheme="majorEastAsia" w:hAnsiTheme="majorEastAsia" w:hint="eastAsia"/>
                <w:sz w:val="24"/>
                <w:szCs w:val="24"/>
              </w:rPr>
              <w:t>及其更新</w:t>
            </w:r>
          </w:p>
        </w:tc>
      </w:tr>
      <w:tr w:rsidR="009478F5">
        <w:trPr>
          <w:trHeight w:val="322"/>
        </w:trPr>
        <w:tc>
          <w:tcPr>
            <w:tcW w:w="2792" w:type="dxa"/>
            <w:tcBorders>
              <w:top w:val="single" w:sz="4" w:space="0" w:color="000000"/>
              <w:left w:val="single" w:sz="4" w:space="0" w:color="000000"/>
              <w:bottom w:val="single" w:sz="4" w:space="0" w:color="000000"/>
              <w:right w:val="single" w:sz="4" w:space="0" w:color="000000"/>
            </w:tcBorders>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sz w:val="24"/>
                <w:szCs w:val="24"/>
              </w:rPr>
              <w:t>申购起始日</w:t>
            </w:r>
          </w:p>
        </w:tc>
        <w:tc>
          <w:tcPr>
            <w:tcW w:w="6667" w:type="dxa"/>
            <w:gridSpan w:val="2"/>
            <w:tcBorders>
              <w:top w:val="single" w:sz="4" w:space="0" w:color="000000"/>
              <w:left w:val="single" w:sz="4" w:space="0" w:color="000000"/>
              <w:bottom w:val="single" w:sz="4" w:space="0" w:color="000000"/>
              <w:right w:val="single" w:sz="4" w:space="0" w:color="000000"/>
            </w:tcBorders>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sz w:val="24"/>
                <w:szCs w:val="24"/>
              </w:rPr>
              <w:t>202</w:t>
            </w:r>
            <w:r>
              <w:rPr>
                <w:rFonts w:asciiTheme="majorEastAsia" w:eastAsiaTheme="majorEastAsia" w:hAnsiTheme="majorEastAsia" w:hint="eastAsia"/>
                <w:sz w:val="24"/>
                <w:szCs w:val="24"/>
                <w:lang w:val="en-US"/>
              </w:rPr>
              <w:t>4</w:t>
            </w:r>
            <w:r>
              <w:rPr>
                <w:rFonts w:asciiTheme="majorEastAsia" w:eastAsiaTheme="majorEastAsia" w:hAnsiTheme="majorEastAsia"/>
                <w:sz w:val="24"/>
                <w:szCs w:val="24"/>
              </w:rPr>
              <w:t>年</w:t>
            </w:r>
            <w:r>
              <w:rPr>
                <w:rFonts w:asciiTheme="majorEastAsia" w:eastAsiaTheme="majorEastAsia" w:hAnsiTheme="majorEastAsia"/>
                <w:sz w:val="24"/>
                <w:szCs w:val="24"/>
              </w:rPr>
              <w:t>0</w:t>
            </w:r>
            <w:r>
              <w:rPr>
                <w:rFonts w:asciiTheme="majorEastAsia" w:eastAsiaTheme="majorEastAsia" w:hAnsiTheme="majorEastAsia" w:hint="eastAsia"/>
                <w:sz w:val="24"/>
                <w:szCs w:val="24"/>
                <w:lang w:val="en-US"/>
              </w:rPr>
              <w:t>9</w:t>
            </w:r>
            <w:r>
              <w:rPr>
                <w:rFonts w:asciiTheme="majorEastAsia" w:eastAsiaTheme="majorEastAsia" w:hAnsiTheme="majorEastAsia"/>
                <w:sz w:val="24"/>
                <w:szCs w:val="24"/>
              </w:rPr>
              <w:t>月</w:t>
            </w:r>
            <w:r>
              <w:rPr>
                <w:rFonts w:asciiTheme="majorEastAsia" w:eastAsiaTheme="majorEastAsia" w:hAnsiTheme="majorEastAsia"/>
                <w:sz w:val="24"/>
                <w:szCs w:val="24"/>
                <w:lang w:val="en-US"/>
              </w:rPr>
              <w:t>0</w:t>
            </w:r>
            <w:r>
              <w:rPr>
                <w:rFonts w:asciiTheme="majorEastAsia" w:eastAsiaTheme="majorEastAsia" w:hAnsiTheme="majorEastAsia" w:hint="eastAsia"/>
                <w:sz w:val="24"/>
                <w:szCs w:val="24"/>
                <w:lang w:val="en-US"/>
              </w:rPr>
              <w:t>2</w:t>
            </w:r>
            <w:r>
              <w:rPr>
                <w:rFonts w:asciiTheme="majorEastAsia" w:eastAsiaTheme="majorEastAsia" w:hAnsiTheme="majorEastAsia"/>
                <w:sz w:val="24"/>
                <w:szCs w:val="24"/>
              </w:rPr>
              <w:t>日</w:t>
            </w:r>
          </w:p>
        </w:tc>
      </w:tr>
      <w:tr w:rsidR="009478F5">
        <w:trPr>
          <w:trHeight w:val="322"/>
        </w:trPr>
        <w:tc>
          <w:tcPr>
            <w:tcW w:w="2792" w:type="dxa"/>
            <w:tcBorders>
              <w:top w:val="single" w:sz="4" w:space="0" w:color="000000"/>
              <w:left w:val="single" w:sz="4" w:space="0" w:color="000000"/>
              <w:bottom w:val="single" w:sz="4" w:space="0" w:color="000000"/>
              <w:right w:val="single" w:sz="4" w:space="0" w:color="000000"/>
            </w:tcBorders>
          </w:tcPr>
          <w:p w:rsidR="009478F5" w:rsidRDefault="002B053A">
            <w:pPr>
              <w:spacing w:line="360" w:lineRule="auto"/>
              <w:ind w:left="2"/>
              <w:rPr>
                <w:rFonts w:asciiTheme="majorEastAsia" w:eastAsiaTheme="majorEastAsia" w:hAnsiTheme="majorEastAsia"/>
                <w:sz w:val="24"/>
                <w:szCs w:val="24"/>
                <w:lang w:val="en-US"/>
              </w:rPr>
            </w:pPr>
            <w:r>
              <w:rPr>
                <w:rFonts w:asciiTheme="majorEastAsia" w:eastAsiaTheme="majorEastAsia" w:hAnsiTheme="majorEastAsia" w:hint="eastAsia"/>
                <w:sz w:val="24"/>
                <w:szCs w:val="24"/>
                <w:lang w:val="en-US"/>
              </w:rPr>
              <w:t>赎回起始日</w:t>
            </w:r>
          </w:p>
        </w:tc>
        <w:tc>
          <w:tcPr>
            <w:tcW w:w="6667" w:type="dxa"/>
            <w:gridSpan w:val="2"/>
            <w:tcBorders>
              <w:top w:val="single" w:sz="4" w:space="0" w:color="000000"/>
              <w:left w:val="single" w:sz="4" w:space="0" w:color="000000"/>
              <w:bottom w:val="single" w:sz="4" w:space="0" w:color="000000"/>
              <w:right w:val="single" w:sz="4" w:space="0" w:color="000000"/>
            </w:tcBorders>
          </w:tcPr>
          <w:p w:rsidR="009478F5" w:rsidRDefault="002B053A">
            <w:pPr>
              <w:spacing w:line="360" w:lineRule="auto"/>
              <w:ind w:left="2"/>
              <w:rPr>
                <w:rFonts w:asciiTheme="majorEastAsia" w:eastAsiaTheme="majorEastAsia" w:hAnsiTheme="majorEastAsia"/>
                <w:sz w:val="24"/>
                <w:szCs w:val="24"/>
                <w:lang w:val="en-US"/>
              </w:rPr>
            </w:pPr>
            <w:r>
              <w:rPr>
                <w:rFonts w:asciiTheme="majorEastAsia" w:eastAsiaTheme="majorEastAsia" w:hAnsiTheme="majorEastAsia"/>
                <w:sz w:val="24"/>
                <w:szCs w:val="24"/>
              </w:rPr>
              <w:t>202</w:t>
            </w:r>
            <w:r>
              <w:rPr>
                <w:rFonts w:asciiTheme="majorEastAsia" w:eastAsiaTheme="majorEastAsia" w:hAnsiTheme="majorEastAsia" w:hint="eastAsia"/>
                <w:sz w:val="24"/>
                <w:szCs w:val="24"/>
                <w:lang w:val="en-US"/>
              </w:rPr>
              <w:t>4</w:t>
            </w:r>
            <w:r>
              <w:rPr>
                <w:rFonts w:asciiTheme="majorEastAsia" w:eastAsiaTheme="majorEastAsia" w:hAnsiTheme="majorEastAsia"/>
                <w:sz w:val="24"/>
                <w:szCs w:val="24"/>
              </w:rPr>
              <w:t>年</w:t>
            </w:r>
            <w:r>
              <w:rPr>
                <w:rFonts w:asciiTheme="majorEastAsia" w:eastAsiaTheme="majorEastAsia" w:hAnsiTheme="majorEastAsia"/>
                <w:sz w:val="24"/>
                <w:szCs w:val="24"/>
              </w:rPr>
              <w:t>0</w:t>
            </w:r>
            <w:r>
              <w:rPr>
                <w:rFonts w:asciiTheme="majorEastAsia" w:eastAsiaTheme="majorEastAsia" w:hAnsiTheme="majorEastAsia" w:hint="eastAsia"/>
                <w:sz w:val="24"/>
                <w:szCs w:val="24"/>
                <w:lang w:val="en-US"/>
              </w:rPr>
              <w:t>9</w:t>
            </w:r>
            <w:r>
              <w:rPr>
                <w:rFonts w:asciiTheme="majorEastAsia" w:eastAsiaTheme="majorEastAsia" w:hAnsiTheme="majorEastAsia"/>
                <w:sz w:val="24"/>
                <w:szCs w:val="24"/>
              </w:rPr>
              <w:t>月</w:t>
            </w:r>
            <w:r>
              <w:rPr>
                <w:rFonts w:asciiTheme="majorEastAsia" w:eastAsiaTheme="majorEastAsia" w:hAnsiTheme="majorEastAsia"/>
                <w:sz w:val="24"/>
                <w:szCs w:val="24"/>
                <w:lang w:val="en-US"/>
              </w:rPr>
              <w:t>0</w:t>
            </w:r>
            <w:r>
              <w:rPr>
                <w:rFonts w:asciiTheme="majorEastAsia" w:eastAsiaTheme="majorEastAsia" w:hAnsiTheme="majorEastAsia" w:hint="eastAsia"/>
                <w:sz w:val="24"/>
                <w:szCs w:val="24"/>
                <w:lang w:val="en-US"/>
              </w:rPr>
              <w:t>2</w:t>
            </w:r>
            <w:r>
              <w:rPr>
                <w:rFonts w:asciiTheme="majorEastAsia" w:eastAsiaTheme="majorEastAsia" w:hAnsiTheme="majorEastAsia"/>
                <w:sz w:val="24"/>
                <w:szCs w:val="24"/>
              </w:rPr>
              <w:t>日</w:t>
            </w:r>
          </w:p>
        </w:tc>
      </w:tr>
      <w:tr w:rsidR="009478F5">
        <w:trPr>
          <w:trHeight w:val="322"/>
        </w:trPr>
        <w:tc>
          <w:tcPr>
            <w:tcW w:w="2792" w:type="dxa"/>
            <w:tcBorders>
              <w:top w:val="single" w:sz="4" w:space="0" w:color="000000"/>
              <w:left w:val="single" w:sz="4" w:space="0" w:color="000000"/>
              <w:bottom w:val="single" w:sz="4" w:space="0" w:color="000000"/>
              <w:right w:val="single" w:sz="4" w:space="0" w:color="000000"/>
            </w:tcBorders>
            <w:vAlign w:val="center"/>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hint="eastAsia"/>
                <w:sz w:val="24"/>
                <w:szCs w:val="24"/>
              </w:rPr>
              <w:t>转换转入起始日</w:t>
            </w:r>
          </w:p>
        </w:tc>
        <w:tc>
          <w:tcPr>
            <w:tcW w:w="6667" w:type="dxa"/>
            <w:gridSpan w:val="2"/>
            <w:tcBorders>
              <w:top w:val="single" w:sz="4" w:space="0" w:color="000000"/>
              <w:left w:val="single" w:sz="4" w:space="0" w:color="000000"/>
              <w:bottom w:val="single" w:sz="4" w:space="0" w:color="000000"/>
              <w:right w:val="single" w:sz="4" w:space="0" w:color="000000"/>
            </w:tcBorders>
            <w:vAlign w:val="center"/>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sz w:val="24"/>
                <w:szCs w:val="24"/>
              </w:rPr>
              <w:t>202</w:t>
            </w:r>
            <w:r>
              <w:rPr>
                <w:rFonts w:asciiTheme="majorEastAsia" w:eastAsiaTheme="majorEastAsia" w:hAnsiTheme="majorEastAsia" w:hint="eastAsia"/>
                <w:sz w:val="24"/>
                <w:szCs w:val="24"/>
                <w:lang w:val="en-US"/>
              </w:rPr>
              <w:t>4</w:t>
            </w:r>
            <w:r>
              <w:rPr>
                <w:rFonts w:asciiTheme="majorEastAsia" w:eastAsiaTheme="majorEastAsia" w:hAnsiTheme="majorEastAsia"/>
                <w:sz w:val="24"/>
                <w:szCs w:val="24"/>
              </w:rPr>
              <w:t>年</w:t>
            </w:r>
            <w:r>
              <w:rPr>
                <w:rFonts w:asciiTheme="majorEastAsia" w:eastAsiaTheme="majorEastAsia" w:hAnsiTheme="majorEastAsia"/>
                <w:sz w:val="24"/>
                <w:szCs w:val="24"/>
              </w:rPr>
              <w:t>0</w:t>
            </w:r>
            <w:r>
              <w:rPr>
                <w:rFonts w:asciiTheme="majorEastAsia" w:eastAsiaTheme="majorEastAsia" w:hAnsiTheme="majorEastAsia" w:hint="eastAsia"/>
                <w:sz w:val="24"/>
                <w:szCs w:val="24"/>
                <w:lang w:val="en-US"/>
              </w:rPr>
              <w:t>9</w:t>
            </w:r>
            <w:r>
              <w:rPr>
                <w:rFonts w:asciiTheme="majorEastAsia" w:eastAsiaTheme="majorEastAsia" w:hAnsiTheme="majorEastAsia"/>
                <w:sz w:val="24"/>
                <w:szCs w:val="24"/>
              </w:rPr>
              <w:t>月</w:t>
            </w:r>
            <w:r>
              <w:rPr>
                <w:rFonts w:asciiTheme="majorEastAsia" w:eastAsiaTheme="majorEastAsia" w:hAnsiTheme="majorEastAsia"/>
                <w:sz w:val="24"/>
                <w:szCs w:val="24"/>
                <w:lang w:val="en-US"/>
              </w:rPr>
              <w:t>0</w:t>
            </w:r>
            <w:r>
              <w:rPr>
                <w:rFonts w:asciiTheme="majorEastAsia" w:eastAsiaTheme="majorEastAsia" w:hAnsiTheme="majorEastAsia" w:hint="eastAsia"/>
                <w:sz w:val="24"/>
                <w:szCs w:val="24"/>
                <w:lang w:val="en-US"/>
              </w:rPr>
              <w:t>2</w:t>
            </w:r>
            <w:r>
              <w:rPr>
                <w:rFonts w:asciiTheme="majorEastAsia" w:eastAsiaTheme="majorEastAsia" w:hAnsiTheme="majorEastAsia"/>
                <w:sz w:val="24"/>
                <w:szCs w:val="24"/>
              </w:rPr>
              <w:t>日</w:t>
            </w:r>
          </w:p>
        </w:tc>
      </w:tr>
      <w:tr w:rsidR="009478F5">
        <w:trPr>
          <w:trHeight w:val="322"/>
        </w:trPr>
        <w:tc>
          <w:tcPr>
            <w:tcW w:w="2792" w:type="dxa"/>
            <w:tcBorders>
              <w:top w:val="single" w:sz="4" w:space="0" w:color="000000"/>
              <w:left w:val="single" w:sz="4" w:space="0" w:color="000000"/>
              <w:bottom w:val="single" w:sz="4" w:space="0" w:color="000000"/>
              <w:right w:val="single" w:sz="4" w:space="0" w:color="000000"/>
            </w:tcBorders>
            <w:vAlign w:val="center"/>
          </w:tcPr>
          <w:p w:rsidR="009478F5" w:rsidRDefault="002B053A">
            <w:pPr>
              <w:spacing w:line="360" w:lineRule="auto"/>
              <w:rPr>
                <w:rFonts w:asciiTheme="majorEastAsia" w:eastAsiaTheme="majorEastAsia" w:hAnsiTheme="majorEastAsia"/>
                <w:sz w:val="24"/>
                <w:szCs w:val="24"/>
                <w:lang w:val="en-US"/>
              </w:rPr>
            </w:pPr>
            <w:r>
              <w:rPr>
                <w:rFonts w:asciiTheme="majorEastAsia" w:eastAsiaTheme="majorEastAsia" w:hAnsiTheme="majorEastAsia" w:hint="eastAsia"/>
                <w:sz w:val="24"/>
                <w:szCs w:val="24"/>
                <w:lang w:val="en-US"/>
              </w:rPr>
              <w:t>转换转出起始日</w:t>
            </w:r>
          </w:p>
        </w:tc>
        <w:tc>
          <w:tcPr>
            <w:tcW w:w="6667" w:type="dxa"/>
            <w:gridSpan w:val="2"/>
            <w:tcBorders>
              <w:top w:val="single" w:sz="4" w:space="0" w:color="000000"/>
              <w:left w:val="single" w:sz="4" w:space="0" w:color="000000"/>
              <w:bottom w:val="single" w:sz="4" w:space="0" w:color="000000"/>
              <w:right w:val="single" w:sz="4" w:space="0" w:color="000000"/>
            </w:tcBorders>
            <w:vAlign w:val="center"/>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sz w:val="24"/>
                <w:szCs w:val="24"/>
              </w:rPr>
              <w:t>202</w:t>
            </w:r>
            <w:r>
              <w:rPr>
                <w:rFonts w:asciiTheme="majorEastAsia" w:eastAsiaTheme="majorEastAsia" w:hAnsiTheme="majorEastAsia" w:hint="eastAsia"/>
                <w:sz w:val="24"/>
                <w:szCs w:val="24"/>
                <w:lang w:val="en-US"/>
              </w:rPr>
              <w:t>4</w:t>
            </w:r>
            <w:r>
              <w:rPr>
                <w:rFonts w:asciiTheme="majorEastAsia" w:eastAsiaTheme="majorEastAsia" w:hAnsiTheme="majorEastAsia"/>
                <w:sz w:val="24"/>
                <w:szCs w:val="24"/>
              </w:rPr>
              <w:t>年</w:t>
            </w:r>
            <w:r>
              <w:rPr>
                <w:rFonts w:asciiTheme="majorEastAsia" w:eastAsiaTheme="majorEastAsia" w:hAnsiTheme="majorEastAsia"/>
                <w:sz w:val="24"/>
                <w:szCs w:val="24"/>
              </w:rPr>
              <w:t>0</w:t>
            </w:r>
            <w:r>
              <w:rPr>
                <w:rFonts w:asciiTheme="majorEastAsia" w:eastAsiaTheme="majorEastAsia" w:hAnsiTheme="majorEastAsia" w:hint="eastAsia"/>
                <w:sz w:val="24"/>
                <w:szCs w:val="24"/>
                <w:lang w:val="en-US"/>
              </w:rPr>
              <w:t>9</w:t>
            </w:r>
            <w:r>
              <w:rPr>
                <w:rFonts w:asciiTheme="majorEastAsia" w:eastAsiaTheme="majorEastAsia" w:hAnsiTheme="majorEastAsia"/>
                <w:sz w:val="24"/>
                <w:szCs w:val="24"/>
              </w:rPr>
              <w:t>月</w:t>
            </w:r>
            <w:r>
              <w:rPr>
                <w:rFonts w:asciiTheme="majorEastAsia" w:eastAsiaTheme="majorEastAsia" w:hAnsiTheme="majorEastAsia"/>
                <w:sz w:val="24"/>
                <w:szCs w:val="24"/>
                <w:lang w:val="en-US"/>
              </w:rPr>
              <w:t>0</w:t>
            </w:r>
            <w:r>
              <w:rPr>
                <w:rFonts w:asciiTheme="majorEastAsia" w:eastAsiaTheme="majorEastAsia" w:hAnsiTheme="majorEastAsia" w:hint="eastAsia"/>
                <w:sz w:val="24"/>
                <w:szCs w:val="24"/>
                <w:lang w:val="en-US"/>
              </w:rPr>
              <w:t>2</w:t>
            </w:r>
            <w:r>
              <w:rPr>
                <w:rFonts w:asciiTheme="majorEastAsia" w:eastAsiaTheme="majorEastAsia" w:hAnsiTheme="majorEastAsia"/>
                <w:sz w:val="24"/>
                <w:szCs w:val="24"/>
              </w:rPr>
              <w:t>日</w:t>
            </w:r>
          </w:p>
        </w:tc>
      </w:tr>
      <w:tr w:rsidR="009478F5">
        <w:trPr>
          <w:trHeight w:val="322"/>
        </w:trPr>
        <w:tc>
          <w:tcPr>
            <w:tcW w:w="2792" w:type="dxa"/>
            <w:tcBorders>
              <w:top w:val="single" w:sz="4" w:space="0" w:color="000000"/>
              <w:left w:val="single" w:sz="4" w:space="0" w:color="000000"/>
              <w:bottom w:val="single" w:sz="4" w:space="0" w:color="000000"/>
              <w:right w:val="single" w:sz="4" w:space="0" w:color="000000"/>
            </w:tcBorders>
            <w:vAlign w:val="center"/>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hint="eastAsia"/>
                <w:sz w:val="24"/>
                <w:szCs w:val="24"/>
              </w:rPr>
              <w:t>定期定额投资起始日</w:t>
            </w:r>
          </w:p>
        </w:tc>
        <w:tc>
          <w:tcPr>
            <w:tcW w:w="6667" w:type="dxa"/>
            <w:gridSpan w:val="2"/>
            <w:tcBorders>
              <w:top w:val="single" w:sz="4" w:space="0" w:color="000000"/>
              <w:left w:val="single" w:sz="4" w:space="0" w:color="000000"/>
              <w:bottom w:val="single" w:sz="4" w:space="0" w:color="000000"/>
              <w:right w:val="single" w:sz="4" w:space="0" w:color="000000"/>
            </w:tcBorders>
            <w:vAlign w:val="center"/>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sz w:val="24"/>
                <w:szCs w:val="24"/>
              </w:rPr>
              <w:t>202</w:t>
            </w:r>
            <w:r>
              <w:rPr>
                <w:rFonts w:asciiTheme="majorEastAsia" w:eastAsiaTheme="majorEastAsia" w:hAnsiTheme="majorEastAsia" w:hint="eastAsia"/>
                <w:sz w:val="24"/>
                <w:szCs w:val="24"/>
                <w:lang w:val="en-US"/>
              </w:rPr>
              <w:t>4</w:t>
            </w:r>
            <w:r>
              <w:rPr>
                <w:rFonts w:asciiTheme="majorEastAsia" w:eastAsiaTheme="majorEastAsia" w:hAnsiTheme="majorEastAsia"/>
                <w:sz w:val="24"/>
                <w:szCs w:val="24"/>
              </w:rPr>
              <w:t>年</w:t>
            </w:r>
            <w:r>
              <w:rPr>
                <w:rFonts w:asciiTheme="majorEastAsia" w:eastAsiaTheme="majorEastAsia" w:hAnsiTheme="majorEastAsia"/>
                <w:sz w:val="24"/>
                <w:szCs w:val="24"/>
              </w:rPr>
              <w:t>0</w:t>
            </w:r>
            <w:r>
              <w:rPr>
                <w:rFonts w:asciiTheme="majorEastAsia" w:eastAsiaTheme="majorEastAsia" w:hAnsiTheme="majorEastAsia" w:hint="eastAsia"/>
                <w:sz w:val="24"/>
                <w:szCs w:val="24"/>
                <w:lang w:val="en-US"/>
              </w:rPr>
              <w:t>9</w:t>
            </w:r>
            <w:r>
              <w:rPr>
                <w:rFonts w:asciiTheme="majorEastAsia" w:eastAsiaTheme="majorEastAsia" w:hAnsiTheme="majorEastAsia"/>
                <w:sz w:val="24"/>
                <w:szCs w:val="24"/>
              </w:rPr>
              <w:t>月</w:t>
            </w:r>
            <w:r>
              <w:rPr>
                <w:rFonts w:asciiTheme="majorEastAsia" w:eastAsiaTheme="majorEastAsia" w:hAnsiTheme="majorEastAsia"/>
                <w:sz w:val="24"/>
                <w:szCs w:val="24"/>
                <w:lang w:val="en-US"/>
              </w:rPr>
              <w:t>0</w:t>
            </w:r>
            <w:r>
              <w:rPr>
                <w:rFonts w:asciiTheme="majorEastAsia" w:eastAsiaTheme="majorEastAsia" w:hAnsiTheme="majorEastAsia" w:hint="eastAsia"/>
                <w:sz w:val="24"/>
                <w:szCs w:val="24"/>
                <w:lang w:val="en-US"/>
              </w:rPr>
              <w:t>2</w:t>
            </w:r>
            <w:r>
              <w:rPr>
                <w:rFonts w:asciiTheme="majorEastAsia" w:eastAsiaTheme="majorEastAsia" w:hAnsiTheme="majorEastAsia"/>
                <w:sz w:val="24"/>
                <w:szCs w:val="24"/>
              </w:rPr>
              <w:t>日</w:t>
            </w:r>
          </w:p>
        </w:tc>
      </w:tr>
      <w:tr w:rsidR="009478F5">
        <w:trPr>
          <w:trHeight w:val="322"/>
        </w:trPr>
        <w:tc>
          <w:tcPr>
            <w:tcW w:w="2792" w:type="dxa"/>
            <w:tcBorders>
              <w:top w:val="single" w:sz="4" w:space="0" w:color="000000"/>
              <w:left w:val="single" w:sz="4" w:space="0" w:color="000000"/>
              <w:bottom w:val="single" w:sz="4" w:space="0" w:color="000000"/>
              <w:right w:val="single" w:sz="4" w:space="0" w:color="000000"/>
            </w:tcBorders>
            <w:vAlign w:val="center"/>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hint="eastAsia"/>
                <w:sz w:val="24"/>
                <w:szCs w:val="24"/>
              </w:rPr>
              <w:t>下属分级基金的基金简称</w:t>
            </w:r>
          </w:p>
        </w:tc>
        <w:tc>
          <w:tcPr>
            <w:tcW w:w="3372" w:type="dxa"/>
            <w:tcBorders>
              <w:top w:val="single" w:sz="4" w:space="0" w:color="000000"/>
              <w:left w:val="single" w:sz="4" w:space="0" w:color="000000"/>
              <w:bottom w:val="single" w:sz="4" w:space="0" w:color="000000"/>
              <w:right w:val="single" w:sz="4" w:space="0" w:color="000000"/>
            </w:tcBorders>
            <w:vAlign w:val="center"/>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hint="eastAsia"/>
                <w:sz w:val="24"/>
                <w:szCs w:val="24"/>
              </w:rPr>
              <w:t>东兴成长优选混合发起</w:t>
            </w:r>
            <w:r>
              <w:rPr>
                <w:rFonts w:asciiTheme="majorEastAsia" w:eastAsiaTheme="majorEastAsia" w:hAnsiTheme="majorEastAsia" w:hint="eastAsia"/>
                <w:sz w:val="24"/>
                <w:szCs w:val="24"/>
              </w:rPr>
              <w:t>A</w:t>
            </w:r>
          </w:p>
        </w:tc>
        <w:tc>
          <w:tcPr>
            <w:tcW w:w="3295" w:type="dxa"/>
            <w:tcBorders>
              <w:top w:val="single" w:sz="4" w:space="0" w:color="000000"/>
              <w:left w:val="single" w:sz="4" w:space="0" w:color="000000"/>
              <w:bottom w:val="single" w:sz="4" w:space="0" w:color="000000"/>
              <w:right w:val="single" w:sz="4" w:space="0" w:color="000000"/>
            </w:tcBorders>
            <w:vAlign w:val="center"/>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hint="eastAsia"/>
                <w:sz w:val="24"/>
                <w:szCs w:val="24"/>
              </w:rPr>
              <w:t>东兴成长优选混合发起</w:t>
            </w:r>
            <w:r>
              <w:rPr>
                <w:rFonts w:asciiTheme="majorEastAsia" w:eastAsiaTheme="majorEastAsia" w:hAnsiTheme="majorEastAsia" w:hint="eastAsia"/>
                <w:sz w:val="24"/>
                <w:szCs w:val="24"/>
              </w:rPr>
              <w:t>C</w:t>
            </w:r>
          </w:p>
        </w:tc>
      </w:tr>
      <w:tr w:rsidR="009478F5">
        <w:trPr>
          <w:trHeight w:val="322"/>
        </w:trPr>
        <w:tc>
          <w:tcPr>
            <w:tcW w:w="2792" w:type="dxa"/>
            <w:tcBorders>
              <w:top w:val="single" w:sz="4" w:space="0" w:color="000000"/>
              <w:left w:val="single" w:sz="4" w:space="0" w:color="000000"/>
              <w:bottom w:val="single" w:sz="4" w:space="0" w:color="000000"/>
              <w:right w:val="single" w:sz="4" w:space="0" w:color="000000"/>
            </w:tcBorders>
            <w:vAlign w:val="center"/>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hint="eastAsia"/>
                <w:sz w:val="24"/>
                <w:szCs w:val="24"/>
              </w:rPr>
              <w:t>下属分级基金的交易代码</w:t>
            </w:r>
          </w:p>
        </w:tc>
        <w:tc>
          <w:tcPr>
            <w:tcW w:w="3372" w:type="dxa"/>
            <w:tcBorders>
              <w:top w:val="single" w:sz="4" w:space="0" w:color="000000"/>
              <w:left w:val="single" w:sz="4" w:space="0" w:color="000000"/>
              <w:bottom w:val="single" w:sz="4" w:space="0" w:color="000000"/>
              <w:right w:val="single" w:sz="4" w:space="0" w:color="000000"/>
            </w:tcBorders>
            <w:vAlign w:val="center"/>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hint="eastAsia"/>
                <w:sz w:val="24"/>
                <w:szCs w:val="24"/>
              </w:rPr>
              <w:t>021390</w:t>
            </w:r>
          </w:p>
        </w:tc>
        <w:tc>
          <w:tcPr>
            <w:tcW w:w="3295" w:type="dxa"/>
            <w:tcBorders>
              <w:top w:val="single" w:sz="4" w:space="0" w:color="000000"/>
              <w:left w:val="single" w:sz="4" w:space="0" w:color="000000"/>
              <w:bottom w:val="single" w:sz="4" w:space="0" w:color="000000"/>
              <w:right w:val="single" w:sz="4" w:space="0" w:color="000000"/>
            </w:tcBorders>
            <w:vAlign w:val="center"/>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hint="eastAsia"/>
                <w:sz w:val="24"/>
                <w:szCs w:val="24"/>
              </w:rPr>
              <w:t>021391</w:t>
            </w:r>
          </w:p>
        </w:tc>
      </w:tr>
      <w:tr w:rsidR="009478F5">
        <w:trPr>
          <w:trHeight w:val="322"/>
        </w:trPr>
        <w:tc>
          <w:tcPr>
            <w:tcW w:w="2792" w:type="dxa"/>
            <w:tcBorders>
              <w:top w:val="single" w:sz="4" w:space="0" w:color="000000"/>
              <w:left w:val="single" w:sz="4" w:space="0" w:color="000000"/>
              <w:bottom w:val="single" w:sz="4" w:space="0" w:color="000000"/>
              <w:right w:val="single" w:sz="4" w:space="0" w:color="000000"/>
            </w:tcBorders>
            <w:vAlign w:val="center"/>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hint="eastAsia"/>
                <w:sz w:val="24"/>
                <w:szCs w:val="24"/>
              </w:rPr>
              <w:t>该分级基金是否开放申购、</w:t>
            </w:r>
            <w:r>
              <w:rPr>
                <w:rFonts w:asciiTheme="majorEastAsia" w:eastAsiaTheme="majorEastAsia" w:hAnsiTheme="majorEastAsia" w:hint="eastAsia"/>
                <w:sz w:val="24"/>
                <w:szCs w:val="24"/>
                <w:lang w:val="en-US"/>
              </w:rPr>
              <w:t>赎回、</w:t>
            </w:r>
            <w:r>
              <w:rPr>
                <w:rFonts w:asciiTheme="majorEastAsia" w:eastAsiaTheme="majorEastAsia" w:hAnsiTheme="majorEastAsia" w:hint="eastAsia"/>
                <w:sz w:val="24"/>
                <w:szCs w:val="24"/>
              </w:rPr>
              <w:t>转换、定期</w:t>
            </w:r>
            <w:r>
              <w:rPr>
                <w:rFonts w:asciiTheme="majorEastAsia" w:eastAsiaTheme="majorEastAsia" w:hAnsiTheme="majorEastAsia" w:hint="eastAsia"/>
                <w:sz w:val="24"/>
                <w:szCs w:val="24"/>
              </w:rPr>
              <w:lastRenderedPageBreak/>
              <w:t>定额投资</w:t>
            </w:r>
          </w:p>
        </w:tc>
        <w:tc>
          <w:tcPr>
            <w:tcW w:w="3372" w:type="dxa"/>
            <w:tcBorders>
              <w:top w:val="single" w:sz="4" w:space="0" w:color="000000"/>
              <w:left w:val="single" w:sz="4" w:space="0" w:color="000000"/>
              <w:bottom w:val="single" w:sz="4" w:space="0" w:color="000000"/>
              <w:right w:val="single" w:sz="4" w:space="0" w:color="000000"/>
            </w:tcBorders>
            <w:vAlign w:val="center"/>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是</w:t>
            </w:r>
          </w:p>
        </w:tc>
        <w:tc>
          <w:tcPr>
            <w:tcW w:w="3295" w:type="dxa"/>
            <w:tcBorders>
              <w:top w:val="single" w:sz="4" w:space="0" w:color="000000"/>
              <w:left w:val="single" w:sz="4" w:space="0" w:color="000000"/>
              <w:bottom w:val="single" w:sz="4" w:space="0" w:color="000000"/>
              <w:right w:val="single" w:sz="4" w:space="0" w:color="000000"/>
            </w:tcBorders>
            <w:vAlign w:val="center"/>
          </w:tcPr>
          <w:p w:rsidR="009478F5" w:rsidRDefault="002B053A">
            <w:pPr>
              <w:spacing w:line="360" w:lineRule="auto"/>
              <w:ind w:left="2"/>
              <w:rPr>
                <w:rFonts w:asciiTheme="majorEastAsia" w:eastAsiaTheme="majorEastAsia" w:hAnsiTheme="majorEastAsia"/>
                <w:sz w:val="24"/>
                <w:szCs w:val="24"/>
              </w:rPr>
            </w:pPr>
            <w:r>
              <w:rPr>
                <w:rFonts w:asciiTheme="majorEastAsia" w:eastAsiaTheme="majorEastAsia" w:hAnsiTheme="majorEastAsia" w:hint="eastAsia"/>
                <w:sz w:val="24"/>
                <w:szCs w:val="24"/>
              </w:rPr>
              <w:t>是</w:t>
            </w:r>
          </w:p>
        </w:tc>
      </w:tr>
    </w:tbl>
    <w:p w:rsidR="009478F5" w:rsidRDefault="002B053A" w:rsidP="002B053A">
      <w:pPr>
        <w:pStyle w:val="af0"/>
        <w:numPr>
          <w:ilvl w:val="0"/>
          <w:numId w:val="1"/>
        </w:numPr>
        <w:spacing w:beforeLines="50" w:afterLines="50"/>
        <w:ind w:left="352" w:hanging="352"/>
        <w:rPr>
          <w:rFonts w:asciiTheme="majorEastAsia" w:eastAsiaTheme="majorEastAsia" w:hAnsiTheme="majorEastAsia"/>
          <w:b/>
          <w:sz w:val="24"/>
          <w:szCs w:val="24"/>
        </w:rPr>
        <w:pPrChange w:id="0" w:author="ZHONGM" w:date="2024-08-30T00:03:00Z">
          <w:pPr>
            <w:pStyle w:val="af0"/>
            <w:numPr>
              <w:numId w:val="1"/>
            </w:numPr>
            <w:spacing w:beforeLines="50" w:afterLines="50"/>
            <w:ind w:left="352" w:hanging="352"/>
          </w:pPr>
        </w:pPrChange>
      </w:pPr>
      <w:r>
        <w:rPr>
          <w:rFonts w:asciiTheme="majorEastAsia" w:eastAsiaTheme="majorEastAsia" w:hAnsiTheme="majorEastAsia" w:hint="eastAsia"/>
          <w:b/>
          <w:sz w:val="24"/>
          <w:szCs w:val="24"/>
        </w:rPr>
        <w:lastRenderedPageBreak/>
        <w:t>日常申购、</w:t>
      </w:r>
      <w:r>
        <w:rPr>
          <w:rFonts w:asciiTheme="majorEastAsia" w:eastAsiaTheme="majorEastAsia" w:hAnsiTheme="majorEastAsia" w:hint="eastAsia"/>
          <w:b/>
          <w:sz w:val="24"/>
          <w:szCs w:val="24"/>
          <w:lang w:val="en-US"/>
        </w:rPr>
        <w:t>赎回（转换、定期定额）业务的</w:t>
      </w:r>
      <w:r>
        <w:rPr>
          <w:rFonts w:asciiTheme="majorEastAsia" w:eastAsiaTheme="majorEastAsia" w:hAnsiTheme="majorEastAsia" w:hint="eastAsia"/>
          <w:b/>
          <w:sz w:val="24"/>
          <w:szCs w:val="24"/>
        </w:rPr>
        <w:t>办理时间</w:t>
      </w:r>
    </w:p>
    <w:p w:rsidR="009478F5" w:rsidRDefault="002B053A" w:rsidP="002B053A">
      <w:pPr>
        <w:spacing w:beforeLines="50" w:afterLines="50" w:line="360" w:lineRule="auto"/>
        <w:ind w:left="352" w:firstLineChars="200" w:firstLine="480"/>
        <w:rPr>
          <w:rFonts w:asciiTheme="majorEastAsia" w:eastAsiaTheme="majorEastAsia" w:hAnsiTheme="majorEastAsia"/>
          <w:sz w:val="24"/>
          <w:szCs w:val="24"/>
        </w:rPr>
        <w:pPrChange w:id="1" w:author="ZHONGM" w:date="2024-08-30T00:03:00Z">
          <w:pPr>
            <w:spacing w:beforeLines="50" w:afterLines="50" w:line="360" w:lineRule="auto"/>
            <w:ind w:left="352" w:firstLineChars="200" w:firstLine="480"/>
          </w:pPr>
        </w:pPrChange>
      </w:pPr>
      <w:r>
        <w:rPr>
          <w:rFonts w:asciiTheme="majorEastAsia" w:eastAsiaTheme="majorEastAsia" w:hAnsiTheme="majorEastAsia" w:hint="eastAsia"/>
          <w:sz w:val="24"/>
          <w:szCs w:val="24"/>
        </w:rPr>
        <w:t>投资人在开放日办理东兴成长优选混合型发起式证券投资基金（以下简称“本基金”）基金份额的申购、赎回、转换、定期定额申购等业务，具体办理时间为上海证券交易所、深圳证券交易所的正常交易日的交易时间，但基金管理人根据法律法规、中国证监会的要求或基金合同的规定公告暂停申购、赎回等业务时除外。</w:t>
      </w:r>
    </w:p>
    <w:p w:rsidR="009478F5" w:rsidRDefault="002B053A" w:rsidP="002B053A">
      <w:pPr>
        <w:spacing w:beforeLines="50" w:afterLines="50" w:line="360" w:lineRule="auto"/>
        <w:ind w:left="352" w:firstLineChars="200" w:firstLine="480"/>
        <w:rPr>
          <w:rFonts w:asciiTheme="majorEastAsia" w:eastAsiaTheme="majorEastAsia" w:hAnsiTheme="majorEastAsia"/>
          <w:sz w:val="24"/>
          <w:szCs w:val="24"/>
        </w:rPr>
        <w:pPrChange w:id="2" w:author="ZHONGM" w:date="2024-08-30T00:03:00Z">
          <w:pPr>
            <w:spacing w:beforeLines="50" w:afterLines="50" w:line="360" w:lineRule="auto"/>
            <w:ind w:left="352" w:firstLineChars="200" w:firstLine="480"/>
          </w:pPr>
        </w:pPrChange>
      </w:pPr>
      <w:r>
        <w:rPr>
          <w:rFonts w:asciiTheme="majorEastAsia" w:eastAsiaTheme="majorEastAsia" w:hAnsiTheme="majorEastAsia" w:hint="eastAsia"/>
          <w:sz w:val="24"/>
          <w:szCs w:val="24"/>
        </w:rPr>
        <w:t>若出现新的证券交易市场、证券交易所交易时间变更或实际情况需要，基金管理人有权视情况对前述开放日及开放时间进行相应的调整，但应在实施日前依照《公开</w:t>
      </w:r>
      <w:r>
        <w:rPr>
          <w:rFonts w:asciiTheme="majorEastAsia" w:eastAsiaTheme="majorEastAsia" w:hAnsiTheme="majorEastAsia" w:hint="eastAsia"/>
          <w:sz w:val="24"/>
          <w:szCs w:val="24"/>
        </w:rPr>
        <w:t>募集证券投资基金信息披露管理办法》的有关规定在规定媒介上公告。</w:t>
      </w:r>
    </w:p>
    <w:p w:rsidR="009478F5" w:rsidRDefault="002B053A" w:rsidP="002B053A">
      <w:pPr>
        <w:pStyle w:val="af0"/>
        <w:spacing w:beforeLines="50" w:afterLines="50"/>
        <w:ind w:left="352" w:hanging="352"/>
        <w:rPr>
          <w:rFonts w:asciiTheme="majorEastAsia" w:eastAsiaTheme="majorEastAsia" w:hAnsiTheme="majorEastAsia"/>
          <w:b/>
          <w:sz w:val="24"/>
          <w:szCs w:val="24"/>
        </w:rPr>
        <w:pPrChange w:id="3" w:author="ZHONGM" w:date="2024-08-30T00:03:00Z">
          <w:pPr>
            <w:pStyle w:val="af0"/>
            <w:spacing w:beforeLines="50" w:afterLines="50"/>
            <w:ind w:left="352" w:hanging="352"/>
          </w:pPr>
        </w:pPrChange>
      </w:pPr>
      <w:r>
        <w:rPr>
          <w:rFonts w:asciiTheme="majorEastAsia" w:eastAsiaTheme="majorEastAsia" w:hAnsiTheme="majorEastAsia"/>
          <w:b/>
          <w:sz w:val="24"/>
          <w:szCs w:val="24"/>
        </w:rPr>
        <w:t>3</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日常申购业务</w:t>
      </w:r>
    </w:p>
    <w:p w:rsidR="009478F5" w:rsidRDefault="002B053A">
      <w:pPr>
        <w:tabs>
          <w:tab w:val="left" w:pos="1595"/>
        </w:tabs>
        <w:autoSpaceDE/>
        <w:autoSpaceDN/>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3.1</w:t>
      </w:r>
      <w:r>
        <w:rPr>
          <w:rFonts w:asciiTheme="majorEastAsia" w:eastAsiaTheme="majorEastAsia" w:hAnsiTheme="majorEastAsia" w:hint="eastAsia"/>
          <w:sz w:val="24"/>
          <w:szCs w:val="24"/>
        </w:rPr>
        <w:t>申购金额限制</w:t>
      </w:r>
    </w:p>
    <w:p w:rsidR="009478F5" w:rsidRDefault="002B053A">
      <w:pPr>
        <w:pStyle w:val="a4"/>
        <w:autoSpaceDE/>
        <w:autoSpaceDN/>
        <w:spacing w:before="16" w:line="360" w:lineRule="auto"/>
        <w:ind w:left="0" w:firstLineChars="200" w:firstLine="480"/>
        <w:jc w:val="both"/>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）投资人通过代销机构申购本基金，每个基金账户单笔申购最低金额为</w:t>
      </w:r>
      <w:r>
        <w:rPr>
          <w:rFonts w:asciiTheme="majorEastAsia" w:eastAsiaTheme="majorEastAsia" w:hAnsiTheme="majorEastAsia"/>
          <w:sz w:val="24"/>
          <w:szCs w:val="24"/>
          <w:lang w:val="en-US"/>
        </w:rPr>
        <w:t>1</w:t>
      </w:r>
      <w:r>
        <w:rPr>
          <w:rFonts w:asciiTheme="majorEastAsia" w:eastAsiaTheme="majorEastAsia" w:hAnsiTheme="majorEastAsia" w:hint="eastAsia"/>
          <w:sz w:val="24"/>
          <w:szCs w:val="24"/>
        </w:rPr>
        <w:t>元人民币（含申购费），代销机构另有规定的，从其规定；本公司直销柜台每个基金账户首次单笔申购最低金额为</w:t>
      </w:r>
      <w:r>
        <w:rPr>
          <w:rFonts w:asciiTheme="majorEastAsia" w:eastAsiaTheme="majorEastAsia" w:hAnsiTheme="majorEastAsia"/>
          <w:sz w:val="24"/>
          <w:szCs w:val="24"/>
        </w:rPr>
        <w:t>10,000</w:t>
      </w:r>
      <w:r>
        <w:rPr>
          <w:rFonts w:asciiTheme="majorEastAsia" w:eastAsiaTheme="majorEastAsia" w:hAnsiTheme="majorEastAsia" w:hint="eastAsia"/>
          <w:sz w:val="24"/>
          <w:szCs w:val="24"/>
        </w:rPr>
        <w:t>元人民币（含申购费），每笔追加申购的最低金额为</w:t>
      </w:r>
      <w:r>
        <w:rPr>
          <w:rFonts w:asciiTheme="majorEastAsia" w:eastAsiaTheme="majorEastAsia" w:hAnsiTheme="majorEastAsia"/>
          <w:sz w:val="24"/>
          <w:szCs w:val="24"/>
        </w:rPr>
        <w:t>1,000</w:t>
      </w:r>
      <w:r>
        <w:rPr>
          <w:rFonts w:asciiTheme="majorEastAsia" w:eastAsiaTheme="majorEastAsia" w:hAnsiTheme="majorEastAsia" w:hint="eastAsia"/>
          <w:sz w:val="24"/>
          <w:szCs w:val="24"/>
        </w:rPr>
        <w:t>元（含申购费）。</w:t>
      </w:r>
    </w:p>
    <w:p w:rsidR="009478F5" w:rsidRDefault="002B053A">
      <w:pPr>
        <w:pStyle w:val="a4"/>
        <w:autoSpaceDE/>
        <w:autoSpaceDN/>
        <w:spacing w:before="16" w:line="360" w:lineRule="auto"/>
        <w:ind w:left="0" w:firstLineChars="200" w:firstLine="480"/>
        <w:jc w:val="both"/>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Pr>
          <w:rFonts w:asciiTheme="majorEastAsia" w:eastAsiaTheme="majorEastAsia" w:hAnsiTheme="majorEastAsia"/>
          <w:sz w:val="24"/>
          <w:szCs w:val="24"/>
        </w:rPr>
        <w:t>）当接受申购申请对存量基金份额持有人利益构成潜在重大不利影响时，基金管理</w:t>
      </w:r>
      <w:r>
        <w:rPr>
          <w:rFonts w:asciiTheme="majorEastAsia" w:eastAsiaTheme="majorEastAsia" w:hAnsiTheme="majorEastAsia" w:hint="eastAsia"/>
          <w:sz w:val="24"/>
          <w:szCs w:val="24"/>
        </w:rPr>
        <w:t>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9478F5" w:rsidRDefault="002B053A">
      <w:pPr>
        <w:pStyle w:val="a4"/>
        <w:autoSpaceDE/>
        <w:autoSpaceDN/>
        <w:spacing w:before="16" w:line="360" w:lineRule="auto"/>
        <w:ind w:left="0" w:firstLineChars="200" w:firstLine="480"/>
        <w:jc w:val="both"/>
        <w:rPr>
          <w:rFonts w:asciiTheme="majorEastAsia" w:eastAsiaTheme="majorEastAsia" w:hAnsiTheme="majorEastAsia"/>
          <w:sz w:val="24"/>
          <w:szCs w:val="24"/>
        </w:rPr>
      </w:pPr>
      <w:r>
        <w:rPr>
          <w:rFonts w:asciiTheme="majorEastAsia" w:eastAsiaTheme="majorEastAsia" w:hAnsiTheme="majorEastAsia"/>
          <w:sz w:val="24"/>
          <w:szCs w:val="24"/>
        </w:rPr>
        <w:t>3.2</w:t>
      </w:r>
      <w:r>
        <w:rPr>
          <w:rFonts w:asciiTheme="majorEastAsia" w:eastAsiaTheme="majorEastAsia" w:hAnsiTheme="majorEastAsia"/>
          <w:sz w:val="24"/>
          <w:szCs w:val="24"/>
        </w:rPr>
        <w:t>申购费率</w:t>
      </w:r>
    </w:p>
    <w:p w:rsidR="009478F5" w:rsidRDefault="002B053A">
      <w:pPr>
        <w:pStyle w:val="a4"/>
        <w:autoSpaceDE/>
        <w:autoSpaceDN/>
        <w:spacing w:before="16" w:line="360" w:lineRule="auto"/>
        <w:ind w:left="0" w:firstLineChars="200" w:firstLine="480"/>
        <w:jc w:val="both"/>
        <w:rPr>
          <w:rFonts w:asciiTheme="majorEastAsia" w:eastAsiaTheme="majorEastAsia" w:hAnsiTheme="majorEastAsia"/>
          <w:sz w:val="24"/>
          <w:szCs w:val="24"/>
        </w:rPr>
      </w:pPr>
      <w:r>
        <w:rPr>
          <w:rFonts w:asciiTheme="majorEastAsia" w:eastAsiaTheme="majorEastAsia" w:hAnsiTheme="majorEastAsia"/>
          <w:sz w:val="24"/>
          <w:szCs w:val="24"/>
        </w:rPr>
        <w:t>3.2.1</w:t>
      </w:r>
      <w:r>
        <w:rPr>
          <w:rFonts w:asciiTheme="majorEastAsia" w:eastAsiaTheme="majorEastAsia" w:hAnsiTheme="majorEastAsia" w:hint="eastAsia"/>
          <w:sz w:val="24"/>
          <w:szCs w:val="24"/>
        </w:rPr>
        <w:t>前端收费</w:t>
      </w:r>
    </w:p>
    <w:tbl>
      <w:tblPr>
        <w:tblW w:w="8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1"/>
        <w:gridCol w:w="2320"/>
        <w:gridCol w:w="1412"/>
      </w:tblGrid>
      <w:tr w:rsidR="009478F5">
        <w:trPr>
          <w:trHeight w:val="20"/>
          <w:jc w:val="center"/>
        </w:trPr>
        <w:tc>
          <w:tcPr>
            <w:tcW w:w="4331"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东兴成长优选混合发起</w:t>
            </w:r>
            <w:r>
              <w:rPr>
                <w:rFonts w:asciiTheme="majorEastAsia" w:eastAsiaTheme="majorEastAsia" w:hAnsiTheme="majorEastAsia" w:hint="eastAsia"/>
                <w:b/>
                <w:sz w:val="24"/>
                <w:szCs w:val="24"/>
              </w:rPr>
              <w:t>A</w:t>
            </w:r>
            <w:r>
              <w:rPr>
                <w:rFonts w:asciiTheme="majorEastAsia" w:eastAsiaTheme="majorEastAsia" w:hAnsiTheme="majorEastAsia" w:hint="eastAsia"/>
                <w:b/>
                <w:sz w:val="24"/>
                <w:szCs w:val="24"/>
                <w:lang w:val="en-US"/>
              </w:rPr>
              <w:t>申购金额</w:t>
            </w:r>
            <w:r>
              <w:rPr>
                <w:rFonts w:asciiTheme="majorEastAsia" w:eastAsiaTheme="majorEastAsia" w:hAnsiTheme="majorEastAsia" w:hint="eastAsia"/>
                <w:b/>
                <w:sz w:val="24"/>
                <w:szCs w:val="24"/>
              </w:rPr>
              <w:t>（</w:t>
            </w:r>
            <w:r>
              <w:rPr>
                <w:rFonts w:asciiTheme="majorEastAsia" w:eastAsiaTheme="majorEastAsia" w:hAnsiTheme="majorEastAsia"/>
                <w:b/>
                <w:sz w:val="24"/>
                <w:szCs w:val="24"/>
              </w:rPr>
              <w:t>M</w:t>
            </w:r>
            <w:r>
              <w:rPr>
                <w:rFonts w:asciiTheme="majorEastAsia" w:eastAsiaTheme="majorEastAsia" w:hAnsiTheme="majorEastAsia" w:hint="eastAsia"/>
                <w:b/>
                <w:sz w:val="24"/>
                <w:szCs w:val="24"/>
              </w:rPr>
              <w:t>）</w:t>
            </w:r>
          </w:p>
        </w:tc>
        <w:tc>
          <w:tcPr>
            <w:tcW w:w="2320"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ind w:firstLineChars="200" w:firstLine="482"/>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申购费率</w:t>
            </w:r>
          </w:p>
        </w:tc>
        <w:tc>
          <w:tcPr>
            <w:tcW w:w="1412"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ind w:firstLineChars="200" w:firstLine="480"/>
              <w:jc w:val="center"/>
              <w:rPr>
                <w:rFonts w:asciiTheme="majorEastAsia" w:eastAsiaTheme="majorEastAsia" w:hAnsiTheme="majorEastAsia"/>
                <w:b/>
                <w:sz w:val="24"/>
                <w:szCs w:val="24"/>
              </w:rPr>
            </w:pPr>
            <w:r>
              <w:rPr>
                <w:rFonts w:asciiTheme="majorEastAsia" w:eastAsiaTheme="majorEastAsia" w:hAnsiTheme="majorEastAsia" w:hint="eastAsia"/>
                <w:sz w:val="24"/>
                <w:szCs w:val="24"/>
              </w:rPr>
              <w:t>备注</w:t>
            </w:r>
          </w:p>
        </w:tc>
      </w:tr>
      <w:tr w:rsidR="009478F5">
        <w:trPr>
          <w:trHeight w:val="20"/>
          <w:jc w:val="center"/>
        </w:trPr>
        <w:tc>
          <w:tcPr>
            <w:tcW w:w="4331" w:type="dxa"/>
            <w:tcBorders>
              <w:top w:val="single" w:sz="4" w:space="0" w:color="auto"/>
              <w:left w:val="single" w:sz="4" w:space="0" w:color="auto"/>
              <w:bottom w:val="single" w:sz="4" w:space="0" w:color="auto"/>
              <w:right w:val="single" w:sz="4" w:space="0" w:color="auto"/>
            </w:tcBorders>
          </w:tcPr>
          <w:p w:rsidR="009478F5" w:rsidRDefault="002B053A">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M</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100</w:t>
            </w:r>
            <w:r>
              <w:rPr>
                <w:rFonts w:asciiTheme="majorEastAsia" w:eastAsiaTheme="majorEastAsia" w:hAnsiTheme="majorEastAsia" w:hint="eastAsia"/>
                <w:sz w:val="24"/>
                <w:szCs w:val="24"/>
              </w:rPr>
              <w:t>万元</w:t>
            </w:r>
          </w:p>
        </w:tc>
        <w:tc>
          <w:tcPr>
            <w:tcW w:w="2320"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1.50%</w:t>
            </w:r>
          </w:p>
        </w:tc>
        <w:tc>
          <w:tcPr>
            <w:tcW w:w="1412" w:type="dxa"/>
            <w:tcBorders>
              <w:top w:val="single" w:sz="4" w:space="0" w:color="auto"/>
              <w:left w:val="single" w:sz="4" w:space="0" w:color="auto"/>
              <w:bottom w:val="single" w:sz="4" w:space="0" w:color="auto"/>
              <w:right w:val="single" w:sz="4" w:space="0" w:color="auto"/>
            </w:tcBorders>
            <w:vAlign w:val="center"/>
          </w:tcPr>
          <w:p w:rsidR="009478F5" w:rsidRDefault="009478F5">
            <w:pPr>
              <w:spacing w:line="360" w:lineRule="auto"/>
              <w:ind w:firstLineChars="200" w:firstLine="480"/>
              <w:jc w:val="center"/>
              <w:rPr>
                <w:rFonts w:asciiTheme="majorEastAsia" w:eastAsiaTheme="majorEastAsia" w:hAnsiTheme="majorEastAsia"/>
                <w:sz w:val="24"/>
                <w:szCs w:val="24"/>
              </w:rPr>
            </w:pPr>
          </w:p>
        </w:tc>
      </w:tr>
      <w:tr w:rsidR="009478F5">
        <w:trPr>
          <w:trHeight w:val="20"/>
          <w:jc w:val="center"/>
        </w:trPr>
        <w:tc>
          <w:tcPr>
            <w:tcW w:w="4331" w:type="dxa"/>
            <w:tcBorders>
              <w:top w:val="single" w:sz="4" w:space="0" w:color="auto"/>
              <w:left w:val="single" w:sz="4" w:space="0" w:color="auto"/>
              <w:bottom w:val="single" w:sz="4" w:space="0" w:color="auto"/>
              <w:right w:val="single" w:sz="4" w:space="0" w:color="auto"/>
            </w:tcBorders>
          </w:tcPr>
          <w:p w:rsidR="009478F5" w:rsidRDefault="002B053A">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100</w:t>
            </w:r>
            <w:r>
              <w:rPr>
                <w:rFonts w:asciiTheme="majorEastAsia" w:eastAsiaTheme="majorEastAsia" w:hAnsiTheme="majorEastAsia" w:hint="eastAsia"/>
                <w:sz w:val="24"/>
                <w:szCs w:val="24"/>
              </w:rPr>
              <w:t>万元≤</w:t>
            </w:r>
            <w:r>
              <w:rPr>
                <w:rFonts w:asciiTheme="majorEastAsia" w:eastAsiaTheme="majorEastAsia" w:hAnsiTheme="majorEastAsia" w:hint="eastAsia"/>
                <w:sz w:val="24"/>
                <w:szCs w:val="24"/>
              </w:rPr>
              <w:t>M</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300</w:t>
            </w:r>
            <w:r>
              <w:rPr>
                <w:rFonts w:asciiTheme="majorEastAsia" w:eastAsiaTheme="majorEastAsia" w:hAnsiTheme="majorEastAsia" w:hint="eastAsia"/>
                <w:sz w:val="24"/>
                <w:szCs w:val="24"/>
              </w:rPr>
              <w:t>万元</w:t>
            </w:r>
          </w:p>
        </w:tc>
        <w:tc>
          <w:tcPr>
            <w:tcW w:w="2320"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1.00%</w:t>
            </w:r>
          </w:p>
        </w:tc>
        <w:tc>
          <w:tcPr>
            <w:tcW w:w="1412" w:type="dxa"/>
            <w:tcBorders>
              <w:top w:val="single" w:sz="4" w:space="0" w:color="auto"/>
              <w:left w:val="single" w:sz="4" w:space="0" w:color="auto"/>
              <w:bottom w:val="single" w:sz="4" w:space="0" w:color="auto"/>
              <w:right w:val="single" w:sz="4" w:space="0" w:color="auto"/>
            </w:tcBorders>
            <w:vAlign w:val="center"/>
          </w:tcPr>
          <w:p w:rsidR="009478F5" w:rsidRDefault="009478F5">
            <w:pPr>
              <w:spacing w:line="360" w:lineRule="auto"/>
              <w:ind w:firstLineChars="200" w:firstLine="480"/>
              <w:jc w:val="center"/>
              <w:rPr>
                <w:rFonts w:asciiTheme="majorEastAsia" w:eastAsiaTheme="majorEastAsia" w:hAnsiTheme="majorEastAsia"/>
                <w:sz w:val="24"/>
                <w:szCs w:val="24"/>
              </w:rPr>
            </w:pPr>
          </w:p>
        </w:tc>
      </w:tr>
      <w:tr w:rsidR="009478F5">
        <w:trPr>
          <w:trHeight w:val="20"/>
          <w:jc w:val="center"/>
        </w:trPr>
        <w:tc>
          <w:tcPr>
            <w:tcW w:w="4331" w:type="dxa"/>
            <w:tcBorders>
              <w:top w:val="single" w:sz="4" w:space="0" w:color="auto"/>
              <w:left w:val="single" w:sz="4" w:space="0" w:color="auto"/>
              <w:bottom w:val="single" w:sz="4" w:space="0" w:color="auto"/>
              <w:right w:val="single" w:sz="4" w:space="0" w:color="auto"/>
            </w:tcBorders>
          </w:tcPr>
          <w:p w:rsidR="009478F5" w:rsidRDefault="002B053A">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300</w:t>
            </w:r>
            <w:r>
              <w:rPr>
                <w:rFonts w:asciiTheme="majorEastAsia" w:eastAsiaTheme="majorEastAsia" w:hAnsiTheme="majorEastAsia" w:hint="eastAsia"/>
                <w:sz w:val="24"/>
                <w:szCs w:val="24"/>
              </w:rPr>
              <w:t>万元≤</w:t>
            </w:r>
            <w:r>
              <w:rPr>
                <w:rFonts w:asciiTheme="majorEastAsia" w:eastAsiaTheme="majorEastAsia" w:hAnsiTheme="majorEastAsia" w:hint="eastAsia"/>
                <w:sz w:val="24"/>
                <w:szCs w:val="24"/>
              </w:rPr>
              <w:t>M</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500</w:t>
            </w:r>
            <w:r>
              <w:rPr>
                <w:rFonts w:asciiTheme="majorEastAsia" w:eastAsiaTheme="majorEastAsia" w:hAnsiTheme="majorEastAsia" w:hint="eastAsia"/>
                <w:sz w:val="24"/>
                <w:szCs w:val="24"/>
              </w:rPr>
              <w:t>万元</w:t>
            </w:r>
          </w:p>
        </w:tc>
        <w:tc>
          <w:tcPr>
            <w:tcW w:w="2320"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0.50%</w:t>
            </w:r>
          </w:p>
        </w:tc>
        <w:tc>
          <w:tcPr>
            <w:tcW w:w="1412" w:type="dxa"/>
            <w:tcBorders>
              <w:top w:val="single" w:sz="4" w:space="0" w:color="auto"/>
              <w:left w:val="single" w:sz="4" w:space="0" w:color="auto"/>
              <w:bottom w:val="single" w:sz="4" w:space="0" w:color="auto"/>
              <w:right w:val="single" w:sz="4" w:space="0" w:color="auto"/>
            </w:tcBorders>
            <w:vAlign w:val="center"/>
          </w:tcPr>
          <w:p w:rsidR="009478F5" w:rsidRDefault="009478F5">
            <w:pPr>
              <w:spacing w:line="360" w:lineRule="auto"/>
              <w:ind w:firstLineChars="100" w:firstLine="240"/>
              <w:jc w:val="center"/>
              <w:rPr>
                <w:rFonts w:asciiTheme="majorEastAsia" w:eastAsiaTheme="majorEastAsia" w:hAnsiTheme="majorEastAsia"/>
                <w:sz w:val="24"/>
                <w:szCs w:val="24"/>
              </w:rPr>
            </w:pPr>
          </w:p>
        </w:tc>
      </w:tr>
      <w:tr w:rsidR="009478F5">
        <w:trPr>
          <w:trHeight w:val="20"/>
          <w:jc w:val="center"/>
        </w:trPr>
        <w:tc>
          <w:tcPr>
            <w:tcW w:w="4331" w:type="dxa"/>
            <w:tcBorders>
              <w:top w:val="single" w:sz="4" w:space="0" w:color="auto"/>
              <w:left w:val="single" w:sz="4" w:space="0" w:color="auto"/>
              <w:right w:val="single" w:sz="4" w:space="0" w:color="auto"/>
            </w:tcBorders>
          </w:tcPr>
          <w:p w:rsidR="009478F5" w:rsidRDefault="002B053A">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M</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500</w:t>
            </w:r>
            <w:r>
              <w:rPr>
                <w:rFonts w:asciiTheme="majorEastAsia" w:eastAsiaTheme="majorEastAsia" w:hAnsiTheme="majorEastAsia" w:hint="eastAsia"/>
                <w:sz w:val="24"/>
                <w:szCs w:val="24"/>
              </w:rPr>
              <w:t>万元</w:t>
            </w:r>
          </w:p>
        </w:tc>
        <w:tc>
          <w:tcPr>
            <w:tcW w:w="2320" w:type="dxa"/>
            <w:tcBorders>
              <w:top w:val="single" w:sz="4" w:space="0" w:color="auto"/>
              <w:left w:val="single" w:sz="4" w:space="0" w:color="auto"/>
              <w:right w:val="single" w:sz="4" w:space="0" w:color="auto"/>
            </w:tcBorders>
            <w:vAlign w:val="center"/>
          </w:tcPr>
          <w:p w:rsidR="009478F5" w:rsidRDefault="002B053A">
            <w:pPr>
              <w:spacing w:line="360" w:lineRule="auto"/>
              <w:ind w:firstLineChars="100" w:firstLine="240"/>
              <w:jc w:val="center"/>
              <w:rPr>
                <w:rFonts w:asciiTheme="majorEastAsia" w:eastAsiaTheme="majorEastAsia" w:hAnsiTheme="majorEastAsia"/>
                <w:sz w:val="24"/>
                <w:szCs w:val="24"/>
              </w:rPr>
            </w:pPr>
            <w:r>
              <w:rPr>
                <w:rFonts w:asciiTheme="majorEastAsia" w:eastAsiaTheme="majorEastAsia" w:hAnsiTheme="majorEastAsia"/>
                <w:sz w:val="24"/>
                <w:szCs w:val="24"/>
              </w:rPr>
              <w:t>1000.00</w:t>
            </w:r>
            <w:r>
              <w:rPr>
                <w:rFonts w:asciiTheme="majorEastAsia" w:eastAsiaTheme="majorEastAsia" w:hAnsiTheme="majorEastAsia" w:hint="eastAsia"/>
                <w:sz w:val="24"/>
                <w:szCs w:val="24"/>
              </w:rPr>
              <w:t>元</w:t>
            </w:r>
            <w:r>
              <w:rPr>
                <w:rFonts w:asciiTheme="majorEastAsia" w:eastAsiaTheme="majorEastAsia" w:hAnsiTheme="majorEastAsia"/>
                <w:sz w:val="24"/>
                <w:szCs w:val="24"/>
              </w:rPr>
              <w:t>/</w:t>
            </w:r>
            <w:r>
              <w:rPr>
                <w:rFonts w:asciiTheme="majorEastAsia" w:eastAsiaTheme="majorEastAsia" w:hAnsiTheme="majorEastAsia" w:hint="eastAsia"/>
                <w:sz w:val="24"/>
                <w:szCs w:val="24"/>
              </w:rPr>
              <w:t>笔</w:t>
            </w:r>
          </w:p>
        </w:tc>
        <w:tc>
          <w:tcPr>
            <w:tcW w:w="1412" w:type="dxa"/>
            <w:tcBorders>
              <w:top w:val="single" w:sz="4" w:space="0" w:color="auto"/>
              <w:left w:val="single" w:sz="4" w:space="0" w:color="auto"/>
              <w:right w:val="single" w:sz="4" w:space="0" w:color="auto"/>
            </w:tcBorders>
            <w:vAlign w:val="center"/>
          </w:tcPr>
          <w:p w:rsidR="009478F5" w:rsidRDefault="009478F5">
            <w:pPr>
              <w:spacing w:line="360" w:lineRule="auto"/>
              <w:ind w:firstLineChars="100" w:firstLine="240"/>
              <w:jc w:val="center"/>
              <w:rPr>
                <w:rFonts w:asciiTheme="majorEastAsia" w:eastAsiaTheme="majorEastAsia" w:hAnsiTheme="majorEastAsia"/>
                <w:sz w:val="24"/>
                <w:szCs w:val="24"/>
              </w:rPr>
            </w:pPr>
          </w:p>
        </w:tc>
      </w:tr>
    </w:tbl>
    <w:p w:rsidR="009478F5" w:rsidRDefault="009478F5">
      <w:pPr>
        <w:pStyle w:val="a4"/>
        <w:widowControl/>
        <w:spacing w:before="16" w:line="360" w:lineRule="auto"/>
        <w:ind w:left="0" w:firstLineChars="400" w:firstLine="960"/>
        <w:jc w:val="both"/>
        <w:rPr>
          <w:rFonts w:asciiTheme="majorEastAsia" w:eastAsiaTheme="majorEastAsia" w:hAnsiTheme="majorEastAsia"/>
          <w:sz w:val="24"/>
          <w:szCs w:val="24"/>
        </w:rPr>
      </w:pPr>
    </w:p>
    <w:p w:rsidR="009478F5" w:rsidRDefault="002B053A">
      <w:pPr>
        <w:pStyle w:val="a4"/>
        <w:widowControl/>
        <w:spacing w:before="16" w:line="360" w:lineRule="auto"/>
        <w:ind w:left="0" w:firstLineChars="200" w:firstLine="480"/>
        <w:jc w:val="both"/>
        <w:rPr>
          <w:rFonts w:asciiTheme="majorEastAsia" w:eastAsiaTheme="majorEastAsia" w:hAnsiTheme="majorEastAsia"/>
          <w:sz w:val="24"/>
          <w:szCs w:val="24"/>
        </w:rPr>
      </w:pPr>
      <w:r>
        <w:rPr>
          <w:rFonts w:asciiTheme="majorEastAsia" w:eastAsiaTheme="majorEastAsia" w:hAnsiTheme="majorEastAsia" w:hint="eastAsia"/>
          <w:sz w:val="24"/>
          <w:szCs w:val="24"/>
        </w:rPr>
        <w:t>本基金</w:t>
      </w:r>
      <w:r>
        <w:rPr>
          <w:rFonts w:asciiTheme="majorEastAsia" w:eastAsiaTheme="majorEastAsia" w:hAnsiTheme="majorEastAsia"/>
          <w:sz w:val="24"/>
          <w:szCs w:val="24"/>
        </w:rPr>
        <w:t>C</w:t>
      </w:r>
      <w:r>
        <w:rPr>
          <w:rFonts w:asciiTheme="majorEastAsia" w:eastAsiaTheme="majorEastAsia" w:hAnsiTheme="majorEastAsia" w:hint="eastAsia"/>
          <w:sz w:val="24"/>
          <w:szCs w:val="24"/>
        </w:rPr>
        <w:t>类基金份额不收取申购费用。</w:t>
      </w:r>
    </w:p>
    <w:p w:rsidR="009478F5" w:rsidRDefault="002B053A">
      <w:pPr>
        <w:pStyle w:val="a4"/>
        <w:widowControl/>
        <w:spacing w:before="16" w:line="360" w:lineRule="auto"/>
        <w:ind w:left="0" w:firstLineChars="200" w:firstLine="480"/>
        <w:jc w:val="both"/>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本基金</w:t>
      </w:r>
      <w:r>
        <w:rPr>
          <w:rFonts w:asciiTheme="majorEastAsia" w:eastAsiaTheme="majorEastAsia" w:hAnsiTheme="majorEastAsia"/>
          <w:sz w:val="24"/>
          <w:szCs w:val="24"/>
        </w:rPr>
        <w:t>A</w:t>
      </w:r>
      <w:r>
        <w:rPr>
          <w:rFonts w:asciiTheme="majorEastAsia" w:eastAsiaTheme="majorEastAsia" w:hAnsiTheme="majorEastAsia" w:hint="eastAsia"/>
          <w:sz w:val="24"/>
          <w:szCs w:val="24"/>
        </w:rPr>
        <w:t>类基金份额的申购费用应在</w:t>
      </w:r>
      <w:r>
        <w:rPr>
          <w:rFonts w:asciiTheme="majorEastAsia" w:eastAsiaTheme="majorEastAsia" w:hAnsiTheme="majorEastAsia"/>
          <w:sz w:val="24"/>
          <w:szCs w:val="24"/>
        </w:rPr>
        <w:t>A</w:t>
      </w:r>
      <w:r>
        <w:rPr>
          <w:rFonts w:asciiTheme="majorEastAsia" w:eastAsiaTheme="majorEastAsia" w:hAnsiTheme="majorEastAsia" w:hint="eastAsia"/>
          <w:sz w:val="24"/>
          <w:szCs w:val="24"/>
        </w:rPr>
        <w:t>类基金份额投资人申购基金份额时收取，不列入基金财产，主要用于本基金的市场推广、销售、注册登记等各项费用。投资人可以多次申购本基金，申购费用按单笔申购金额确定申购费率，以每笔申购申请单独计算费用。</w:t>
      </w:r>
    </w:p>
    <w:p w:rsidR="009478F5" w:rsidRDefault="002B053A">
      <w:pPr>
        <w:tabs>
          <w:tab w:val="left" w:pos="1595"/>
        </w:tabs>
        <w:autoSpaceDE/>
        <w:autoSpaceDN/>
        <w:spacing w:line="360" w:lineRule="auto"/>
        <w:ind w:left="2" w:firstLineChars="201" w:firstLine="482"/>
        <w:jc w:val="both"/>
        <w:rPr>
          <w:rFonts w:asciiTheme="majorEastAsia" w:eastAsiaTheme="majorEastAsia" w:hAnsiTheme="majorEastAsia"/>
          <w:sz w:val="24"/>
          <w:szCs w:val="24"/>
        </w:rPr>
      </w:pPr>
      <w:r>
        <w:rPr>
          <w:rFonts w:asciiTheme="majorEastAsia" w:eastAsiaTheme="majorEastAsia" w:hAnsiTheme="majorEastAsia"/>
          <w:sz w:val="24"/>
          <w:szCs w:val="24"/>
        </w:rPr>
        <w:t>3.3</w:t>
      </w:r>
      <w:r>
        <w:rPr>
          <w:rFonts w:asciiTheme="majorEastAsia" w:eastAsiaTheme="majorEastAsia" w:hAnsiTheme="majorEastAsia"/>
          <w:sz w:val="24"/>
          <w:szCs w:val="24"/>
        </w:rPr>
        <w:t>其他与申购相关的事项</w:t>
      </w:r>
    </w:p>
    <w:p w:rsidR="009478F5" w:rsidRDefault="002B053A">
      <w:pPr>
        <w:pStyle w:val="a4"/>
        <w:widowControl/>
        <w:spacing w:before="16" w:line="360" w:lineRule="auto"/>
        <w:ind w:leftChars="-1" w:left="-2" w:firstLineChars="203" w:firstLine="487"/>
        <w:jc w:val="both"/>
        <w:rPr>
          <w:rFonts w:asciiTheme="majorEastAsia" w:eastAsiaTheme="majorEastAsia" w:hAnsiTheme="majorEastAsia"/>
          <w:sz w:val="24"/>
          <w:szCs w:val="24"/>
        </w:rPr>
      </w:pPr>
      <w:r>
        <w:rPr>
          <w:rFonts w:asciiTheme="majorEastAsia" w:eastAsiaTheme="majorEastAsia" w:hAnsiTheme="majorEastAsia"/>
          <w:sz w:val="24"/>
          <w:szCs w:val="24"/>
        </w:rPr>
        <w:t>3.3.1</w:t>
      </w:r>
      <w:r>
        <w:rPr>
          <w:rFonts w:asciiTheme="majorEastAsia" w:eastAsiaTheme="majorEastAsia" w:hAnsiTheme="majorEastAsia" w:hint="eastAsia"/>
          <w:sz w:val="24"/>
          <w:szCs w:val="24"/>
        </w:rPr>
        <w:t>基金管理人可根据有关法律规定和市场情况，调整申购金额的数量限制，基金管理人必须最迟在调整前依照《</w:t>
      </w:r>
      <w:r>
        <w:rPr>
          <w:rFonts w:asciiTheme="majorEastAsia" w:eastAsiaTheme="majorEastAsia" w:hAnsiTheme="majorEastAsia"/>
          <w:sz w:val="24"/>
          <w:szCs w:val="24"/>
        </w:rPr>
        <w:t>公开募集证券投资基金信息披露管理办法</w:t>
      </w:r>
      <w:r>
        <w:rPr>
          <w:rFonts w:asciiTheme="majorEastAsia" w:eastAsiaTheme="majorEastAsia" w:hAnsiTheme="majorEastAsia" w:hint="eastAsia"/>
          <w:sz w:val="24"/>
          <w:szCs w:val="24"/>
        </w:rPr>
        <w:t>》的有关规定在指定媒介上公告。</w:t>
      </w:r>
    </w:p>
    <w:p w:rsidR="009478F5" w:rsidRDefault="002B053A">
      <w:pPr>
        <w:pStyle w:val="a4"/>
        <w:widowControl/>
        <w:spacing w:before="16" w:line="360" w:lineRule="auto"/>
        <w:ind w:left="0" w:firstLineChars="200" w:firstLine="480"/>
        <w:jc w:val="both"/>
        <w:rPr>
          <w:rFonts w:asciiTheme="majorEastAsia" w:eastAsiaTheme="majorEastAsia" w:hAnsiTheme="majorEastAsia"/>
          <w:sz w:val="24"/>
          <w:szCs w:val="24"/>
        </w:rPr>
      </w:pPr>
      <w:r>
        <w:rPr>
          <w:rFonts w:asciiTheme="majorEastAsia" w:eastAsiaTheme="majorEastAsia" w:hAnsiTheme="majorEastAsia"/>
          <w:sz w:val="24"/>
          <w:szCs w:val="24"/>
        </w:rPr>
        <w:t>3.3.2</w:t>
      </w:r>
      <w:r>
        <w:rPr>
          <w:rFonts w:asciiTheme="majorEastAsia" w:eastAsiaTheme="majorEastAsia" w:hAnsiTheme="majorEastAsia" w:hint="eastAsia"/>
          <w:sz w:val="24"/>
          <w:szCs w:val="24"/>
        </w:rPr>
        <w:t>基金管理人可以在法律法规和基金合同规定范围内调整申购费率或收费方式。费率或收费方式如发生变更，基金管理人应在调整实施前依照《</w:t>
      </w:r>
      <w:r>
        <w:rPr>
          <w:rFonts w:asciiTheme="majorEastAsia" w:eastAsiaTheme="majorEastAsia" w:hAnsiTheme="majorEastAsia"/>
          <w:sz w:val="24"/>
          <w:szCs w:val="24"/>
        </w:rPr>
        <w:t>公开募集证券投资基金信息披露管理办法</w:t>
      </w:r>
      <w:r>
        <w:rPr>
          <w:rFonts w:asciiTheme="majorEastAsia" w:eastAsiaTheme="majorEastAsia" w:hAnsiTheme="majorEastAsia" w:hint="eastAsia"/>
          <w:sz w:val="24"/>
          <w:szCs w:val="24"/>
        </w:rPr>
        <w:t>》的有关规定在指定媒介上公告。</w:t>
      </w:r>
    </w:p>
    <w:p w:rsidR="009478F5" w:rsidRDefault="002B053A" w:rsidP="002B053A">
      <w:pPr>
        <w:pStyle w:val="af0"/>
        <w:spacing w:beforeLines="50" w:afterLines="50"/>
        <w:ind w:left="352" w:hanging="352"/>
        <w:rPr>
          <w:rFonts w:asciiTheme="majorEastAsia" w:eastAsiaTheme="majorEastAsia" w:hAnsiTheme="majorEastAsia"/>
          <w:b/>
          <w:sz w:val="24"/>
          <w:szCs w:val="24"/>
        </w:rPr>
        <w:pPrChange w:id="4" w:author="ZHONGM" w:date="2024-08-30T00:03:00Z">
          <w:pPr>
            <w:pStyle w:val="af0"/>
            <w:spacing w:beforeLines="50" w:afterLines="50"/>
            <w:ind w:left="352" w:hanging="352"/>
          </w:pPr>
        </w:pPrChange>
      </w:pPr>
      <w:r>
        <w:rPr>
          <w:rFonts w:asciiTheme="majorEastAsia" w:eastAsiaTheme="majorEastAsia" w:hAnsiTheme="majorEastAsia" w:hint="eastAsia"/>
          <w:b/>
          <w:sz w:val="24"/>
          <w:szCs w:val="24"/>
          <w:lang w:val="en-US"/>
        </w:rPr>
        <w:t>4</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日常</w:t>
      </w:r>
      <w:r>
        <w:rPr>
          <w:rFonts w:asciiTheme="majorEastAsia" w:eastAsiaTheme="majorEastAsia" w:hAnsiTheme="majorEastAsia" w:hint="eastAsia"/>
          <w:b/>
          <w:sz w:val="24"/>
          <w:szCs w:val="24"/>
          <w:lang w:val="en-US"/>
        </w:rPr>
        <w:t>赎回</w:t>
      </w:r>
      <w:r>
        <w:rPr>
          <w:rFonts w:asciiTheme="majorEastAsia" w:eastAsiaTheme="majorEastAsia" w:hAnsiTheme="majorEastAsia" w:hint="eastAsia"/>
          <w:b/>
          <w:sz w:val="24"/>
          <w:szCs w:val="24"/>
        </w:rPr>
        <w:t>业务</w:t>
      </w:r>
    </w:p>
    <w:p w:rsidR="009478F5" w:rsidRDefault="002B053A">
      <w:pPr>
        <w:tabs>
          <w:tab w:val="left" w:pos="1595"/>
        </w:tabs>
        <w:autoSpaceDE/>
        <w:autoSpaceDN/>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sz w:val="24"/>
          <w:szCs w:val="24"/>
        </w:rPr>
        <w:t>.1</w:t>
      </w:r>
      <w:r>
        <w:rPr>
          <w:rFonts w:asciiTheme="majorEastAsia" w:eastAsiaTheme="majorEastAsia" w:hAnsiTheme="majorEastAsia" w:hint="eastAsia"/>
          <w:sz w:val="24"/>
          <w:szCs w:val="24"/>
        </w:rPr>
        <w:t>赎回</w:t>
      </w:r>
      <w:r>
        <w:rPr>
          <w:rFonts w:asciiTheme="majorEastAsia" w:eastAsiaTheme="majorEastAsia" w:hAnsiTheme="majorEastAsia" w:hint="eastAsia"/>
          <w:sz w:val="24"/>
          <w:szCs w:val="24"/>
        </w:rPr>
        <w:t>份额限制</w:t>
      </w:r>
    </w:p>
    <w:p w:rsidR="009478F5" w:rsidRDefault="002B053A">
      <w:pPr>
        <w:tabs>
          <w:tab w:val="left" w:pos="1595"/>
        </w:tabs>
        <w:autoSpaceDE/>
        <w:autoSpaceDN/>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对于每份基金份额，在每个运作期到期日，基金份额持有人可提出赎回或转换转出申请。如果基金份额持有人在当期运作期到期日未申请赎回或赎回被确认失败或转换转出失败，则自该运作期到期日下一日起该基金份额进入下一个运作期。本基金按照份额进行赎回，申请赎回份额精确到小数点后两位。赎回的最低份额为</w:t>
      </w: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份基金份额，基金份额持有人可将其全部或部分基金份额赎回，但某笔赎回导致单个交易账户的基金份额余额少于</w:t>
      </w: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份时，余额部分基金份额将由登记机构发起强制赎回。在符合法律法规规定的前提下，各销售机构对赎回的最低份额限制有其他规定的，需同时</w:t>
      </w:r>
      <w:r>
        <w:rPr>
          <w:rFonts w:asciiTheme="majorEastAsia" w:eastAsiaTheme="majorEastAsia" w:hAnsiTheme="majorEastAsia" w:hint="eastAsia"/>
          <w:sz w:val="24"/>
          <w:szCs w:val="24"/>
        </w:rPr>
        <w:t>遵循该销售机构的相关规定。基金管理人可在法律法规允许的情况下，调整上述规定赎回份额的数量限制。基金管理人必须在调整实施前依照《</w:t>
      </w:r>
      <w:bookmarkStart w:id="5" w:name="_GoBack"/>
      <w:bookmarkEnd w:id="5"/>
      <w:r>
        <w:rPr>
          <w:rFonts w:asciiTheme="majorEastAsia" w:eastAsiaTheme="majorEastAsia" w:hAnsiTheme="majorEastAsia"/>
          <w:sz w:val="24"/>
          <w:szCs w:val="24"/>
        </w:rPr>
        <w:t>公开募集证券投资基金信息披露管理办法</w:t>
      </w:r>
      <w:r>
        <w:rPr>
          <w:rFonts w:asciiTheme="majorEastAsia" w:eastAsiaTheme="majorEastAsia" w:hAnsiTheme="majorEastAsia" w:hint="eastAsia"/>
          <w:sz w:val="24"/>
          <w:szCs w:val="24"/>
        </w:rPr>
        <w:t>》的有关规定在规定媒介上公告。</w:t>
      </w:r>
    </w:p>
    <w:p w:rsidR="009478F5" w:rsidRDefault="002B053A">
      <w:pPr>
        <w:tabs>
          <w:tab w:val="left" w:pos="1595"/>
        </w:tabs>
        <w:autoSpaceDE/>
        <w:autoSpaceDN/>
        <w:spacing w:line="360" w:lineRule="auto"/>
        <w:ind w:firstLineChars="200" w:firstLine="480"/>
        <w:rPr>
          <w:rFonts w:asciiTheme="majorEastAsia" w:eastAsiaTheme="majorEastAsia" w:hAnsiTheme="majorEastAsia"/>
          <w:sz w:val="24"/>
          <w:szCs w:val="24"/>
          <w:lang w:val="en-US"/>
        </w:rPr>
      </w:pPr>
      <w:r>
        <w:rPr>
          <w:rFonts w:asciiTheme="majorEastAsia" w:eastAsiaTheme="majorEastAsia" w:hAnsiTheme="majorEastAsia"/>
          <w:sz w:val="24"/>
          <w:szCs w:val="24"/>
        </w:rPr>
        <w:t>4.</w:t>
      </w:r>
      <w:r>
        <w:rPr>
          <w:rFonts w:asciiTheme="majorEastAsia" w:eastAsiaTheme="majorEastAsia" w:hAnsiTheme="majorEastAsia"/>
          <w:sz w:val="24"/>
          <w:szCs w:val="24"/>
          <w:lang w:val="en-US"/>
        </w:rPr>
        <w:t>2</w:t>
      </w:r>
      <w:r>
        <w:rPr>
          <w:rFonts w:asciiTheme="majorEastAsia" w:eastAsiaTheme="majorEastAsia" w:hAnsiTheme="majorEastAsia" w:hint="eastAsia"/>
          <w:sz w:val="24"/>
          <w:szCs w:val="24"/>
        </w:rPr>
        <w:t>赎回</w:t>
      </w:r>
      <w:r>
        <w:rPr>
          <w:rFonts w:asciiTheme="majorEastAsia" w:eastAsiaTheme="majorEastAsia" w:hAnsiTheme="majorEastAsia" w:hint="eastAsia"/>
          <w:sz w:val="24"/>
          <w:szCs w:val="24"/>
          <w:lang w:val="en-US"/>
        </w:rPr>
        <w:t>费率</w:t>
      </w:r>
    </w:p>
    <w:tbl>
      <w:tblPr>
        <w:tblW w:w="8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1"/>
        <w:gridCol w:w="2320"/>
        <w:gridCol w:w="1412"/>
      </w:tblGrid>
      <w:tr w:rsidR="009478F5">
        <w:trPr>
          <w:trHeight w:val="20"/>
          <w:jc w:val="center"/>
        </w:trPr>
        <w:tc>
          <w:tcPr>
            <w:tcW w:w="4331"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东兴成长优选混合发起</w:t>
            </w:r>
            <w:r>
              <w:rPr>
                <w:rFonts w:asciiTheme="majorEastAsia" w:eastAsiaTheme="majorEastAsia" w:hAnsiTheme="majorEastAsia" w:hint="eastAsia"/>
                <w:b/>
                <w:sz w:val="24"/>
                <w:szCs w:val="24"/>
              </w:rPr>
              <w:t>A</w:t>
            </w:r>
            <w:r>
              <w:rPr>
                <w:rFonts w:asciiTheme="majorEastAsia" w:eastAsiaTheme="majorEastAsia" w:hAnsiTheme="majorEastAsia" w:hint="eastAsia"/>
                <w:b/>
                <w:sz w:val="24"/>
                <w:szCs w:val="24"/>
                <w:lang w:val="en-US"/>
              </w:rPr>
              <w:t>持有期限</w:t>
            </w:r>
            <w:r>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lang w:val="en-US"/>
              </w:rPr>
              <w:t>N</w:t>
            </w:r>
            <w:r>
              <w:rPr>
                <w:rFonts w:asciiTheme="majorEastAsia" w:eastAsiaTheme="majorEastAsia" w:hAnsiTheme="majorEastAsia" w:hint="eastAsia"/>
                <w:b/>
                <w:sz w:val="24"/>
                <w:szCs w:val="24"/>
              </w:rPr>
              <w:t>）</w:t>
            </w:r>
          </w:p>
        </w:tc>
        <w:tc>
          <w:tcPr>
            <w:tcW w:w="2320"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ind w:firstLineChars="200" w:firstLine="482"/>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lang w:val="en-US"/>
              </w:rPr>
              <w:t>赎回</w:t>
            </w:r>
            <w:r>
              <w:rPr>
                <w:rFonts w:asciiTheme="majorEastAsia" w:eastAsiaTheme="majorEastAsia" w:hAnsiTheme="majorEastAsia" w:hint="eastAsia"/>
                <w:b/>
                <w:sz w:val="24"/>
                <w:szCs w:val="24"/>
              </w:rPr>
              <w:t>费率</w:t>
            </w:r>
          </w:p>
        </w:tc>
        <w:tc>
          <w:tcPr>
            <w:tcW w:w="1412"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ind w:firstLineChars="200" w:firstLine="480"/>
              <w:jc w:val="center"/>
              <w:rPr>
                <w:rFonts w:asciiTheme="majorEastAsia" w:eastAsiaTheme="majorEastAsia" w:hAnsiTheme="majorEastAsia"/>
                <w:b/>
                <w:sz w:val="24"/>
                <w:szCs w:val="24"/>
              </w:rPr>
            </w:pPr>
            <w:r>
              <w:rPr>
                <w:rFonts w:asciiTheme="majorEastAsia" w:eastAsiaTheme="majorEastAsia" w:hAnsiTheme="majorEastAsia" w:hint="eastAsia"/>
                <w:sz w:val="24"/>
                <w:szCs w:val="24"/>
              </w:rPr>
              <w:t>备注</w:t>
            </w:r>
          </w:p>
        </w:tc>
      </w:tr>
      <w:tr w:rsidR="009478F5">
        <w:trPr>
          <w:trHeight w:val="20"/>
          <w:jc w:val="center"/>
        </w:trPr>
        <w:tc>
          <w:tcPr>
            <w:tcW w:w="4331"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jc w:val="center"/>
              <w:rPr>
                <w:rFonts w:asciiTheme="majorEastAsia" w:eastAsiaTheme="majorEastAsia" w:hAnsiTheme="majorEastAsia"/>
                <w:sz w:val="24"/>
                <w:szCs w:val="24"/>
              </w:rPr>
            </w:pPr>
            <w:r>
              <w:rPr>
                <w:rFonts w:ascii="Calibri" w:hAnsi="Calibri" w:cs="Times New Roman"/>
                <w:szCs w:val="21"/>
              </w:rPr>
              <w:t>N</w:t>
            </w:r>
            <w:r>
              <w:rPr>
                <w:rFonts w:ascii="Calibri" w:hAnsi="Calibri" w:cs="Times New Roman"/>
                <w:szCs w:val="21"/>
              </w:rPr>
              <w:t>＜</w:t>
            </w:r>
            <w:r>
              <w:rPr>
                <w:rFonts w:ascii="Calibri" w:hAnsi="Calibri" w:cs="Times New Roman"/>
                <w:szCs w:val="21"/>
              </w:rPr>
              <w:t>7</w:t>
            </w:r>
            <w:r>
              <w:rPr>
                <w:rFonts w:ascii="Calibri" w:hAnsi="Calibri" w:cs="Times New Roman"/>
                <w:szCs w:val="21"/>
              </w:rPr>
              <w:t>天</w:t>
            </w:r>
          </w:p>
        </w:tc>
        <w:tc>
          <w:tcPr>
            <w:tcW w:w="2320"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jc w:val="center"/>
              <w:rPr>
                <w:rFonts w:asciiTheme="majorEastAsia" w:eastAsiaTheme="majorEastAsia" w:hAnsiTheme="majorEastAsia"/>
                <w:sz w:val="24"/>
                <w:szCs w:val="24"/>
              </w:rPr>
            </w:pPr>
            <w:r>
              <w:rPr>
                <w:rFonts w:ascii="Calibri" w:hAnsi="Calibri" w:cs="Times New Roman"/>
                <w:szCs w:val="21"/>
              </w:rPr>
              <w:t>1.50%</w:t>
            </w:r>
          </w:p>
        </w:tc>
        <w:tc>
          <w:tcPr>
            <w:tcW w:w="1412" w:type="dxa"/>
            <w:tcBorders>
              <w:top w:val="single" w:sz="4" w:space="0" w:color="auto"/>
              <w:left w:val="single" w:sz="4" w:space="0" w:color="auto"/>
              <w:bottom w:val="single" w:sz="4" w:space="0" w:color="auto"/>
              <w:right w:val="single" w:sz="4" w:space="0" w:color="auto"/>
            </w:tcBorders>
            <w:vAlign w:val="center"/>
          </w:tcPr>
          <w:p w:rsidR="009478F5" w:rsidRDefault="009478F5">
            <w:pPr>
              <w:spacing w:line="360" w:lineRule="auto"/>
              <w:ind w:firstLineChars="200" w:firstLine="480"/>
              <w:jc w:val="center"/>
              <w:rPr>
                <w:rFonts w:asciiTheme="majorEastAsia" w:eastAsiaTheme="majorEastAsia" w:hAnsiTheme="majorEastAsia"/>
                <w:sz w:val="24"/>
                <w:szCs w:val="24"/>
              </w:rPr>
            </w:pPr>
          </w:p>
        </w:tc>
      </w:tr>
      <w:tr w:rsidR="009478F5">
        <w:trPr>
          <w:trHeight w:val="20"/>
          <w:jc w:val="center"/>
        </w:trPr>
        <w:tc>
          <w:tcPr>
            <w:tcW w:w="4331"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jc w:val="center"/>
              <w:rPr>
                <w:rFonts w:asciiTheme="majorEastAsia" w:eastAsiaTheme="majorEastAsia" w:hAnsiTheme="majorEastAsia"/>
                <w:sz w:val="24"/>
                <w:szCs w:val="24"/>
              </w:rPr>
            </w:pPr>
            <w:r>
              <w:rPr>
                <w:rFonts w:ascii="Calibri" w:hAnsi="Calibri" w:cs="Times New Roman"/>
                <w:szCs w:val="21"/>
              </w:rPr>
              <w:t>7</w:t>
            </w:r>
            <w:r>
              <w:rPr>
                <w:rFonts w:ascii="Calibri" w:hAnsi="Calibri" w:cs="Times New Roman"/>
                <w:szCs w:val="21"/>
              </w:rPr>
              <w:t>天</w:t>
            </w:r>
            <w:r>
              <w:rPr>
                <w:rFonts w:ascii="Calibri" w:hAnsi="Calibri" w:cs="Times New Roman"/>
                <w:szCs w:val="21"/>
              </w:rPr>
              <w:t>≤N</w:t>
            </w:r>
            <w:r>
              <w:rPr>
                <w:rFonts w:ascii="Calibri" w:hAnsi="Calibri" w:cs="Times New Roman"/>
                <w:szCs w:val="21"/>
              </w:rPr>
              <w:t>＜</w:t>
            </w:r>
            <w:r>
              <w:rPr>
                <w:rFonts w:ascii="Calibri" w:hAnsi="Calibri" w:cs="Times New Roman"/>
                <w:szCs w:val="21"/>
              </w:rPr>
              <w:t>30</w:t>
            </w:r>
            <w:r>
              <w:rPr>
                <w:rFonts w:ascii="Calibri" w:hAnsi="Calibri" w:cs="Times New Roman"/>
                <w:szCs w:val="21"/>
              </w:rPr>
              <w:t>天</w:t>
            </w:r>
          </w:p>
        </w:tc>
        <w:tc>
          <w:tcPr>
            <w:tcW w:w="2320"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jc w:val="center"/>
              <w:rPr>
                <w:rFonts w:asciiTheme="majorEastAsia" w:eastAsiaTheme="majorEastAsia" w:hAnsiTheme="majorEastAsia"/>
                <w:sz w:val="24"/>
                <w:szCs w:val="24"/>
              </w:rPr>
            </w:pPr>
            <w:r>
              <w:rPr>
                <w:rFonts w:ascii="Calibri" w:hAnsi="Calibri" w:cs="Times New Roman"/>
                <w:szCs w:val="21"/>
              </w:rPr>
              <w:t>0.75%</w:t>
            </w:r>
          </w:p>
        </w:tc>
        <w:tc>
          <w:tcPr>
            <w:tcW w:w="1412" w:type="dxa"/>
            <w:tcBorders>
              <w:top w:val="single" w:sz="4" w:space="0" w:color="auto"/>
              <w:left w:val="single" w:sz="4" w:space="0" w:color="auto"/>
              <w:bottom w:val="single" w:sz="4" w:space="0" w:color="auto"/>
              <w:right w:val="single" w:sz="4" w:space="0" w:color="auto"/>
            </w:tcBorders>
            <w:vAlign w:val="center"/>
          </w:tcPr>
          <w:p w:rsidR="009478F5" w:rsidRDefault="009478F5">
            <w:pPr>
              <w:spacing w:line="360" w:lineRule="auto"/>
              <w:ind w:firstLineChars="200" w:firstLine="480"/>
              <w:jc w:val="center"/>
              <w:rPr>
                <w:rFonts w:asciiTheme="majorEastAsia" w:eastAsiaTheme="majorEastAsia" w:hAnsiTheme="majorEastAsia"/>
                <w:sz w:val="24"/>
                <w:szCs w:val="24"/>
              </w:rPr>
            </w:pPr>
          </w:p>
        </w:tc>
      </w:tr>
      <w:tr w:rsidR="009478F5">
        <w:trPr>
          <w:trHeight w:val="20"/>
          <w:jc w:val="center"/>
        </w:trPr>
        <w:tc>
          <w:tcPr>
            <w:tcW w:w="4331"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jc w:val="center"/>
              <w:rPr>
                <w:rFonts w:asciiTheme="majorEastAsia" w:eastAsiaTheme="majorEastAsia" w:hAnsiTheme="majorEastAsia"/>
                <w:sz w:val="24"/>
                <w:szCs w:val="24"/>
              </w:rPr>
            </w:pPr>
            <w:r>
              <w:rPr>
                <w:rFonts w:ascii="Calibri" w:hAnsi="Calibri" w:cs="Times New Roman"/>
                <w:szCs w:val="21"/>
              </w:rPr>
              <w:t>30</w:t>
            </w:r>
            <w:r>
              <w:rPr>
                <w:rFonts w:ascii="Calibri" w:hAnsi="Calibri" w:cs="Times New Roman"/>
                <w:szCs w:val="21"/>
              </w:rPr>
              <w:t>天</w:t>
            </w:r>
            <w:r>
              <w:rPr>
                <w:rFonts w:ascii="Calibri" w:hAnsi="Calibri" w:cs="Times New Roman"/>
                <w:szCs w:val="21"/>
              </w:rPr>
              <w:t>≤N&lt;180</w:t>
            </w:r>
            <w:r>
              <w:rPr>
                <w:rFonts w:ascii="Calibri" w:hAnsi="Calibri" w:cs="Times New Roman"/>
                <w:szCs w:val="21"/>
              </w:rPr>
              <w:t>天</w:t>
            </w:r>
          </w:p>
        </w:tc>
        <w:tc>
          <w:tcPr>
            <w:tcW w:w="2320"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jc w:val="center"/>
              <w:rPr>
                <w:rFonts w:asciiTheme="majorEastAsia" w:eastAsiaTheme="majorEastAsia" w:hAnsiTheme="majorEastAsia"/>
                <w:sz w:val="24"/>
                <w:szCs w:val="24"/>
              </w:rPr>
            </w:pPr>
            <w:r>
              <w:rPr>
                <w:rFonts w:ascii="Calibri" w:hAnsi="Calibri" w:cs="Times New Roman"/>
                <w:szCs w:val="21"/>
              </w:rPr>
              <w:t>0.50%</w:t>
            </w:r>
          </w:p>
        </w:tc>
        <w:tc>
          <w:tcPr>
            <w:tcW w:w="1412" w:type="dxa"/>
            <w:tcBorders>
              <w:top w:val="single" w:sz="4" w:space="0" w:color="auto"/>
              <w:left w:val="single" w:sz="4" w:space="0" w:color="auto"/>
              <w:bottom w:val="single" w:sz="4" w:space="0" w:color="auto"/>
              <w:right w:val="single" w:sz="4" w:space="0" w:color="auto"/>
            </w:tcBorders>
            <w:vAlign w:val="center"/>
          </w:tcPr>
          <w:p w:rsidR="009478F5" w:rsidRDefault="009478F5">
            <w:pPr>
              <w:spacing w:line="360" w:lineRule="auto"/>
              <w:ind w:firstLineChars="100" w:firstLine="240"/>
              <w:jc w:val="center"/>
              <w:rPr>
                <w:rFonts w:asciiTheme="majorEastAsia" w:eastAsiaTheme="majorEastAsia" w:hAnsiTheme="majorEastAsia"/>
                <w:sz w:val="24"/>
                <w:szCs w:val="24"/>
              </w:rPr>
            </w:pPr>
          </w:p>
        </w:tc>
      </w:tr>
      <w:tr w:rsidR="009478F5">
        <w:trPr>
          <w:trHeight w:val="20"/>
          <w:jc w:val="center"/>
        </w:trPr>
        <w:tc>
          <w:tcPr>
            <w:tcW w:w="4331" w:type="dxa"/>
            <w:tcBorders>
              <w:top w:val="single" w:sz="4" w:space="0" w:color="auto"/>
              <w:left w:val="single" w:sz="4" w:space="0" w:color="auto"/>
              <w:right w:val="single" w:sz="4" w:space="0" w:color="auto"/>
            </w:tcBorders>
            <w:vAlign w:val="center"/>
          </w:tcPr>
          <w:p w:rsidR="009478F5" w:rsidRDefault="002B053A">
            <w:pPr>
              <w:spacing w:line="360" w:lineRule="auto"/>
              <w:jc w:val="center"/>
              <w:rPr>
                <w:rFonts w:asciiTheme="majorEastAsia" w:eastAsiaTheme="majorEastAsia" w:hAnsiTheme="majorEastAsia"/>
                <w:sz w:val="24"/>
                <w:szCs w:val="24"/>
              </w:rPr>
            </w:pPr>
            <w:r>
              <w:rPr>
                <w:rFonts w:ascii="Calibri" w:hAnsi="Calibri" w:cs="Times New Roman"/>
                <w:szCs w:val="21"/>
              </w:rPr>
              <w:t>180</w:t>
            </w:r>
            <w:r>
              <w:rPr>
                <w:rFonts w:ascii="Calibri" w:hAnsi="Calibri" w:cs="Times New Roman"/>
                <w:szCs w:val="21"/>
              </w:rPr>
              <w:t>天</w:t>
            </w:r>
            <w:r>
              <w:rPr>
                <w:rFonts w:ascii="Calibri" w:hAnsi="Calibri" w:cs="Times New Roman"/>
                <w:szCs w:val="21"/>
              </w:rPr>
              <w:t>≤N</w:t>
            </w:r>
          </w:p>
        </w:tc>
        <w:tc>
          <w:tcPr>
            <w:tcW w:w="2320" w:type="dxa"/>
            <w:tcBorders>
              <w:top w:val="single" w:sz="4" w:space="0" w:color="auto"/>
              <w:left w:val="single" w:sz="4" w:space="0" w:color="auto"/>
              <w:right w:val="single" w:sz="4" w:space="0" w:color="auto"/>
            </w:tcBorders>
            <w:vAlign w:val="center"/>
          </w:tcPr>
          <w:p w:rsidR="009478F5" w:rsidRDefault="002B053A">
            <w:pPr>
              <w:spacing w:line="360" w:lineRule="auto"/>
              <w:jc w:val="center"/>
              <w:rPr>
                <w:rFonts w:asciiTheme="majorEastAsia" w:eastAsiaTheme="majorEastAsia" w:hAnsiTheme="majorEastAsia"/>
                <w:sz w:val="24"/>
                <w:szCs w:val="24"/>
              </w:rPr>
            </w:pPr>
            <w:r>
              <w:rPr>
                <w:rFonts w:ascii="Calibri" w:hAnsi="Calibri" w:cs="Times New Roman"/>
                <w:szCs w:val="21"/>
              </w:rPr>
              <w:t>0%</w:t>
            </w:r>
          </w:p>
        </w:tc>
        <w:tc>
          <w:tcPr>
            <w:tcW w:w="1412" w:type="dxa"/>
            <w:tcBorders>
              <w:top w:val="single" w:sz="4" w:space="0" w:color="auto"/>
              <w:left w:val="single" w:sz="4" w:space="0" w:color="auto"/>
              <w:right w:val="single" w:sz="4" w:space="0" w:color="auto"/>
            </w:tcBorders>
            <w:vAlign w:val="center"/>
          </w:tcPr>
          <w:p w:rsidR="009478F5" w:rsidRDefault="009478F5">
            <w:pPr>
              <w:spacing w:line="360" w:lineRule="auto"/>
              <w:ind w:firstLineChars="100" w:firstLine="240"/>
              <w:jc w:val="center"/>
              <w:rPr>
                <w:rFonts w:asciiTheme="majorEastAsia" w:eastAsiaTheme="majorEastAsia" w:hAnsiTheme="majorEastAsia"/>
                <w:sz w:val="24"/>
                <w:szCs w:val="24"/>
              </w:rPr>
            </w:pPr>
          </w:p>
        </w:tc>
      </w:tr>
    </w:tbl>
    <w:p w:rsidR="009478F5" w:rsidRDefault="009478F5">
      <w:pPr>
        <w:pStyle w:val="a4"/>
        <w:widowControl/>
        <w:spacing w:before="16" w:line="360" w:lineRule="auto"/>
        <w:ind w:left="0"/>
        <w:jc w:val="both"/>
        <w:rPr>
          <w:rFonts w:asciiTheme="majorEastAsia" w:eastAsiaTheme="majorEastAsia" w:hAnsiTheme="majorEastAsia"/>
          <w:sz w:val="24"/>
          <w:szCs w:val="24"/>
        </w:rPr>
      </w:pPr>
    </w:p>
    <w:tbl>
      <w:tblPr>
        <w:tblW w:w="8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1"/>
        <w:gridCol w:w="2320"/>
        <w:gridCol w:w="1412"/>
      </w:tblGrid>
      <w:tr w:rsidR="009478F5">
        <w:trPr>
          <w:trHeight w:val="20"/>
          <w:jc w:val="center"/>
        </w:trPr>
        <w:tc>
          <w:tcPr>
            <w:tcW w:w="4331"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东兴成长优选混合发起</w:t>
            </w:r>
            <w:r>
              <w:rPr>
                <w:rFonts w:asciiTheme="majorEastAsia" w:eastAsiaTheme="majorEastAsia" w:hAnsiTheme="majorEastAsia" w:hint="eastAsia"/>
                <w:b/>
                <w:sz w:val="24"/>
                <w:szCs w:val="24"/>
                <w:lang w:val="en-US"/>
              </w:rPr>
              <w:t>C</w:t>
            </w:r>
            <w:r>
              <w:rPr>
                <w:rFonts w:asciiTheme="majorEastAsia" w:eastAsiaTheme="majorEastAsia" w:hAnsiTheme="majorEastAsia" w:hint="eastAsia"/>
                <w:b/>
                <w:sz w:val="24"/>
                <w:szCs w:val="24"/>
                <w:lang w:val="en-US"/>
              </w:rPr>
              <w:t>持有期限</w:t>
            </w:r>
            <w:r>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lang w:val="en-US"/>
              </w:rPr>
              <w:t>N</w:t>
            </w:r>
            <w:r>
              <w:rPr>
                <w:rFonts w:asciiTheme="majorEastAsia" w:eastAsiaTheme="majorEastAsia" w:hAnsiTheme="majorEastAsia" w:hint="eastAsia"/>
                <w:b/>
                <w:sz w:val="24"/>
                <w:szCs w:val="24"/>
              </w:rPr>
              <w:t>）</w:t>
            </w:r>
          </w:p>
        </w:tc>
        <w:tc>
          <w:tcPr>
            <w:tcW w:w="2320"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ind w:firstLineChars="200" w:firstLine="482"/>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lang w:val="en-US"/>
              </w:rPr>
              <w:t>赎回</w:t>
            </w:r>
            <w:r>
              <w:rPr>
                <w:rFonts w:asciiTheme="majorEastAsia" w:eastAsiaTheme="majorEastAsia" w:hAnsiTheme="majorEastAsia" w:hint="eastAsia"/>
                <w:b/>
                <w:sz w:val="24"/>
                <w:szCs w:val="24"/>
              </w:rPr>
              <w:t>费率</w:t>
            </w:r>
          </w:p>
        </w:tc>
        <w:tc>
          <w:tcPr>
            <w:tcW w:w="1412"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ind w:firstLineChars="200" w:firstLine="480"/>
              <w:jc w:val="center"/>
              <w:rPr>
                <w:rFonts w:asciiTheme="majorEastAsia" w:eastAsiaTheme="majorEastAsia" w:hAnsiTheme="majorEastAsia"/>
                <w:b/>
                <w:sz w:val="24"/>
                <w:szCs w:val="24"/>
              </w:rPr>
            </w:pPr>
            <w:r>
              <w:rPr>
                <w:rFonts w:asciiTheme="majorEastAsia" w:eastAsiaTheme="majorEastAsia" w:hAnsiTheme="majorEastAsia" w:hint="eastAsia"/>
                <w:sz w:val="24"/>
                <w:szCs w:val="24"/>
              </w:rPr>
              <w:t>备注</w:t>
            </w:r>
          </w:p>
        </w:tc>
      </w:tr>
      <w:tr w:rsidR="009478F5">
        <w:trPr>
          <w:trHeight w:val="20"/>
          <w:jc w:val="center"/>
        </w:trPr>
        <w:tc>
          <w:tcPr>
            <w:tcW w:w="4331"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jc w:val="center"/>
              <w:rPr>
                <w:rFonts w:asciiTheme="majorEastAsia" w:eastAsiaTheme="majorEastAsia" w:hAnsiTheme="majorEastAsia"/>
                <w:sz w:val="24"/>
                <w:szCs w:val="24"/>
              </w:rPr>
            </w:pPr>
            <w:r>
              <w:rPr>
                <w:rFonts w:ascii="Calibri" w:hAnsi="Calibri" w:cs="Times New Roman"/>
                <w:szCs w:val="21"/>
              </w:rPr>
              <w:t>N</w:t>
            </w:r>
            <w:r>
              <w:rPr>
                <w:rFonts w:ascii="Calibri" w:hAnsi="Calibri" w:cs="Times New Roman"/>
                <w:szCs w:val="21"/>
              </w:rPr>
              <w:t>＜</w:t>
            </w:r>
            <w:r>
              <w:rPr>
                <w:rFonts w:ascii="Calibri" w:hAnsi="Calibri" w:cs="Times New Roman"/>
                <w:szCs w:val="21"/>
              </w:rPr>
              <w:t>7</w:t>
            </w:r>
            <w:r>
              <w:rPr>
                <w:rFonts w:ascii="Calibri" w:hAnsi="Calibri" w:cs="Times New Roman"/>
                <w:szCs w:val="21"/>
              </w:rPr>
              <w:t>天</w:t>
            </w:r>
          </w:p>
        </w:tc>
        <w:tc>
          <w:tcPr>
            <w:tcW w:w="2320"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jc w:val="center"/>
              <w:rPr>
                <w:rFonts w:asciiTheme="majorEastAsia" w:eastAsiaTheme="majorEastAsia" w:hAnsiTheme="majorEastAsia"/>
                <w:sz w:val="24"/>
                <w:szCs w:val="24"/>
              </w:rPr>
            </w:pPr>
            <w:r>
              <w:rPr>
                <w:rFonts w:ascii="Calibri" w:hAnsi="Calibri" w:cs="Times New Roman"/>
                <w:szCs w:val="21"/>
              </w:rPr>
              <w:t>1.50%</w:t>
            </w:r>
          </w:p>
        </w:tc>
        <w:tc>
          <w:tcPr>
            <w:tcW w:w="1412" w:type="dxa"/>
            <w:tcBorders>
              <w:top w:val="single" w:sz="4" w:space="0" w:color="auto"/>
              <w:left w:val="single" w:sz="4" w:space="0" w:color="auto"/>
              <w:bottom w:val="single" w:sz="4" w:space="0" w:color="auto"/>
              <w:right w:val="single" w:sz="4" w:space="0" w:color="auto"/>
            </w:tcBorders>
            <w:vAlign w:val="center"/>
          </w:tcPr>
          <w:p w:rsidR="009478F5" w:rsidRDefault="009478F5">
            <w:pPr>
              <w:spacing w:line="360" w:lineRule="auto"/>
              <w:ind w:firstLineChars="200" w:firstLine="480"/>
              <w:jc w:val="center"/>
              <w:rPr>
                <w:rFonts w:asciiTheme="majorEastAsia" w:eastAsiaTheme="majorEastAsia" w:hAnsiTheme="majorEastAsia"/>
                <w:sz w:val="24"/>
                <w:szCs w:val="24"/>
              </w:rPr>
            </w:pPr>
          </w:p>
        </w:tc>
      </w:tr>
      <w:tr w:rsidR="009478F5">
        <w:trPr>
          <w:trHeight w:val="20"/>
          <w:jc w:val="center"/>
        </w:trPr>
        <w:tc>
          <w:tcPr>
            <w:tcW w:w="4331"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jc w:val="center"/>
              <w:rPr>
                <w:rFonts w:asciiTheme="majorEastAsia" w:eastAsiaTheme="majorEastAsia" w:hAnsiTheme="majorEastAsia"/>
                <w:sz w:val="24"/>
                <w:szCs w:val="24"/>
              </w:rPr>
            </w:pPr>
            <w:r>
              <w:rPr>
                <w:rFonts w:ascii="Calibri" w:hAnsi="Calibri" w:cs="Times New Roman"/>
                <w:szCs w:val="21"/>
              </w:rPr>
              <w:t>7</w:t>
            </w:r>
            <w:r>
              <w:rPr>
                <w:rFonts w:ascii="Calibri" w:hAnsi="Calibri" w:cs="Times New Roman"/>
                <w:szCs w:val="21"/>
              </w:rPr>
              <w:t>天</w:t>
            </w:r>
            <w:r>
              <w:rPr>
                <w:rFonts w:ascii="Calibri" w:hAnsi="Calibri" w:cs="Times New Roman"/>
                <w:szCs w:val="21"/>
              </w:rPr>
              <w:t>≤N</w:t>
            </w:r>
            <w:r>
              <w:rPr>
                <w:rFonts w:ascii="Calibri" w:hAnsi="Calibri" w:cs="Times New Roman"/>
                <w:szCs w:val="21"/>
              </w:rPr>
              <w:t>＜</w:t>
            </w:r>
            <w:r>
              <w:rPr>
                <w:rFonts w:ascii="Calibri" w:hAnsi="Calibri" w:cs="Times New Roman"/>
                <w:szCs w:val="21"/>
              </w:rPr>
              <w:t>30</w:t>
            </w:r>
            <w:r>
              <w:rPr>
                <w:rFonts w:ascii="Calibri" w:hAnsi="Calibri" w:cs="Times New Roman"/>
                <w:szCs w:val="21"/>
              </w:rPr>
              <w:t>天</w:t>
            </w:r>
          </w:p>
        </w:tc>
        <w:tc>
          <w:tcPr>
            <w:tcW w:w="2320"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jc w:val="center"/>
              <w:rPr>
                <w:rFonts w:asciiTheme="majorEastAsia" w:eastAsiaTheme="majorEastAsia" w:hAnsiTheme="majorEastAsia"/>
                <w:sz w:val="24"/>
                <w:szCs w:val="24"/>
              </w:rPr>
            </w:pPr>
            <w:r>
              <w:rPr>
                <w:rFonts w:ascii="Calibri" w:hAnsi="Calibri" w:cs="Times New Roman"/>
                <w:szCs w:val="21"/>
              </w:rPr>
              <w:t>0.50%</w:t>
            </w:r>
          </w:p>
        </w:tc>
        <w:tc>
          <w:tcPr>
            <w:tcW w:w="1412" w:type="dxa"/>
            <w:tcBorders>
              <w:top w:val="single" w:sz="4" w:space="0" w:color="auto"/>
              <w:left w:val="single" w:sz="4" w:space="0" w:color="auto"/>
              <w:bottom w:val="single" w:sz="4" w:space="0" w:color="auto"/>
              <w:right w:val="single" w:sz="4" w:space="0" w:color="auto"/>
            </w:tcBorders>
            <w:vAlign w:val="center"/>
          </w:tcPr>
          <w:p w:rsidR="009478F5" w:rsidRDefault="009478F5">
            <w:pPr>
              <w:spacing w:line="360" w:lineRule="auto"/>
              <w:ind w:firstLineChars="200" w:firstLine="480"/>
              <w:jc w:val="center"/>
              <w:rPr>
                <w:rFonts w:asciiTheme="majorEastAsia" w:eastAsiaTheme="majorEastAsia" w:hAnsiTheme="majorEastAsia"/>
                <w:sz w:val="24"/>
                <w:szCs w:val="24"/>
              </w:rPr>
            </w:pPr>
          </w:p>
        </w:tc>
      </w:tr>
      <w:tr w:rsidR="009478F5">
        <w:trPr>
          <w:trHeight w:val="20"/>
          <w:jc w:val="center"/>
        </w:trPr>
        <w:tc>
          <w:tcPr>
            <w:tcW w:w="4331"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jc w:val="center"/>
              <w:rPr>
                <w:rFonts w:asciiTheme="majorEastAsia" w:eastAsiaTheme="majorEastAsia" w:hAnsiTheme="majorEastAsia"/>
                <w:sz w:val="24"/>
                <w:szCs w:val="24"/>
              </w:rPr>
            </w:pPr>
            <w:r>
              <w:rPr>
                <w:rFonts w:ascii="Calibri" w:hAnsi="Calibri" w:cs="Times New Roman"/>
                <w:szCs w:val="21"/>
              </w:rPr>
              <w:t>N≥30</w:t>
            </w:r>
            <w:r>
              <w:rPr>
                <w:rFonts w:ascii="Calibri" w:hAnsi="Calibri" w:cs="Times New Roman"/>
                <w:szCs w:val="21"/>
              </w:rPr>
              <w:t>天</w:t>
            </w:r>
          </w:p>
        </w:tc>
        <w:tc>
          <w:tcPr>
            <w:tcW w:w="2320" w:type="dxa"/>
            <w:tcBorders>
              <w:top w:val="single" w:sz="4" w:space="0" w:color="auto"/>
              <w:left w:val="single" w:sz="4" w:space="0" w:color="auto"/>
              <w:bottom w:val="single" w:sz="4" w:space="0" w:color="auto"/>
              <w:right w:val="single" w:sz="4" w:space="0" w:color="auto"/>
            </w:tcBorders>
            <w:vAlign w:val="center"/>
          </w:tcPr>
          <w:p w:rsidR="009478F5" w:rsidRDefault="002B053A">
            <w:pPr>
              <w:spacing w:line="360" w:lineRule="auto"/>
              <w:jc w:val="center"/>
              <w:rPr>
                <w:rFonts w:asciiTheme="majorEastAsia" w:eastAsiaTheme="majorEastAsia" w:hAnsiTheme="majorEastAsia"/>
                <w:sz w:val="24"/>
                <w:szCs w:val="24"/>
              </w:rPr>
            </w:pPr>
            <w:r>
              <w:rPr>
                <w:rFonts w:ascii="Calibri" w:hAnsi="Calibri" w:cs="Times New Roman"/>
                <w:szCs w:val="21"/>
              </w:rPr>
              <w:t>0.00%</w:t>
            </w:r>
          </w:p>
        </w:tc>
        <w:tc>
          <w:tcPr>
            <w:tcW w:w="1412" w:type="dxa"/>
            <w:tcBorders>
              <w:top w:val="single" w:sz="4" w:space="0" w:color="auto"/>
              <w:left w:val="single" w:sz="4" w:space="0" w:color="auto"/>
              <w:bottom w:val="single" w:sz="4" w:space="0" w:color="auto"/>
              <w:right w:val="single" w:sz="4" w:space="0" w:color="auto"/>
            </w:tcBorders>
            <w:vAlign w:val="center"/>
          </w:tcPr>
          <w:p w:rsidR="009478F5" w:rsidRDefault="009478F5">
            <w:pPr>
              <w:spacing w:line="360" w:lineRule="auto"/>
              <w:ind w:firstLineChars="100" w:firstLine="240"/>
              <w:jc w:val="center"/>
              <w:rPr>
                <w:rFonts w:asciiTheme="majorEastAsia" w:eastAsiaTheme="majorEastAsia" w:hAnsiTheme="majorEastAsia"/>
                <w:sz w:val="24"/>
                <w:szCs w:val="24"/>
              </w:rPr>
            </w:pPr>
          </w:p>
        </w:tc>
      </w:tr>
    </w:tbl>
    <w:p w:rsidR="009478F5" w:rsidRDefault="009478F5">
      <w:pPr>
        <w:pStyle w:val="a4"/>
        <w:widowControl/>
        <w:spacing w:before="16" w:line="360" w:lineRule="auto"/>
        <w:ind w:left="0"/>
        <w:jc w:val="both"/>
        <w:rPr>
          <w:rFonts w:asciiTheme="majorEastAsia" w:eastAsiaTheme="majorEastAsia" w:hAnsiTheme="majorEastAsia"/>
          <w:sz w:val="24"/>
          <w:szCs w:val="24"/>
        </w:rPr>
      </w:pPr>
    </w:p>
    <w:p w:rsidR="009478F5" w:rsidRDefault="002B053A">
      <w:pPr>
        <w:pStyle w:val="a4"/>
        <w:spacing w:before="16" w:line="360" w:lineRule="auto"/>
        <w:ind w:left="350" w:hanging="350"/>
        <w:rPr>
          <w:rFonts w:asciiTheme="majorEastAsia" w:eastAsiaTheme="majorEastAsia" w:hAnsiTheme="majorEastAsia"/>
          <w:b/>
          <w:bCs/>
          <w:sz w:val="24"/>
          <w:szCs w:val="24"/>
        </w:rPr>
      </w:pPr>
      <w:r>
        <w:rPr>
          <w:rFonts w:asciiTheme="majorEastAsia" w:eastAsiaTheme="majorEastAsia" w:hAnsiTheme="majorEastAsia" w:hint="eastAsia"/>
          <w:b/>
          <w:bCs/>
          <w:sz w:val="24"/>
          <w:szCs w:val="24"/>
          <w:lang w:val="en-US"/>
        </w:rPr>
        <w:t>5</w:t>
      </w:r>
      <w:r>
        <w:rPr>
          <w:rFonts w:asciiTheme="majorEastAsia" w:eastAsiaTheme="majorEastAsia" w:hAnsiTheme="majorEastAsia"/>
          <w:b/>
          <w:bCs/>
          <w:sz w:val="24"/>
          <w:szCs w:val="24"/>
        </w:rPr>
        <w:t>、日常转换业务</w:t>
      </w:r>
    </w:p>
    <w:p w:rsidR="009478F5" w:rsidRDefault="002B053A">
      <w:pPr>
        <w:pStyle w:val="a4"/>
        <w:spacing w:before="16" w:line="360" w:lineRule="auto"/>
        <w:ind w:left="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lang w:val="en-US"/>
        </w:rPr>
        <w:t>5</w:t>
      </w:r>
      <w:r>
        <w:rPr>
          <w:rFonts w:asciiTheme="majorEastAsia" w:eastAsiaTheme="majorEastAsia" w:hAnsiTheme="majorEastAsia"/>
          <w:sz w:val="24"/>
          <w:szCs w:val="24"/>
        </w:rPr>
        <w:t>.1</w:t>
      </w:r>
      <w:r>
        <w:rPr>
          <w:rFonts w:asciiTheme="majorEastAsia" w:eastAsiaTheme="majorEastAsia" w:hAnsiTheme="majorEastAsia"/>
          <w:sz w:val="24"/>
          <w:szCs w:val="24"/>
        </w:rPr>
        <w:t>转换费率</w:t>
      </w:r>
    </w:p>
    <w:p w:rsidR="009478F5" w:rsidRDefault="002B053A">
      <w:pPr>
        <w:pStyle w:val="a4"/>
        <w:spacing w:before="16" w:line="360" w:lineRule="auto"/>
        <w:ind w:left="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sz w:val="24"/>
          <w:szCs w:val="24"/>
        </w:rPr>
        <w:t>）基金转换费用由转出基金赎回费用及基金申购补差费用构成；</w:t>
      </w:r>
    </w:p>
    <w:p w:rsidR="009478F5" w:rsidRDefault="002B053A">
      <w:pPr>
        <w:pStyle w:val="a4"/>
        <w:spacing w:before="16" w:line="360" w:lineRule="auto"/>
        <w:ind w:left="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Pr>
          <w:rFonts w:asciiTheme="majorEastAsia" w:eastAsiaTheme="majorEastAsia" w:hAnsiTheme="majorEastAsia"/>
          <w:sz w:val="24"/>
          <w:szCs w:val="24"/>
        </w:rPr>
        <w:t>）转出基金时</w:t>
      </w:r>
      <w:r>
        <w:rPr>
          <w:rFonts w:asciiTheme="majorEastAsia" w:eastAsiaTheme="majorEastAsia" w:hAnsiTheme="majorEastAsia"/>
          <w:sz w:val="24"/>
          <w:szCs w:val="24"/>
        </w:rPr>
        <w:t>,</w:t>
      </w:r>
      <w:r>
        <w:rPr>
          <w:rFonts w:asciiTheme="majorEastAsia" w:eastAsiaTheme="majorEastAsia" w:hAnsiTheme="majorEastAsia"/>
          <w:sz w:val="24"/>
          <w:szCs w:val="24"/>
        </w:rPr>
        <w:t>如涉及的转出基金有赎回费用</w:t>
      </w:r>
      <w:r>
        <w:rPr>
          <w:rFonts w:asciiTheme="majorEastAsia" w:eastAsiaTheme="majorEastAsia" w:hAnsiTheme="majorEastAsia"/>
          <w:sz w:val="24"/>
          <w:szCs w:val="24"/>
        </w:rPr>
        <w:t>,</w:t>
      </w:r>
      <w:r>
        <w:rPr>
          <w:rFonts w:asciiTheme="majorEastAsia" w:eastAsiaTheme="majorEastAsia" w:hAnsiTheme="majorEastAsia"/>
          <w:sz w:val="24"/>
          <w:szCs w:val="24"/>
        </w:rPr>
        <w:t>收取该基金的赎回费用。收取的赎回费归入基金财产的比例不得低于法律法规、中国证监会规定的比例下限以及该基金《基金合同》、《招募说明书（更新）》的相关约定；</w:t>
      </w:r>
    </w:p>
    <w:p w:rsidR="009478F5" w:rsidRDefault="002B053A">
      <w:pPr>
        <w:pStyle w:val="a4"/>
        <w:spacing w:before="16" w:line="360" w:lineRule="auto"/>
        <w:ind w:left="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3</w:t>
      </w:r>
      <w:r>
        <w:rPr>
          <w:rFonts w:asciiTheme="majorEastAsia" w:eastAsiaTheme="majorEastAsia" w:hAnsiTheme="majorEastAsia"/>
          <w:sz w:val="24"/>
          <w:szCs w:val="24"/>
        </w:rPr>
        <w:t>）转入基金时</w:t>
      </w:r>
      <w:r>
        <w:rPr>
          <w:rFonts w:asciiTheme="majorEastAsia" w:eastAsiaTheme="majorEastAsia" w:hAnsiTheme="majorEastAsia"/>
          <w:sz w:val="24"/>
          <w:szCs w:val="24"/>
        </w:rPr>
        <w:t>,</w:t>
      </w:r>
      <w:r>
        <w:rPr>
          <w:rFonts w:asciiTheme="majorEastAsia" w:eastAsiaTheme="majorEastAsia" w:hAnsiTheme="majorEastAsia"/>
          <w:sz w:val="24"/>
          <w:szCs w:val="24"/>
        </w:rPr>
        <w:t>从申购费用低的基金向申购费用高的基金转换时</w:t>
      </w:r>
      <w:r>
        <w:rPr>
          <w:rFonts w:asciiTheme="majorEastAsia" w:eastAsiaTheme="majorEastAsia" w:hAnsiTheme="majorEastAsia"/>
          <w:sz w:val="24"/>
          <w:szCs w:val="24"/>
        </w:rPr>
        <w:t>,</w:t>
      </w:r>
      <w:r>
        <w:rPr>
          <w:rFonts w:asciiTheme="majorEastAsia" w:eastAsiaTheme="majorEastAsia" w:hAnsiTheme="majorEastAsia"/>
          <w:sz w:val="24"/>
          <w:szCs w:val="24"/>
        </w:rPr>
        <w:t>每次收取申购补差费用；从申购费用高的基金向申购费用低的基金转换时</w:t>
      </w:r>
      <w:r>
        <w:rPr>
          <w:rFonts w:asciiTheme="majorEastAsia" w:eastAsiaTheme="majorEastAsia" w:hAnsiTheme="majorEastAsia"/>
          <w:sz w:val="24"/>
          <w:szCs w:val="24"/>
        </w:rPr>
        <w:t>,</w:t>
      </w:r>
      <w:r>
        <w:rPr>
          <w:rFonts w:asciiTheme="majorEastAsia" w:eastAsiaTheme="majorEastAsia" w:hAnsiTheme="majorEastAsia"/>
          <w:sz w:val="24"/>
          <w:szCs w:val="24"/>
        </w:rPr>
        <w:t>不收取申购补差费用。基金转换采取单笔计算法，投资人当日多次转换的，单笔计算转换费。申购补差费用按照转换金额对应的转出基金与转入基金的申购费用差额进行补差，具体收取情况视每次转换时两只基金的申购费率差异情况而定。</w:t>
      </w:r>
    </w:p>
    <w:p w:rsidR="009478F5" w:rsidRDefault="002B053A">
      <w:pPr>
        <w:pStyle w:val="a4"/>
        <w:spacing w:before="16" w:line="360" w:lineRule="auto"/>
        <w:ind w:left="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lang w:val="en-US"/>
        </w:rPr>
        <w:t>5</w:t>
      </w:r>
      <w:r>
        <w:rPr>
          <w:rFonts w:asciiTheme="majorEastAsia" w:eastAsiaTheme="majorEastAsia" w:hAnsiTheme="majorEastAsia"/>
          <w:sz w:val="24"/>
          <w:szCs w:val="24"/>
        </w:rPr>
        <w:t>.2</w:t>
      </w:r>
      <w:r>
        <w:rPr>
          <w:rFonts w:asciiTheme="majorEastAsia" w:eastAsiaTheme="majorEastAsia" w:hAnsiTheme="majorEastAsia"/>
          <w:sz w:val="24"/>
          <w:szCs w:val="24"/>
        </w:rPr>
        <w:t>其他与转换相关的事项</w:t>
      </w:r>
    </w:p>
    <w:p w:rsidR="009478F5" w:rsidRDefault="002B053A">
      <w:pPr>
        <w:pStyle w:val="a4"/>
        <w:spacing w:before="16" w:line="360" w:lineRule="auto"/>
        <w:ind w:left="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目前投资者只可在同时销售转出基金及转入基金的机构办理基金转换业务。投资者办理本基金转换业务的单笔转入申请应遵循转入基金份额类别的相关限制，单笔转出申请应遵循本基金及销售机构的相关规定。</w:t>
      </w:r>
    </w:p>
    <w:p w:rsidR="009478F5" w:rsidRDefault="002B053A">
      <w:pPr>
        <w:pStyle w:val="a4"/>
        <w:spacing w:before="16" w:line="360" w:lineRule="auto"/>
        <w:ind w:left="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sz w:val="24"/>
          <w:szCs w:val="24"/>
        </w:rPr>
        <w:t>）基金转换只能在同一销售机构进行。转换的两只基金必须都是该销售机构代理的同一基金管理人管理的、在同一登记机构处登记的基金。同一基金不同类别基金份额之间暂不开通相互转换业务。</w:t>
      </w:r>
    </w:p>
    <w:p w:rsidR="009478F5" w:rsidRDefault="002B053A">
      <w:pPr>
        <w:pStyle w:val="a4"/>
        <w:spacing w:before="16" w:line="360" w:lineRule="auto"/>
        <w:ind w:left="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Pr>
          <w:rFonts w:asciiTheme="majorEastAsia" w:eastAsiaTheme="majorEastAsia" w:hAnsiTheme="majorEastAsia"/>
          <w:sz w:val="24"/>
          <w:szCs w:val="24"/>
        </w:rPr>
        <w:t>）投资者需在转出基金和转入基金均可交易的当日，方可成功办理基金转换业务。由于各销售机构系统及业务安排等原因，开放日的具体交易时间可能有所不同，投</w:t>
      </w:r>
      <w:r>
        <w:rPr>
          <w:rFonts w:asciiTheme="majorEastAsia" w:eastAsiaTheme="majorEastAsia" w:hAnsiTheme="majorEastAsia"/>
          <w:sz w:val="24"/>
          <w:szCs w:val="24"/>
        </w:rPr>
        <w:t>资者应参照相关销售机构的具体规定。</w:t>
      </w:r>
    </w:p>
    <w:p w:rsidR="009478F5" w:rsidRDefault="002B053A">
      <w:pPr>
        <w:pStyle w:val="a4"/>
        <w:spacing w:before="16" w:line="360" w:lineRule="auto"/>
        <w:ind w:left="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3</w:t>
      </w:r>
      <w:r>
        <w:rPr>
          <w:rFonts w:asciiTheme="majorEastAsia" w:eastAsiaTheme="majorEastAsia" w:hAnsiTheme="majorEastAsia"/>
          <w:sz w:val="24"/>
          <w:szCs w:val="24"/>
        </w:rPr>
        <w:t>）投资者可以将在销售机构托管的部分或全部基金份额转换成其他基金份额，转换转出的份额不得超过所在托管网点登记的可用基金份额。</w:t>
      </w:r>
    </w:p>
    <w:p w:rsidR="009478F5" w:rsidRDefault="002B053A">
      <w:pPr>
        <w:pStyle w:val="a4"/>
        <w:spacing w:before="16" w:line="360" w:lineRule="auto"/>
        <w:ind w:left="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4</w:t>
      </w:r>
      <w:r>
        <w:rPr>
          <w:rFonts w:asciiTheme="majorEastAsia" w:eastAsiaTheme="majorEastAsia" w:hAnsiTheme="majorEastAsia"/>
          <w:sz w:val="24"/>
          <w:szCs w:val="24"/>
        </w:rPr>
        <w:t>）转出基金份额遵循</w:t>
      </w:r>
      <w:r>
        <w:rPr>
          <w:rFonts w:asciiTheme="majorEastAsia" w:eastAsiaTheme="majorEastAsia" w:hAnsiTheme="majorEastAsia"/>
          <w:sz w:val="24"/>
          <w:szCs w:val="24"/>
        </w:rPr>
        <w:t>“</w:t>
      </w:r>
      <w:r>
        <w:rPr>
          <w:rFonts w:asciiTheme="majorEastAsia" w:eastAsiaTheme="majorEastAsia" w:hAnsiTheme="majorEastAsia"/>
          <w:sz w:val="24"/>
          <w:szCs w:val="24"/>
        </w:rPr>
        <w:t>先进先出</w:t>
      </w:r>
      <w:r>
        <w:rPr>
          <w:rFonts w:asciiTheme="majorEastAsia" w:eastAsiaTheme="majorEastAsia" w:hAnsiTheme="majorEastAsia"/>
          <w:sz w:val="24"/>
          <w:szCs w:val="24"/>
        </w:rPr>
        <w:t>”</w:t>
      </w:r>
      <w:r>
        <w:rPr>
          <w:rFonts w:asciiTheme="majorEastAsia" w:eastAsiaTheme="majorEastAsia" w:hAnsiTheme="majorEastAsia"/>
          <w:sz w:val="24"/>
          <w:szCs w:val="24"/>
        </w:rPr>
        <w:t>的原则，即按照投资人认购、申购的先后次序进行顺序转出，基金份额持有人对转入基金的持有期限自转入之日算起。</w:t>
      </w:r>
    </w:p>
    <w:p w:rsidR="009478F5" w:rsidRDefault="002B053A">
      <w:pPr>
        <w:pStyle w:val="a4"/>
        <w:spacing w:before="16" w:line="360" w:lineRule="auto"/>
        <w:ind w:left="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5</w:t>
      </w:r>
      <w:r>
        <w:rPr>
          <w:rFonts w:asciiTheme="majorEastAsia" w:eastAsiaTheme="majorEastAsia" w:hAnsiTheme="majorEastAsia"/>
          <w:sz w:val="24"/>
          <w:szCs w:val="24"/>
        </w:rPr>
        <w:t>）投资者申请基金转换须满足《招募说明书》及基金管理人与销售机构有关最低转换转出份额及最低持有份额的规定。如投资者办理基金转出后该基金份额类别的份额余额低于规定的最低余额，基金管理人有权将该基金份额类别的余</w:t>
      </w:r>
      <w:r>
        <w:rPr>
          <w:rFonts w:asciiTheme="majorEastAsia" w:eastAsiaTheme="majorEastAsia" w:hAnsiTheme="majorEastAsia"/>
          <w:sz w:val="24"/>
          <w:szCs w:val="24"/>
        </w:rPr>
        <w:t>额部分强制赎回。</w:t>
      </w:r>
    </w:p>
    <w:p w:rsidR="009478F5" w:rsidRDefault="002B053A">
      <w:pPr>
        <w:pStyle w:val="a4"/>
        <w:spacing w:before="16" w:line="360" w:lineRule="auto"/>
        <w:ind w:left="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6</w:t>
      </w:r>
      <w:r>
        <w:rPr>
          <w:rFonts w:asciiTheme="majorEastAsia" w:eastAsiaTheme="majorEastAsia" w:hAnsiTheme="majorEastAsia"/>
          <w:sz w:val="24"/>
          <w:szCs w:val="24"/>
        </w:rPr>
        <w:t>）基金转换采取未知价法，即以申请受理当日各转出、转入基金的基金份额净值为基准进行计算。</w:t>
      </w:r>
    </w:p>
    <w:p w:rsidR="009478F5" w:rsidRDefault="002B053A">
      <w:pPr>
        <w:pStyle w:val="a4"/>
        <w:spacing w:before="16" w:line="360" w:lineRule="auto"/>
        <w:ind w:left="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7</w:t>
      </w:r>
      <w:r>
        <w:rPr>
          <w:rFonts w:asciiTheme="majorEastAsia" w:eastAsiaTheme="majorEastAsia" w:hAnsiTheme="majorEastAsia"/>
          <w:sz w:val="24"/>
          <w:szCs w:val="24"/>
        </w:rPr>
        <w:t>）正常情况下，基金登记机构以申请有效日为基金转换申请日</w:t>
      </w:r>
      <w:r>
        <w:rPr>
          <w:rFonts w:asciiTheme="majorEastAsia" w:eastAsiaTheme="majorEastAsia" w:hAnsiTheme="majorEastAsia"/>
          <w:sz w:val="24"/>
          <w:szCs w:val="24"/>
        </w:rPr>
        <w:t>(T</w:t>
      </w:r>
      <w:r>
        <w:rPr>
          <w:rFonts w:asciiTheme="majorEastAsia" w:eastAsiaTheme="majorEastAsia" w:hAnsiTheme="majorEastAsia"/>
          <w:sz w:val="24"/>
          <w:szCs w:val="24"/>
        </w:rPr>
        <w:t>日</w:t>
      </w:r>
      <w:r>
        <w:rPr>
          <w:rFonts w:asciiTheme="majorEastAsia" w:eastAsiaTheme="majorEastAsia" w:hAnsiTheme="majorEastAsia"/>
          <w:sz w:val="24"/>
          <w:szCs w:val="24"/>
        </w:rPr>
        <w:t>)</w:t>
      </w:r>
      <w:r>
        <w:rPr>
          <w:rFonts w:asciiTheme="majorEastAsia" w:eastAsiaTheme="majorEastAsia" w:hAnsiTheme="majorEastAsia"/>
          <w:sz w:val="24"/>
          <w:szCs w:val="24"/>
        </w:rPr>
        <w:t>，并在</w:t>
      </w:r>
      <w:r>
        <w:rPr>
          <w:rFonts w:asciiTheme="majorEastAsia" w:eastAsiaTheme="majorEastAsia" w:hAnsiTheme="majorEastAsia"/>
          <w:sz w:val="24"/>
          <w:szCs w:val="24"/>
        </w:rPr>
        <w:t>T+1</w:t>
      </w:r>
      <w:r>
        <w:rPr>
          <w:rFonts w:asciiTheme="majorEastAsia" w:eastAsiaTheme="majorEastAsia" w:hAnsiTheme="majorEastAsia"/>
          <w:sz w:val="24"/>
          <w:szCs w:val="24"/>
        </w:rPr>
        <w:t>工作日对该交易的有效性进行确认，投资者可在</w:t>
      </w:r>
      <w:r>
        <w:rPr>
          <w:rFonts w:asciiTheme="majorEastAsia" w:eastAsiaTheme="majorEastAsia" w:hAnsiTheme="majorEastAsia"/>
          <w:sz w:val="24"/>
          <w:szCs w:val="24"/>
        </w:rPr>
        <w:t>T+2</w:t>
      </w:r>
      <w:r>
        <w:rPr>
          <w:rFonts w:asciiTheme="majorEastAsia" w:eastAsiaTheme="majorEastAsia" w:hAnsiTheme="majorEastAsia"/>
          <w:sz w:val="24"/>
          <w:szCs w:val="24"/>
        </w:rPr>
        <w:t>工作日及之后到其提出基金转换申请的网点进行成交查询。</w:t>
      </w:r>
    </w:p>
    <w:p w:rsidR="009478F5" w:rsidRDefault="002B053A">
      <w:pPr>
        <w:pStyle w:val="a4"/>
        <w:spacing w:before="16" w:line="360" w:lineRule="auto"/>
        <w:ind w:left="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8</w:t>
      </w:r>
      <w:r>
        <w:rPr>
          <w:rFonts w:asciiTheme="majorEastAsia" w:eastAsiaTheme="majorEastAsia" w:hAnsiTheme="majorEastAsia"/>
          <w:sz w:val="24"/>
          <w:szCs w:val="24"/>
        </w:rPr>
        <w:t>）当基金发生巨额赎回时，基金份额转出与基金份额赎回具有相同的优先级，基金份额转出参照巨额赎回的处理方式，由基金管理人按照《基金合同》的约定进行处理。</w:t>
      </w:r>
    </w:p>
    <w:p w:rsidR="009478F5" w:rsidRDefault="002B053A">
      <w:pPr>
        <w:pStyle w:val="a4"/>
        <w:spacing w:before="16" w:line="360" w:lineRule="auto"/>
        <w:ind w:left="0" w:firstLineChars="200" w:firstLine="480"/>
        <w:jc w:val="both"/>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9</w:t>
      </w:r>
      <w:r>
        <w:rPr>
          <w:rFonts w:asciiTheme="majorEastAsia" w:eastAsiaTheme="majorEastAsia" w:hAnsiTheme="majorEastAsia"/>
          <w:sz w:val="24"/>
          <w:szCs w:val="24"/>
        </w:rPr>
        <w:t>）对于存在一定持有期限要求的基金，投资者转换转入该基金的份额需按</w:t>
      </w:r>
      <w:r>
        <w:rPr>
          <w:rFonts w:asciiTheme="majorEastAsia" w:eastAsiaTheme="majorEastAsia" w:hAnsiTheme="majorEastAsia"/>
          <w:sz w:val="24"/>
          <w:szCs w:val="24"/>
        </w:rPr>
        <w:t>照具体基金《基金合同》的要求至少持有满一定期限，在锁定持有期内不能就该基金份额提出赎回或转换转出申请。</w:t>
      </w:r>
    </w:p>
    <w:p w:rsidR="009478F5" w:rsidRDefault="002B053A">
      <w:pPr>
        <w:pStyle w:val="dazhangjie"/>
        <w:ind w:left="484" w:hangingChars="201" w:hanging="484"/>
        <w:rPr>
          <w:rFonts w:asciiTheme="majorEastAsia" w:eastAsiaTheme="majorEastAsia" w:hAnsiTheme="majorEastAsia"/>
          <w:b/>
          <w:lang w:val="zh-CN" w:bidi="zh-CN"/>
        </w:rPr>
      </w:pPr>
      <w:r>
        <w:rPr>
          <w:rFonts w:asciiTheme="majorEastAsia" w:eastAsiaTheme="majorEastAsia" w:hAnsiTheme="majorEastAsia" w:hint="eastAsia"/>
          <w:b/>
          <w:lang w:bidi="zh-CN"/>
        </w:rPr>
        <w:t>6</w:t>
      </w:r>
      <w:r>
        <w:rPr>
          <w:rFonts w:asciiTheme="majorEastAsia" w:eastAsiaTheme="majorEastAsia" w:hAnsiTheme="majorEastAsia" w:hint="eastAsia"/>
          <w:b/>
          <w:lang w:val="zh-CN" w:bidi="zh-CN"/>
        </w:rPr>
        <w:t>、定期定额投资业务</w:t>
      </w:r>
    </w:p>
    <w:p w:rsidR="009478F5" w:rsidRDefault="002B053A">
      <w:pPr>
        <w:pStyle w:val="a4"/>
        <w:widowControl/>
        <w:spacing w:before="16" w:line="360" w:lineRule="auto"/>
        <w:ind w:left="0" w:firstLineChars="200" w:firstLine="480"/>
        <w:jc w:val="both"/>
        <w:rPr>
          <w:rFonts w:asciiTheme="majorEastAsia" w:eastAsiaTheme="majorEastAsia" w:hAnsiTheme="majorEastAsia"/>
          <w:sz w:val="24"/>
          <w:szCs w:val="24"/>
        </w:rPr>
      </w:pPr>
      <w:r>
        <w:rPr>
          <w:rFonts w:asciiTheme="majorEastAsia" w:eastAsiaTheme="majorEastAsia" w:hAnsiTheme="majorEastAsia" w:hint="eastAsia"/>
          <w:sz w:val="24"/>
          <w:szCs w:val="24"/>
          <w:lang w:val="en-US"/>
        </w:rPr>
        <w:t>6</w:t>
      </w:r>
      <w:r>
        <w:rPr>
          <w:rFonts w:asciiTheme="majorEastAsia" w:eastAsiaTheme="majorEastAsia" w:hAnsiTheme="majorEastAsia"/>
          <w:sz w:val="24"/>
          <w:szCs w:val="24"/>
        </w:rPr>
        <w:t>.1 </w:t>
      </w:r>
      <w:r>
        <w:rPr>
          <w:rFonts w:asciiTheme="majorEastAsia" w:eastAsiaTheme="majorEastAsia" w:hAnsiTheme="majorEastAsia"/>
          <w:sz w:val="24"/>
          <w:szCs w:val="24"/>
        </w:rPr>
        <w:t>定期定额投资业务是指投资者通过销售机构提交申请，约定每期扣款时间、扣款金额，由销售机构于每期约定扣款日在投资者指定资金账户内自动完成扣款，并提交基金申购申请的一种长期投资方式。</w:t>
      </w:r>
      <w:r>
        <w:rPr>
          <w:rFonts w:asciiTheme="majorEastAsia" w:eastAsiaTheme="majorEastAsia" w:hAnsiTheme="majorEastAsia"/>
          <w:sz w:val="24"/>
          <w:szCs w:val="24"/>
        </w:rPr>
        <w:t> </w:t>
      </w:r>
      <w:r>
        <w:rPr>
          <w:rFonts w:asciiTheme="majorEastAsia" w:eastAsiaTheme="majorEastAsia" w:hAnsiTheme="majorEastAsia"/>
          <w:sz w:val="24"/>
          <w:szCs w:val="24"/>
        </w:rPr>
        <w:br/>
      </w:r>
      <w:r>
        <w:rPr>
          <w:rFonts w:asciiTheme="majorEastAsia" w:eastAsiaTheme="majorEastAsia" w:hAnsiTheme="majorEastAsia" w:hint="eastAsia"/>
          <w:sz w:val="24"/>
          <w:szCs w:val="24"/>
        </w:rPr>
        <w:t>  </w:t>
      </w:r>
      <w:r>
        <w:rPr>
          <w:rFonts w:asciiTheme="majorEastAsia" w:eastAsiaTheme="majorEastAsia" w:hAnsiTheme="majorEastAsia" w:hint="eastAsia"/>
          <w:sz w:val="24"/>
          <w:szCs w:val="24"/>
          <w:lang w:val="en-US"/>
        </w:rPr>
        <w:t>6</w:t>
      </w:r>
      <w:r>
        <w:rPr>
          <w:rFonts w:asciiTheme="majorEastAsia" w:eastAsiaTheme="majorEastAsia" w:hAnsiTheme="majorEastAsia"/>
          <w:sz w:val="24"/>
          <w:szCs w:val="24"/>
        </w:rPr>
        <w:t>.2 </w:t>
      </w:r>
      <w:r>
        <w:rPr>
          <w:rFonts w:asciiTheme="majorEastAsia" w:eastAsiaTheme="majorEastAsia" w:hAnsiTheme="majorEastAsia"/>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w:t>
      </w:r>
      <w:r>
        <w:rPr>
          <w:rFonts w:asciiTheme="majorEastAsia" w:eastAsiaTheme="majorEastAsia" w:hAnsiTheme="majorEastAsia"/>
          <w:sz w:val="24"/>
          <w:szCs w:val="24"/>
        </w:rPr>
        <w:t>书中所规定的最低申购金额。</w:t>
      </w:r>
      <w:r>
        <w:rPr>
          <w:rFonts w:asciiTheme="majorEastAsia" w:eastAsiaTheme="majorEastAsia" w:hAnsiTheme="majorEastAsia"/>
          <w:sz w:val="24"/>
          <w:szCs w:val="24"/>
        </w:rPr>
        <w:br/>
      </w:r>
      <w:r>
        <w:rPr>
          <w:rFonts w:asciiTheme="majorEastAsia" w:eastAsiaTheme="majorEastAsia" w:hAnsiTheme="majorEastAsia" w:hint="eastAsia"/>
          <w:sz w:val="24"/>
          <w:szCs w:val="24"/>
        </w:rPr>
        <w:t>  </w:t>
      </w:r>
      <w:r>
        <w:rPr>
          <w:rFonts w:asciiTheme="majorEastAsia" w:eastAsiaTheme="majorEastAsia" w:hAnsiTheme="majorEastAsia" w:hint="eastAsia"/>
          <w:sz w:val="24"/>
          <w:szCs w:val="24"/>
          <w:lang w:val="en-US"/>
        </w:rPr>
        <w:t>6</w:t>
      </w:r>
      <w:r>
        <w:rPr>
          <w:rFonts w:asciiTheme="majorEastAsia" w:eastAsiaTheme="majorEastAsia" w:hAnsiTheme="majorEastAsia"/>
          <w:sz w:val="24"/>
          <w:szCs w:val="24"/>
        </w:rPr>
        <w:t>.3 </w:t>
      </w:r>
      <w:r>
        <w:rPr>
          <w:rFonts w:asciiTheme="majorEastAsia" w:eastAsiaTheme="majorEastAsia" w:hAnsiTheme="majorEastAsia"/>
          <w:sz w:val="24"/>
          <w:szCs w:val="24"/>
        </w:rPr>
        <w:t>除另有公告外，定期定额投资费率与申购费率相同。</w:t>
      </w:r>
      <w:r>
        <w:rPr>
          <w:rFonts w:asciiTheme="majorEastAsia" w:eastAsiaTheme="majorEastAsia" w:hAnsiTheme="majorEastAsia"/>
          <w:sz w:val="24"/>
          <w:szCs w:val="24"/>
        </w:rPr>
        <w:br/>
      </w:r>
      <w:r>
        <w:rPr>
          <w:rFonts w:asciiTheme="majorEastAsia" w:eastAsiaTheme="majorEastAsia" w:hAnsiTheme="majorEastAsia" w:hint="eastAsia"/>
          <w:sz w:val="24"/>
          <w:szCs w:val="24"/>
        </w:rPr>
        <w:t>  </w:t>
      </w:r>
      <w:r>
        <w:rPr>
          <w:rFonts w:asciiTheme="majorEastAsia" w:eastAsiaTheme="majorEastAsia" w:hAnsiTheme="majorEastAsia" w:hint="eastAsia"/>
          <w:sz w:val="24"/>
          <w:szCs w:val="24"/>
          <w:lang w:val="en-US"/>
        </w:rPr>
        <w:t>6</w:t>
      </w:r>
      <w:r>
        <w:rPr>
          <w:rFonts w:asciiTheme="majorEastAsia" w:eastAsiaTheme="majorEastAsia" w:hAnsiTheme="majorEastAsia"/>
          <w:sz w:val="24"/>
          <w:szCs w:val="24"/>
        </w:rPr>
        <w:t>.4 </w:t>
      </w:r>
      <w:r>
        <w:rPr>
          <w:rFonts w:asciiTheme="majorEastAsia" w:eastAsiaTheme="majorEastAsia" w:hAnsiTheme="majorEastAsia"/>
          <w:sz w:val="24"/>
          <w:szCs w:val="24"/>
        </w:rPr>
        <w:t>投资者可通过开通本基金定期定额投资业务的销售机构投资本基金，敬请广大投资者关注各销售机构开通上述业务的公告或咨询相关销售机构。</w:t>
      </w:r>
    </w:p>
    <w:p w:rsidR="009478F5" w:rsidRDefault="002B053A" w:rsidP="002B053A">
      <w:pPr>
        <w:pStyle w:val="af0"/>
        <w:spacing w:beforeLines="50" w:afterLines="50"/>
        <w:ind w:left="567" w:hanging="567"/>
        <w:rPr>
          <w:rFonts w:asciiTheme="majorEastAsia" w:eastAsiaTheme="majorEastAsia" w:hAnsiTheme="majorEastAsia"/>
          <w:b/>
          <w:sz w:val="24"/>
          <w:szCs w:val="24"/>
        </w:rPr>
        <w:pPrChange w:id="6" w:author="ZHONGM" w:date="2024-08-30T00:03:00Z">
          <w:pPr>
            <w:pStyle w:val="af0"/>
            <w:spacing w:beforeLines="50" w:afterLines="50"/>
            <w:ind w:left="567" w:hanging="567"/>
          </w:pPr>
        </w:pPrChange>
      </w:pPr>
      <w:r>
        <w:rPr>
          <w:rFonts w:asciiTheme="majorEastAsia" w:eastAsiaTheme="majorEastAsia" w:hAnsiTheme="majorEastAsia" w:hint="eastAsia"/>
          <w:b/>
          <w:sz w:val="24"/>
          <w:szCs w:val="24"/>
          <w:lang w:val="en-US"/>
        </w:rPr>
        <w:t>7</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基金销售机构</w:t>
      </w:r>
    </w:p>
    <w:p w:rsidR="009478F5" w:rsidRDefault="002B053A">
      <w:pPr>
        <w:pStyle w:val="af0"/>
        <w:tabs>
          <w:tab w:val="left" w:pos="1595"/>
        </w:tabs>
        <w:spacing w:before="28" w:line="360" w:lineRule="auto"/>
        <w:ind w:left="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lang w:val="en-US"/>
        </w:rPr>
        <w:t>7</w:t>
      </w:r>
      <w:r>
        <w:rPr>
          <w:rFonts w:asciiTheme="majorEastAsia" w:eastAsiaTheme="majorEastAsia" w:hAnsiTheme="majorEastAsia"/>
          <w:sz w:val="24"/>
          <w:szCs w:val="24"/>
        </w:rPr>
        <w:t>.1</w:t>
      </w:r>
      <w:r>
        <w:rPr>
          <w:rFonts w:asciiTheme="majorEastAsia" w:eastAsiaTheme="majorEastAsia" w:hAnsiTheme="majorEastAsia"/>
          <w:sz w:val="24"/>
          <w:szCs w:val="24"/>
        </w:rPr>
        <w:t>场外销售机构</w:t>
      </w:r>
    </w:p>
    <w:p w:rsidR="009478F5" w:rsidRDefault="002B053A">
      <w:pPr>
        <w:pStyle w:val="af0"/>
        <w:tabs>
          <w:tab w:val="left" w:pos="1595"/>
        </w:tabs>
        <w:spacing w:before="28" w:line="360" w:lineRule="auto"/>
        <w:ind w:left="0" w:firstLineChars="200" w:firstLine="480"/>
        <w:rPr>
          <w:rFonts w:asciiTheme="majorEastAsia" w:eastAsiaTheme="majorEastAsia" w:hAnsiTheme="majorEastAsia"/>
          <w:b/>
          <w:sz w:val="24"/>
          <w:szCs w:val="24"/>
        </w:rPr>
      </w:pPr>
      <w:r>
        <w:rPr>
          <w:rFonts w:asciiTheme="majorEastAsia" w:eastAsiaTheme="majorEastAsia" w:hAnsiTheme="majorEastAsia" w:hint="eastAsia"/>
          <w:sz w:val="24"/>
          <w:szCs w:val="24"/>
          <w:lang w:val="en-US"/>
        </w:rPr>
        <w:t>7</w:t>
      </w:r>
      <w:r>
        <w:rPr>
          <w:rFonts w:asciiTheme="majorEastAsia" w:eastAsiaTheme="majorEastAsia" w:hAnsiTheme="majorEastAsia"/>
          <w:sz w:val="24"/>
          <w:szCs w:val="24"/>
        </w:rPr>
        <w:t>.1.1</w:t>
      </w:r>
      <w:r>
        <w:rPr>
          <w:rFonts w:asciiTheme="majorEastAsia" w:eastAsiaTheme="majorEastAsia" w:hAnsiTheme="majorEastAsia"/>
          <w:sz w:val="24"/>
          <w:szCs w:val="24"/>
        </w:rPr>
        <w:t>直销机构</w:t>
      </w:r>
    </w:p>
    <w:p w:rsidR="009478F5" w:rsidRDefault="002B053A">
      <w:pPr>
        <w:widowControl/>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东兴基金管理有限公司直销柜台</w:t>
      </w:r>
    </w:p>
    <w:p w:rsidR="009478F5" w:rsidRDefault="002B053A">
      <w:pPr>
        <w:pStyle w:val="a4"/>
        <w:spacing w:before="16" w:line="360" w:lineRule="auto"/>
        <w:ind w:left="0" w:firstLineChars="200" w:firstLine="480"/>
        <w:jc w:val="both"/>
        <w:rPr>
          <w:rFonts w:asciiTheme="majorEastAsia" w:eastAsiaTheme="majorEastAsia" w:hAnsiTheme="majorEastAsia"/>
          <w:sz w:val="24"/>
          <w:szCs w:val="24"/>
        </w:rPr>
      </w:pPr>
      <w:r>
        <w:rPr>
          <w:rFonts w:asciiTheme="majorEastAsia" w:eastAsiaTheme="majorEastAsia" w:hAnsiTheme="majorEastAsia" w:hint="eastAsia"/>
          <w:sz w:val="24"/>
          <w:szCs w:val="24"/>
        </w:rPr>
        <w:t>办公地址：北京市西城区金融街街道新盛大厦</w:t>
      </w:r>
      <w:r>
        <w:rPr>
          <w:rFonts w:asciiTheme="majorEastAsia" w:eastAsiaTheme="majorEastAsia" w:hAnsiTheme="majorEastAsia" w:hint="eastAsia"/>
          <w:sz w:val="24"/>
          <w:szCs w:val="24"/>
        </w:rPr>
        <w:t>B</w:t>
      </w:r>
      <w:r>
        <w:rPr>
          <w:rFonts w:asciiTheme="majorEastAsia" w:eastAsiaTheme="majorEastAsia" w:hAnsiTheme="majorEastAsia" w:hint="eastAsia"/>
          <w:sz w:val="24"/>
          <w:szCs w:val="24"/>
        </w:rPr>
        <w:t>座</w:t>
      </w:r>
      <w:r>
        <w:rPr>
          <w:rFonts w:asciiTheme="majorEastAsia" w:eastAsiaTheme="majorEastAsia" w:hAnsiTheme="majorEastAsia" w:hint="eastAsia"/>
          <w:sz w:val="24"/>
          <w:szCs w:val="24"/>
        </w:rPr>
        <w:t>15</w:t>
      </w:r>
      <w:r>
        <w:rPr>
          <w:rFonts w:asciiTheme="majorEastAsia" w:eastAsiaTheme="majorEastAsia" w:hAnsiTheme="majorEastAsia" w:hint="eastAsia"/>
          <w:sz w:val="24"/>
          <w:szCs w:val="24"/>
        </w:rPr>
        <w:t>层</w:t>
      </w:r>
    </w:p>
    <w:p w:rsidR="009478F5" w:rsidRDefault="002B053A">
      <w:pPr>
        <w:pStyle w:val="a4"/>
        <w:spacing w:before="16" w:line="360" w:lineRule="auto"/>
        <w:ind w:left="0" w:firstLineChars="200" w:firstLine="480"/>
        <w:jc w:val="both"/>
        <w:rPr>
          <w:rFonts w:asciiTheme="majorEastAsia" w:eastAsiaTheme="majorEastAsia" w:hAnsiTheme="majorEastAsia"/>
          <w:sz w:val="24"/>
          <w:szCs w:val="24"/>
          <w:lang w:val="en-US"/>
        </w:rPr>
      </w:pPr>
      <w:r>
        <w:rPr>
          <w:rFonts w:asciiTheme="majorEastAsia" w:eastAsiaTheme="majorEastAsia" w:hAnsiTheme="majorEastAsia" w:hint="eastAsia"/>
          <w:sz w:val="24"/>
          <w:szCs w:val="24"/>
          <w:lang w:val="en-US"/>
        </w:rPr>
        <w:t>联系人：于婧</w:t>
      </w:r>
    </w:p>
    <w:p w:rsidR="009478F5" w:rsidRDefault="002B053A">
      <w:pPr>
        <w:pStyle w:val="a4"/>
        <w:spacing w:before="16" w:line="360" w:lineRule="auto"/>
        <w:ind w:left="0" w:firstLineChars="200" w:firstLine="480"/>
        <w:jc w:val="both"/>
        <w:rPr>
          <w:rFonts w:asciiTheme="majorEastAsia" w:eastAsiaTheme="majorEastAsia" w:hAnsiTheme="majorEastAsia"/>
          <w:sz w:val="24"/>
          <w:szCs w:val="24"/>
          <w:lang w:val="en-US"/>
        </w:rPr>
      </w:pPr>
      <w:r>
        <w:rPr>
          <w:rFonts w:asciiTheme="majorEastAsia" w:eastAsiaTheme="majorEastAsia" w:hAnsiTheme="majorEastAsia" w:hint="eastAsia"/>
          <w:sz w:val="24"/>
          <w:szCs w:val="24"/>
          <w:lang w:val="en-US"/>
        </w:rPr>
        <w:t>直销柜台电话：</w:t>
      </w:r>
      <w:r>
        <w:rPr>
          <w:rFonts w:asciiTheme="majorEastAsia" w:eastAsiaTheme="majorEastAsia" w:hAnsiTheme="majorEastAsia" w:hint="eastAsia"/>
          <w:sz w:val="24"/>
          <w:szCs w:val="24"/>
          <w:lang w:val="en-US"/>
        </w:rPr>
        <w:t>010-83770200</w:t>
      </w:r>
    </w:p>
    <w:p w:rsidR="009478F5" w:rsidRDefault="002B053A">
      <w:pPr>
        <w:pStyle w:val="a4"/>
        <w:spacing w:before="16" w:line="360" w:lineRule="auto"/>
        <w:ind w:left="0" w:firstLineChars="200" w:firstLine="480"/>
        <w:jc w:val="both"/>
        <w:rPr>
          <w:rFonts w:asciiTheme="majorEastAsia" w:eastAsiaTheme="majorEastAsia" w:hAnsiTheme="majorEastAsia"/>
          <w:sz w:val="24"/>
          <w:szCs w:val="24"/>
          <w:lang w:val="en-US"/>
        </w:rPr>
      </w:pPr>
      <w:r>
        <w:rPr>
          <w:rFonts w:asciiTheme="majorEastAsia" w:eastAsiaTheme="majorEastAsia" w:hAnsiTheme="majorEastAsia" w:hint="eastAsia"/>
          <w:sz w:val="24"/>
          <w:szCs w:val="24"/>
          <w:lang w:val="en-US"/>
        </w:rPr>
        <w:t>传真：</w:t>
      </w:r>
      <w:r>
        <w:rPr>
          <w:rFonts w:asciiTheme="majorEastAsia" w:eastAsiaTheme="majorEastAsia" w:hAnsiTheme="majorEastAsia" w:hint="eastAsia"/>
          <w:sz w:val="24"/>
          <w:szCs w:val="24"/>
          <w:lang w:val="en-US"/>
        </w:rPr>
        <w:t>010-83770111</w:t>
      </w:r>
    </w:p>
    <w:p w:rsidR="009478F5" w:rsidRDefault="002B053A">
      <w:pPr>
        <w:pStyle w:val="a4"/>
        <w:spacing w:before="16" w:line="360" w:lineRule="auto"/>
        <w:ind w:left="0" w:firstLineChars="200" w:firstLine="480"/>
        <w:jc w:val="both"/>
        <w:rPr>
          <w:rFonts w:asciiTheme="majorEastAsia" w:eastAsiaTheme="majorEastAsia" w:hAnsiTheme="majorEastAsia"/>
          <w:sz w:val="24"/>
          <w:szCs w:val="24"/>
          <w:lang w:val="en-US"/>
        </w:rPr>
      </w:pPr>
      <w:r>
        <w:rPr>
          <w:rFonts w:asciiTheme="majorEastAsia" w:eastAsiaTheme="majorEastAsia" w:hAnsiTheme="majorEastAsia" w:hint="eastAsia"/>
          <w:sz w:val="24"/>
          <w:szCs w:val="24"/>
          <w:lang w:val="en-US"/>
        </w:rPr>
        <w:t>公司网站：</w:t>
      </w:r>
      <w:r>
        <w:rPr>
          <w:rFonts w:asciiTheme="majorEastAsia" w:eastAsiaTheme="majorEastAsia" w:hAnsiTheme="majorEastAsia"/>
          <w:sz w:val="24"/>
          <w:szCs w:val="24"/>
          <w:lang w:val="en-US"/>
        </w:rPr>
        <w:t>www.dxamc.cn</w:t>
      </w:r>
    </w:p>
    <w:p w:rsidR="009478F5" w:rsidRDefault="002B053A">
      <w:pPr>
        <w:pStyle w:val="af0"/>
        <w:tabs>
          <w:tab w:val="left" w:pos="1595"/>
        </w:tabs>
        <w:spacing w:before="28" w:line="360" w:lineRule="auto"/>
        <w:ind w:left="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lang w:val="en-US"/>
        </w:rPr>
        <w:t>7</w:t>
      </w:r>
      <w:r>
        <w:rPr>
          <w:rFonts w:asciiTheme="majorEastAsia" w:eastAsiaTheme="majorEastAsia" w:hAnsiTheme="majorEastAsia"/>
          <w:sz w:val="24"/>
          <w:szCs w:val="24"/>
        </w:rPr>
        <w:t>.1.2</w:t>
      </w:r>
      <w:r>
        <w:rPr>
          <w:rFonts w:asciiTheme="majorEastAsia" w:eastAsiaTheme="majorEastAsia" w:hAnsiTheme="majorEastAsia"/>
          <w:sz w:val="24"/>
          <w:szCs w:val="24"/>
        </w:rPr>
        <w:t>场外非直销机构</w:t>
      </w:r>
    </w:p>
    <w:tbl>
      <w:tblPr>
        <w:tblW w:w="506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1173"/>
        <w:gridCol w:w="5513"/>
        <w:gridCol w:w="3057"/>
      </w:tblGrid>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b/>
                <w:spacing w:val="24"/>
                <w:sz w:val="24"/>
                <w:szCs w:val="24"/>
                <w:lang w:val="en-US"/>
              </w:rPr>
            </w:pPr>
            <w:r>
              <w:rPr>
                <w:rFonts w:asciiTheme="majorEastAsia" w:eastAsiaTheme="majorEastAsia" w:hAnsiTheme="majorEastAsia" w:hint="eastAsia"/>
                <w:b/>
                <w:spacing w:val="24"/>
                <w:sz w:val="24"/>
                <w:szCs w:val="24"/>
                <w:lang w:val="en-US"/>
              </w:rPr>
              <w:t>序号</w:t>
            </w:r>
          </w:p>
        </w:tc>
        <w:tc>
          <w:tcPr>
            <w:tcW w:w="2828" w:type="pct"/>
            <w:vAlign w:val="center"/>
          </w:tcPr>
          <w:p w:rsidR="009478F5" w:rsidRDefault="002B053A">
            <w:pPr>
              <w:spacing w:line="360" w:lineRule="auto"/>
              <w:jc w:val="center"/>
              <w:rPr>
                <w:rFonts w:asciiTheme="majorEastAsia" w:eastAsiaTheme="majorEastAsia" w:hAnsiTheme="majorEastAsia"/>
                <w:b/>
                <w:spacing w:val="24"/>
                <w:sz w:val="24"/>
                <w:szCs w:val="24"/>
                <w:lang w:val="en-US"/>
              </w:rPr>
            </w:pPr>
            <w:r>
              <w:rPr>
                <w:rFonts w:asciiTheme="majorEastAsia" w:eastAsiaTheme="majorEastAsia" w:hAnsiTheme="majorEastAsia" w:hint="eastAsia"/>
                <w:b/>
                <w:spacing w:val="24"/>
                <w:sz w:val="24"/>
                <w:szCs w:val="24"/>
                <w:lang w:val="en-US"/>
              </w:rPr>
              <w:t>代销机构</w:t>
            </w:r>
          </w:p>
        </w:tc>
        <w:tc>
          <w:tcPr>
            <w:tcW w:w="1569" w:type="pct"/>
            <w:vAlign w:val="center"/>
          </w:tcPr>
          <w:p w:rsidR="009478F5" w:rsidRDefault="002B053A">
            <w:pPr>
              <w:spacing w:line="360" w:lineRule="auto"/>
              <w:jc w:val="center"/>
              <w:rPr>
                <w:rFonts w:asciiTheme="majorEastAsia" w:eastAsiaTheme="majorEastAsia" w:hAnsiTheme="majorEastAsia"/>
                <w:b/>
                <w:spacing w:val="24"/>
                <w:sz w:val="24"/>
                <w:szCs w:val="24"/>
                <w:lang w:val="en-US"/>
              </w:rPr>
            </w:pPr>
            <w:r>
              <w:rPr>
                <w:rFonts w:asciiTheme="majorEastAsia" w:eastAsiaTheme="majorEastAsia" w:hAnsiTheme="majorEastAsia" w:hint="eastAsia"/>
                <w:b/>
                <w:spacing w:val="24"/>
                <w:sz w:val="24"/>
                <w:szCs w:val="24"/>
                <w:lang w:val="en-US"/>
              </w:rPr>
              <w:t>是否开通申赎</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1</w:t>
            </w:r>
          </w:p>
        </w:tc>
        <w:tc>
          <w:tcPr>
            <w:tcW w:w="2828" w:type="pct"/>
            <w:vAlign w:val="center"/>
          </w:tcPr>
          <w:p w:rsidR="009478F5" w:rsidRDefault="002B053A">
            <w:pPr>
              <w:widowControl/>
              <w:jc w:val="center"/>
              <w:textAlignment w:val="center"/>
              <w:rPr>
                <w:rFonts w:asciiTheme="majorEastAsia" w:eastAsiaTheme="majorEastAsia" w:hAnsiTheme="majorEastAsia"/>
                <w:color w:val="000000"/>
                <w:sz w:val="24"/>
                <w:szCs w:val="24"/>
                <w:lang w:val="en-US" w:bidi="ar-SA"/>
              </w:rPr>
            </w:pPr>
            <w:r>
              <w:rPr>
                <w:rFonts w:hint="eastAsia"/>
                <w:color w:val="000000"/>
                <w:lang w:val="en-US"/>
              </w:rPr>
              <w:t>北京肯特瑞</w:t>
            </w:r>
          </w:p>
        </w:tc>
        <w:tc>
          <w:tcPr>
            <w:tcW w:w="1569"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2</w:t>
            </w:r>
          </w:p>
        </w:tc>
        <w:tc>
          <w:tcPr>
            <w:tcW w:w="2828" w:type="pct"/>
            <w:vAlign w:val="center"/>
          </w:tcPr>
          <w:p w:rsidR="009478F5" w:rsidRDefault="002B053A">
            <w:pPr>
              <w:widowControl/>
              <w:jc w:val="center"/>
              <w:textAlignment w:val="center"/>
              <w:rPr>
                <w:rFonts w:asciiTheme="majorEastAsia" w:eastAsiaTheme="majorEastAsia" w:hAnsiTheme="majorEastAsia"/>
                <w:color w:val="000000"/>
                <w:sz w:val="24"/>
                <w:szCs w:val="24"/>
                <w:lang w:val="en-US" w:bidi="ar-SA"/>
              </w:rPr>
            </w:pPr>
            <w:r>
              <w:rPr>
                <w:rFonts w:hint="eastAsia"/>
                <w:color w:val="000000"/>
                <w:lang w:val="en-US"/>
              </w:rPr>
              <w:t>博时财富</w:t>
            </w:r>
          </w:p>
        </w:tc>
        <w:tc>
          <w:tcPr>
            <w:tcW w:w="1569"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3</w:t>
            </w:r>
          </w:p>
        </w:tc>
        <w:tc>
          <w:tcPr>
            <w:tcW w:w="2828" w:type="pct"/>
            <w:vAlign w:val="center"/>
          </w:tcPr>
          <w:p w:rsidR="009478F5" w:rsidRDefault="002B053A">
            <w:pPr>
              <w:widowControl/>
              <w:jc w:val="center"/>
              <w:textAlignment w:val="center"/>
              <w:rPr>
                <w:rFonts w:asciiTheme="majorEastAsia" w:eastAsiaTheme="majorEastAsia" w:hAnsiTheme="majorEastAsia"/>
                <w:color w:val="000000"/>
                <w:sz w:val="24"/>
                <w:szCs w:val="24"/>
                <w:lang w:val="en-US" w:bidi="ar-SA"/>
              </w:rPr>
            </w:pPr>
            <w:r>
              <w:rPr>
                <w:rFonts w:hint="eastAsia"/>
                <w:color w:val="000000"/>
                <w:lang w:val="en-US"/>
              </w:rPr>
              <w:t>大连银行</w:t>
            </w:r>
          </w:p>
        </w:tc>
        <w:tc>
          <w:tcPr>
            <w:tcW w:w="1569"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4</w:t>
            </w:r>
          </w:p>
        </w:tc>
        <w:tc>
          <w:tcPr>
            <w:tcW w:w="2828" w:type="pct"/>
            <w:vAlign w:val="center"/>
          </w:tcPr>
          <w:p w:rsidR="009478F5" w:rsidRDefault="002B053A">
            <w:pPr>
              <w:widowControl/>
              <w:jc w:val="center"/>
              <w:textAlignment w:val="center"/>
              <w:rPr>
                <w:rFonts w:asciiTheme="majorEastAsia" w:eastAsiaTheme="majorEastAsia" w:hAnsiTheme="majorEastAsia"/>
                <w:color w:val="000000"/>
                <w:sz w:val="24"/>
                <w:szCs w:val="24"/>
                <w:lang w:val="en-US" w:bidi="ar-SA"/>
              </w:rPr>
            </w:pPr>
            <w:r>
              <w:rPr>
                <w:rFonts w:hint="eastAsia"/>
                <w:color w:val="000000"/>
                <w:lang w:val="en-US"/>
              </w:rPr>
              <w:t>东兴</w:t>
            </w:r>
            <w:r>
              <w:rPr>
                <w:rFonts w:hint="eastAsia"/>
                <w:color w:val="000000"/>
                <w:lang w:val="en-US"/>
              </w:rPr>
              <w:t>证券</w:t>
            </w:r>
          </w:p>
        </w:tc>
        <w:tc>
          <w:tcPr>
            <w:tcW w:w="1569"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5</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spacing w:val="24"/>
                <w:sz w:val="24"/>
                <w:szCs w:val="24"/>
                <w:lang w:val="en-US"/>
              </w:rPr>
            </w:pPr>
            <w:r>
              <w:rPr>
                <w:rFonts w:hint="eastAsia"/>
                <w:color w:val="000000"/>
                <w:lang w:val="en-US"/>
              </w:rPr>
              <w:t>度小满</w:t>
            </w:r>
          </w:p>
        </w:tc>
        <w:tc>
          <w:tcPr>
            <w:tcW w:w="1569"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6</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spacing w:val="24"/>
                <w:sz w:val="24"/>
                <w:szCs w:val="24"/>
                <w:lang w:val="en-US"/>
              </w:rPr>
            </w:pPr>
            <w:r>
              <w:rPr>
                <w:rFonts w:hint="eastAsia"/>
                <w:color w:val="000000"/>
                <w:lang w:val="en-US"/>
              </w:rPr>
              <w:t>国信证券</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7</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spacing w:val="24"/>
                <w:sz w:val="24"/>
                <w:szCs w:val="24"/>
                <w:lang w:val="en-US"/>
              </w:rPr>
            </w:pPr>
            <w:r>
              <w:rPr>
                <w:rFonts w:hint="eastAsia"/>
                <w:color w:val="000000"/>
                <w:lang w:val="en-US"/>
              </w:rPr>
              <w:t>海通证券</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8</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spacing w:val="24"/>
                <w:sz w:val="24"/>
                <w:szCs w:val="24"/>
                <w:lang w:val="en-US"/>
              </w:rPr>
            </w:pPr>
            <w:r>
              <w:rPr>
                <w:rFonts w:hint="eastAsia"/>
                <w:color w:val="000000"/>
                <w:lang w:val="en-US"/>
              </w:rPr>
              <w:t>华西证券</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9</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spacing w:val="24"/>
                <w:sz w:val="24"/>
                <w:szCs w:val="24"/>
                <w:lang w:val="en-US"/>
              </w:rPr>
            </w:pPr>
            <w:r>
              <w:rPr>
                <w:rFonts w:hint="eastAsia"/>
                <w:color w:val="000000"/>
                <w:lang w:val="en-US"/>
              </w:rPr>
              <w:t>华夏财富</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10</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spacing w:val="24"/>
                <w:sz w:val="24"/>
                <w:szCs w:val="24"/>
                <w:lang w:val="en-US"/>
              </w:rPr>
            </w:pPr>
            <w:r>
              <w:rPr>
                <w:rFonts w:hint="eastAsia"/>
                <w:color w:val="000000"/>
                <w:lang w:val="en-US"/>
              </w:rPr>
              <w:t>汇成基金</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11</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spacing w:val="24"/>
                <w:sz w:val="24"/>
                <w:szCs w:val="24"/>
                <w:lang w:val="en-US"/>
              </w:rPr>
            </w:pPr>
            <w:r>
              <w:rPr>
                <w:rFonts w:hint="eastAsia"/>
                <w:color w:val="000000"/>
                <w:lang w:val="en-US"/>
              </w:rPr>
              <w:t>基煜基金</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12</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spacing w:val="24"/>
                <w:sz w:val="24"/>
                <w:szCs w:val="24"/>
                <w:lang w:val="en-US"/>
              </w:rPr>
            </w:pPr>
            <w:r>
              <w:rPr>
                <w:rFonts w:hint="eastAsia"/>
                <w:color w:val="000000"/>
                <w:lang w:val="en-US"/>
              </w:rPr>
              <w:t>济安财富</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13</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spacing w:val="24"/>
                <w:sz w:val="24"/>
                <w:szCs w:val="24"/>
                <w:lang w:val="en-US"/>
              </w:rPr>
            </w:pPr>
            <w:r>
              <w:rPr>
                <w:rFonts w:hint="eastAsia"/>
                <w:color w:val="000000"/>
                <w:lang w:val="en-US"/>
              </w:rPr>
              <w:t>嘉实财富</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14</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spacing w:val="24"/>
                <w:sz w:val="24"/>
                <w:szCs w:val="24"/>
                <w:lang w:val="en-US"/>
              </w:rPr>
            </w:pPr>
            <w:r>
              <w:rPr>
                <w:rFonts w:hint="eastAsia"/>
                <w:color w:val="000000"/>
                <w:lang w:val="en-US"/>
              </w:rPr>
              <w:t>江海证券</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15</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spacing w:val="24"/>
                <w:sz w:val="24"/>
                <w:szCs w:val="24"/>
                <w:lang w:val="en-US"/>
              </w:rPr>
            </w:pPr>
            <w:r>
              <w:rPr>
                <w:rFonts w:hint="eastAsia"/>
                <w:color w:val="000000"/>
                <w:lang w:val="en-US"/>
              </w:rPr>
              <w:t>利得基金</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16</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color w:val="000000"/>
                <w:sz w:val="24"/>
                <w:szCs w:val="24"/>
                <w:lang w:val="en-US"/>
              </w:rPr>
            </w:pPr>
            <w:r>
              <w:rPr>
                <w:rFonts w:hint="eastAsia"/>
                <w:color w:val="000000"/>
                <w:lang w:val="en-US"/>
              </w:rPr>
              <w:t>联泰资产</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17</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spacing w:val="24"/>
                <w:sz w:val="24"/>
                <w:szCs w:val="24"/>
                <w:lang w:val="en-US"/>
              </w:rPr>
            </w:pPr>
            <w:r>
              <w:rPr>
                <w:rFonts w:hint="eastAsia"/>
                <w:color w:val="000000"/>
                <w:lang w:val="en-US"/>
              </w:rPr>
              <w:t>陆金所</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18</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spacing w:val="24"/>
                <w:sz w:val="24"/>
                <w:szCs w:val="24"/>
                <w:lang w:val="en-US"/>
              </w:rPr>
            </w:pPr>
            <w:r>
              <w:rPr>
                <w:rFonts w:hint="eastAsia"/>
                <w:color w:val="000000"/>
                <w:lang w:val="en-US"/>
              </w:rPr>
              <w:t>蚂蚁基金</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19</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spacing w:val="24"/>
                <w:sz w:val="24"/>
                <w:szCs w:val="24"/>
                <w:lang w:val="en-US"/>
              </w:rPr>
            </w:pPr>
            <w:r>
              <w:rPr>
                <w:rFonts w:hint="eastAsia"/>
                <w:color w:val="000000"/>
                <w:lang w:val="en-US"/>
              </w:rPr>
              <w:t>上海好买基金</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20</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spacing w:val="24"/>
                <w:sz w:val="24"/>
                <w:szCs w:val="24"/>
                <w:lang w:val="en-US"/>
              </w:rPr>
            </w:pPr>
            <w:r>
              <w:rPr>
                <w:rFonts w:hint="eastAsia"/>
                <w:color w:val="000000"/>
                <w:lang w:val="en-US"/>
              </w:rPr>
              <w:t>上海天天基金</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21</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spacing w:val="24"/>
                <w:sz w:val="24"/>
                <w:szCs w:val="24"/>
                <w:lang w:val="en-US"/>
              </w:rPr>
            </w:pPr>
            <w:r>
              <w:rPr>
                <w:rFonts w:hint="eastAsia"/>
                <w:color w:val="000000"/>
                <w:lang w:val="en-US"/>
              </w:rPr>
              <w:t>泰信财富</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22</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spacing w:val="24"/>
                <w:sz w:val="24"/>
                <w:szCs w:val="24"/>
                <w:lang w:val="en-US"/>
              </w:rPr>
            </w:pPr>
            <w:r>
              <w:rPr>
                <w:rFonts w:hint="eastAsia"/>
                <w:color w:val="000000"/>
                <w:lang w:val="en-US"/>
              </w:rPr>
              <w:t>同花顺</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23</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spacing w:val="24"/>
                <w:sz w:val="24"/>
                <w:szCs w:val="24"/>
                <w:lang w:val="en-US"/>
              </w:rPr>
            </w:pPr>
            <w:r>
              <w:rPr>
                <w:rFonts w:hint="eastAsia"/>
                <w:color w:val="000000"/>
                <w:lang w:val="en-US"/>
              </w:rPr>
              <w:t>兴业银行</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24</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spacing w:val="24"/>
                <w:sz w:val="24"/>
                <w:szCs w:val="24"/>
                <w:lang w:val="en-US"/>
              </w:rPr>
            </w:pPr>
            <w:r>
              <w:rPr>
                <w:rFonts w:hint="eastAsia"/>
                <w:color w:val="000000"/>
                <w:lang w:val="en-US"/>
              </w:rPr>
              <w:t>雪球基金</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25</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spacing w:val="24"/>
                <w:sz w:val="24"/>
                <w:szCs w:val="24"/>
                <w:lang w:val="en-US"/>
              </w:rPr>
            </w:pPr>
            <w:r>
              <w:rPr>
                <w:rFonts w:hint="eastAsia"/>
                <w:color w:val="000000"/>
                <w:lang w:val="en-US"/>
              </w:rPr>
              <w:t>阳光人寿</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26</w:t>
            </w:r>
          </w:p>
        </w:tc>
        <w:tc>
          <w:tcPr>
            <w:tcW w:w="2828" w:type="pct"/>
            <w:shd w:val="clear" w:color="auto" w:fill="auto"/>
            <w:vAlign w:val="center"/>
          </w:tcPr>
          <w:p w:rsidR="009478F5" w:rsidRDefault="002B053A">
            <w:pPr>
              <w:widowControl/>
              <w:jc w:val="center"/>
              <w:textAlignment w:val="center"/>
              <w:rPr>
                <w:rFonts w:asciiTheme="majorEastAsia" w:eastAsiaTheme="majorEastAsia" w:hAnsiTheme="majorEastAsia"/>
                <w:spacing w:val="24"/>
                <w:sz w:val="24"/>
                <w:szCs w:val="24"/>
                <w:lang w:val="en-US"/>
              </w:rPr>
            </w:pPr>
            <w:r>
              <w:rPr>
                <w:rFonts w:hint="eastAsia"/>
                <w:color w:val="000000"/>
                <w:lang w:val="en-US"/>
              </w:rPr>
              <w:t>盈米财富</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27</w:t>
            </w:r>
          </w:p>
        </w:tc>
        <w:tc>
          <w:tcPr>
            <w:tcW w:w="2828" w:type="pct"/>
            <w:shd w:val="clear" w:color="auto" w:fill="auto"/>
            <w:vAlign w:val="center"/>
          </w:tcPr>
          <w:p w:rsidR="009478F5" w:rsidRDefault="002B053A">
            <w:pPr>
              <w:widowControl/>
              <w:jc w:val="center"/>
              <w:textAlignment w:val="center"/>
              <w:rPr>
                <w:color w:val="000000"/>
                <w:lang w:val="en-US"/>
              </w:rPr>
            </w:pPr>
            <w:r>
              <w:rPr>
                <w:rFonts w:hint="eastAsia"/>
                <w:color w:val="000000"/>
                <w:lang w:val="en-US"/>
              </w:rPr>
              <w:t>云湾基金</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hint="eastAsia"/>
                <w:spacing w:val="24"/>
                <w:sz w:val="24"/>
                <w:szCs w:val="24"/>
                <w:lang w:val="en-US"/>
              </w:rPr>
              <w:t>28</w:t>
            </w:r>
          </w:p>
        </w:tc>
        <w:tc>
          <w:tcPr>
            <w:tcW w:w="2828" w:type="pct"/>
            <w:shd w:val="clear" w:color="auto" w:fill="auto"/>
            <w:vAlign w:val="center"/>
          </w:tcPr>
          <w:p w:rsidR="009478F5" w:rsidRDefault="002B053A">
            <w:pPr>
              <w:widowControl/>
              <w:jc w:val="center"/>
              <w:textAlignment w:val="center"/>
              <w:rPr>
                <w:color w:val="000000"/>
                <w:lang w:val="en-US"/>
              </w:rPr>
            </w:pPr>
            <w:r>
              <w:rPr>
                <w:rFonts w:hint="eastAsia"/>
                <w:color w:val="000000"/>
                <w:lang w:val="en-US"/>
              </w:rPr>
              <w:t>中金财富证券</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hint="eastAsia"/>
                <w:spacing w:val="24"/>
                <w:sz w:val="24"/>
                <w:szCs w:val="24"/>
                <w:lang w:val="en-US"/>
              </w:rPr>
              <w:t>29</w:t>
            </w:r>
          </w:p>
        </w:tc>
        <w:tc>
          <w:tcPr>
            <w:tcW w:w="2828" w:type="pct"/>
            <w:shd w:val="clear" w:color="auto" w:fill="auto"/>
            <w:vAlign w:val="center"/>
          </w:tcPr>
          <w:p w:rsidR="009478F5" w:rsidRDefault="002B053A">
            <w:pPr>
              <w:widowControl/>
              <w:jc w:val="center"/>
              <w:textAlignment w:val="center"/>
              <w:rPr>
                <w:color w:val="000000"/>
                <w:lang w:val="en-US"/>
              </w:rPr>
            </w:pPr>
            <w:r>
              <w:rPr>
                <w:rFonts w:hint="eastAsia"/>
                <w:color w:val="000000"/>
                <w:lang w:val="en-US"/>
              </w:rPr>
              <w:t>中欧财富</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r w:rsidR="009478F5">
        <w:trPr>
          <w:trHeight w:val="480"/>
        </w:trPr>
        <w:tc>
          <w:tcPr>
            <w:tcW w:w="602" w:type="pct"/>
            <w:vAlign w:val="center"/>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hint="eastAsia"/>
                <w:spacing w:val="24"/>
                <w:sz w:val="24"/>
                <w:szCs w:val="24"/>
                <w:lang w:val="en-US"/>
              </w:rPr>
              <w:t>30</w:t>
            </w:r>
          </w:p>
        </w:tc>
        <w:tc>
          <w:tcPr>
            <w:tcW w:w="2828" w:type="pct"/>
            <w:shd w:val="clear" w:color="auto" w:fill="auto"/>
            <w:vAlign w:val="center"/>
          </w:tcPr>
          <w:p w:rsidR="009478F5" w:rsidRDefault="002B053A">
            <w:pPr>
              <w:widowControl/>
              <w:jc w:val="center"/>
              <w:textAlignment w:val="center"/>
              <w:rPr>
                <w:color w:val="000000"/>
                <w:lang w:val="en-US"/>
              </w:rPr>
            </w:pPr>
            <w:r>
              <w:rPr>
                <w:rFonts w:hint="eastAsia"/>
                <w:color w:val="000000"/>
                <w:lang w:val="en-US"/>
              </w:rPr>
              <w:t>中泰证券</w:t>
            </w:r>
          </w:p>
        </w:tc>
        <w:tc>
          <w:tcPr>
            <w:tcW w:w="1569" w:type="pct"/>
          </w:tcPr>
          <w:p w:rsidR="009478F5" w:rsidRDefault="002B053A">
            <w:pPr>
              <w:spacing w:line="360" w:lineRule="auto"/>
              <w:jc w:val="center"/>
              <w:rPr>
                <w:rFonts w:asciiTheme="majorEastAsia" w:eastAsiaTheme="majorEastAsia" w:hAnsiTheme="majorEastAsia"/>
                <w:spacing w:val="24"/>
                <w:sz w:val="24"/>
                <w:szCs w:val="24"/>
                <w:lang w:val="en-US"/>
              </w:rPr>
            </w:pPr>
            <w:r>
              <w:rPr>
                <w:rFonts w:asciiTheme="majorEastAsia" w:eastAsiaTheme="majorEastAsia" w:hAnsiTheme="majorEastAsia"/>
                <w:spacing w:val="24"/>
                <w:sz w:val="24"/>
                <w:szCs w:val="24"/>
                <w:lang w:val="en-US"/>
              </w:rPr>
              <w:t>√</w:t>
            </w:r>
          </w:p>
        </w:tc>
      </w:tr>
    </w:tbl>
    <w:p w:rsidR="009478F5" w:rsidRDefault="002B053A" w:rsidP="002B053A">
      <w:pPr>
        <w:pStyle w:val="af0"/>
        <w:spacing w:beforeLines="50" w:afterLines="50" w:line="360" w:lineRule="auto"/>
        <w:ind w:left="0" w:firstLine="425"/>
        <w:rPr>
          <w:rFonts w:asciiTheme="majorEastAsia" w:eastAsiaTheme="majorEastAsia" w:hAnsiTheme="majorEastAsia"/>
          <w:sz w:val="24"/>
          <w:szCs w:val="24"/>
          <w:lang w:val="en-US"/>
        </w:rPr>
        <w:pPrChange w:id="7" w:author="ZHONGM" w:date="2024-08-30T00:03:00Z">
          <w:pPr>
            <w:pStyle w:val="af0"/>
            <w:spacing w:beforeLines="50" w:afterLines="50" w:line="360" w:lineRule="auto"/>
            <w:ind w:left="0" w:firstLine="425"/>
          </w:pPr>
        </w:pPrChange>
      </w:pPr>
      <w:r>
        <w:rPr>
          <w:rFonts w:asciiTheme="majorEastAsia" w:eastAsiaTheme="majorEastAsia" w:hAnsiTheme="majorEastAsia" w:hint="eastAsia"/>
          <w:sz w:val="24"/>
          <w:szCs w:val="24"/>
          <w:lang w:val="en-US"/>
        </w:rPr>
        <w:t>本公司可针对本基金代销机构进行增减，投资者可留意相关信息或拨打客服电话进行查询。各代销机构可办理的基金业务类型及具体业务办理状况遵循其各自规定执行。</w:t>
      </w:r>
    </w:p>
    <w:p w:rsidR="009478F5" w:rsidRDefault="002B053A" w:rsidP="002B053A">
      <w:pPr>
        <w:pStyle w:val="af0"/>
        <w:spacing w:beforeLines="50" w:afterLines="50"/>
        <w:ind w:left="352" w:hanging="352"/>
        <w:rPr>
          <w:rFonts w:asciiTheme="majorEastAsia" w:eastAsiaTheme="majorEastAsia" w:hAnsiTheme="majorEastAsia"/>
          <w:b/>
          <w:sz w:val="24"/>
          <w:szCs w:val="24"/>
        </w:rPr>
        <w:pPrChange w:id="8" w:author="ZHONGM" w:date="2024-08-30T00:03:00Z">
          <w:pPr>
            <w:pStyle w:val="af0"/>
            <w:spacing w:beforeLines="50" w:afterLines="50"/>
            <w:ind w:left="352" w:hanging="352"/>
          </w:pPr>
        </w:pPrChange>
      </w:pPr>
      <w:r>
        <w:rPr>
          <w:rFonts w:asciiTheme="majorEastAsia" w:eastAsiaTheme="majorEastAsia" w:hAnsiTheme="majorEastAsia" w:hint="eastAsia"/>
          <w:b/>
          <w:sz w:val="24"/>
          <w:szCs w:val="24"/>
          <w:lang w:val="en-US"/>
        </w:rPr>
        <w:t>8</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基金份额净值公告</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基金收益公告的披露安排</w:t>
      </w:r>
    </w:p>
    <w:p w:rsidR="009478F5" w:rsidRDefault="002B053A">
      <w:pPr>
        <w:pStyle w:val="a4"/>
        <w:spacing w:before="16" w:line="360" w:lineRule="auto"/>
        <w:ind w:left="0" w:firstLineChars="200" w:firstLine="480"/>
        <w:jc w:val="both"/>
        <w:rPr>
          <w:rFonts w:asciiTheme="majorEastAsia" w:eastAsiaTheme="majorEastAsia" w:hAnsiTheme="majorEastAsia"/>
          <w:sz w:val="24"/>
          <w:szCs w:val="24"/>
          <w:lang w:val="en-US"/>
        </w:rPr>
      </w:pPr>
      <w:r>
        <w:rPr>
          <w:rFonts w:asciiTheme="majorEastAsia" w:eastAsiaTheme="majorEastAsia" w:hAnsiTheme="majorEastAsia" w:hint="eastAsia"/>
          <w:sz w:val="24"/>
          <w:szCs w:val="24"/>
          <w:lang w:val="en-US"/>
        </w:rPr>
        <w:t>在开始办理基金份额申购或者赎回后，基金管理人应当在不晚于每个开放日的次日，通过规定网站、基金销售机构网站或者营业网点披露开放日各类基金份额的基金份额净值和基金份额累计净值。</w:t>
      </w:r>
    </w:p>
    <w:p w:rsidR="009478F5" w:rsidRDefault="002B053A">
      <w:pPr>
        <w:pStyle w:val="a4"/>
        <w:spacing w:before="16" w:line="360" w:lineRule="auto"/>
        <w:ind w:left="0" w:firstLineChars="200" w:firstLine="480"/>
        <w:jc w:val="both"/>
        <w:rPr>
          <w:rFonts w:asciiTheme="majorEastAsia" w:eastAsiaTheme="majorEastAsia" w:hAnsiTheme="majorEastAsia"/>
          <w:sz w:val="24"/>
          <w:szCs w:val="24"/>
          <w:lang w:val="en-US"/>
        </w:rPr>
      </w:pPr>
      <w:r>
        <w:rPr>
          <w:rFonts w:asciiTheme="majorEastAsia" w:eastAsiaTheme="majorEastAsia" w:hAnsiTheme="majorEastAsia" w:hint="eastAsia"/>
          <w:sz w:val="24"/>
          <w:szCs w:val="24"/>
          <w:lang w:val="en-US"/>
        </w:rPr>
        <w:t>基金管理人应当在不晚于半年度和年度最后一日的次日，在指定网站披露半年度和年度最后一日的基金份额净值和基金份额累计净值。</w:t>
      </w:r>
    </w:p>
    <w:p w:rsidR="009478F5" w:rsidRDefault="002B053A" w:rsidP="002B053A">
      <w:pPr>
        <w:pStyle w:val="af0"/>
        <w:spacing w:beforeLines="50" w:afterLines="50"/>
        <w:ind w:left="352" w:hanging="352"/>
        <w:rPr>
          <w:rFonts w:asciiTheme="majorEastAsia" w:eastAsiaTheme="majorEastAsia" w:hAnsiTheme="majorEastAsia"/>
          <w:b/>
          <w:sz w:val="24"/>
          <w:szCs w:val="24"/>
        </w:rPr>
        <w:pPrChange w:id="9" w:author="ZHONGM" w:date="2024-08-30T00:03:00Z">
          <w:pPr>
            <w:pStyle w:val="af0"/>
            <w:spacing w:beforeLines="50" w:afterLines="50"/>
            <w:ind w:left="352" w:hanging="352"/>
          </w:pPr>
        </w:pPrChange>
      </w:pPr>
      <w:r>
        <w:rPr>
          <w:rFonts w:asciiTheme="majorEastAsia" w:eastAsiaTheme="majorEastAsia" w:hAnsiTheme="majorEastAsia" w:hint="eastAsia"/>
          <w:b/>
          <w:sz w:val="24"/>
          <w:szCs w:val="24"/>
          <w:lang w:val="en-US"/>
        </w:rPr>
        <w:t>9</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其他需要提示的事项</w:t>
      </w:r>
    </w:p>
    <w:p w:rsidR="009478F5" w:rsidRDefault="002B053A">
      <w:pPr>
        <w:pStyle w:val="a4"/>
        <w:spacing w:before="16" w:line="360" w:lineRule="auto"/>
        <w:ind w:left="0" w:firstLineChars="200" w:firstLine="480"/>
        <w:jc w:val="both"/>
        <w:rPr>
          <w:rFonts w:asciiTheme="majorEastAsia" w:eastAsiaTheme="majorEastAsia" w:hAnsiTheme="majorEastAsia"/>
          <w:sz w:val="24"/>
          <w:szCs w:val="24"/>
          <w:lang w:val="en-US"/>
        </w:rPr>
      </w:pPr>
      <w:r>
        <w:rPr>
          <w:rFonts w:asciiTheme="majorEastAsia" w:eastAsiaTheme="majorEastAsia" w:hAnsiTheme="majorEastAsia" w:hint="eastAsia"/>
          <w:sz w:val="24"/>
          <w:szCs w:val="24"/>
          <w:lang w:val="en-US"/>
        </w:rPr>
        <w:t>（</w:t>
      </w:r>
      <w:r>
        <w:rPr>
          <w:rFonts w:asciiTheme="majorEastAsia" w:eastAsiaTheme="majorEastAsia" w:hAnsiTheme="majorEastAsia"/>
          <w:sz w:val="24"/>
          <w:szCs w:val="24"/>
          <w:lang w:val="en-US"/>
        </w:rPr>
        <w:t>1</w:t>
      </w:r>
      <w:r>
        <w:rPr>
          <w:rFonts w:asciiTheme="majorEastAsia" w:eastAsiaTheme="majorEastAsia" w:hAnsiTheme="majorEastAsia" w:hint="eastAsia"/>
          <w:sz w:val="24"/>
          <w:szCs w:val="24"/>
          <w:lang w:val="en-US"/>
        </w:rPr>
        <w:t>）本公告仅对本基金本次办理申购、赎回、转换转入和定期定额投资业务相关事项予以说明。投资者欲了解本基金的详细情况，可于本基金管理人网站或相关代销机构查阅本基金相关法律文件及资料。本公告的解释权</w:t>
      </w:r>
      <w:r>
        <w:rPr>
          <w:rFonts w:asciiTheme="majorEastAsia" w:eastAsiaTheme="majorEastAsia" w:hAnsiTheme="majorEastAsia" w:hint="eastAsia"/>
          <w:sz w:val="24"/>
          <w:szCs w:val="24"/>
          <w:lang w:val="en-US"/>
        </w:rPr>
        <w:t>归本公司所有。</w:t>
      </w:r>
    </w:p>
    <w:p w:rsidR="009478F5" w:rsidRDefault="002B053A">
      <w:pPr>
        <w:pStyle w:val="a4"/>
        <w:spacing w:before="16" w:line="360" w:lineRule="auto"/>
        <w:ind w:left="0" w:firstLineChars="200" w:firstLine="482"/>
        <w:jc w:val="both"/>
        <w:rPr>
          <w:rFonts w:asciiTheme="majorEastAsia" w:eastAsiaTheme="majorEastAsia" w:hAnsiTheme="majorEastAsia"/>
          <w:b/>
          <w:sz w:val="24"/>
          <w:szCs w:val="24"/>
          <w:lang w:val="en-US"/>
        </w:rPr>
      </w:pPr>
      <w:r>
        <w:rPr>
          <w:rFonts w:asciiTheme="majorEastAsia" w:eastAsiaTheme="majorEastAsia" w:hAnsiTheme="majorEastAsia"/>
          <w:b/>
          <w:sz w:val="24"/>
          <w:szCs w:val="24"/>
          <w:lang w:val="en-US"/>
        </w:rPr>
        <w:t>（</w:t>
      </w:r>
      <w:r>
        <w:rPr>
          <w:rFonts w:asciiTheme="majorEastAsia" w:eastAsiaTheme="majorEastAsia" w:hAnsiTheme="majorEastAsia"/>
          <w:b/>
          <w:sz w:val="24"/>
          <w:szCs w:val="24"/>
          <w:lang w:val="en-US"/>
        </w:rPr>
        <w:t>2</w:t>
      </w:r>
      <w:r>
        <w:rPr>
          <w:rFonts w:asciiTheme="majorEastAsia" w:eastAsiaTheme="majorEastAsia" w:hAnsiTheme="majorEastAsia"/>
          <w:b/>
          <w:sz w:val="24"/>
          <w:szCs w:val="24"/>
          <w:lang w:val="en-US"/>
        </w:rPr>
        <w:t>）</w:t>
      </w:r>
      <w:r>
        <w:rPr>
          <w:rFonts w:asciiTheme="majorEastAsia" w:eastAsiaTheme="majorEastAsia" w:hAnsiTheme="majorEastAsia" w:hint="eastAsia"/>
          <w:b/>
          <w:sz w:val="24"/>
          <w:szCs w:val="24"/>
          <w:lang w:val="en-US"/>
        </w:rPr>
        <w:t>风险提示：</w:t>
      </w:r>
    </w:p>
    <w:p w:rsidR="009478F5" w:rsidRDefault="002B053A">
      <w:pPr>
        <w:pStyle w:val="a4"/>
        <w:spacing w:before="16" w:line="360" w:lineRule="auto"/>
        <w:ind w:left="0" w:firstLineChars="196" w:firstLine="472"/>
        <w:jc w:val="both"/>
        <w:rPr>
          <w:rFonts w:asciiTheme="majorEastAsia" w:eastAsiaTheme="majorEastAsia" w:hAnsiTheme="majorEastAsia"/>
          <w:b/>
          <w:sz w:val="24"/>
          <w:szCs w:val="24"/>
          <w:lang w:val="en-US"/>
        </w:rPr>
      </w:pPr>
      <w:r>
        <w:rPr>
          <w:rFonts w:asciiTheme="majorEastAsia" w:eastAsiaTheme="majorEastAsia" w:hAnsiTheme="majorEastAsia" w:hint="eastAsia"/>
          <w:b/>
          <w:sz w:val="24"/>
          <w:szCs w:val="24"/>
          <w:lang w:val="en-US"/>
        </w:rPr>
        <w:t>本公司承诺诚实信用地管理和运用基金财产，但不保证基金一定盈利，也不保证最低收益。基金的过往业绩并不代表其未来表现。投资有风险，敬请投资人认真阅读基金的相关法律文件，并选择适合自身风险承受能力的投资品种进行投资。</w:t>
      </w:r>
    </w:p>
    <w:p w:rsidR="009478F5" w:rsidRDefault="002B053A">
      <w:pPr>
        <w:pStyle w:val="a4"/>
        <w:spacing w:before="10" w:line="360" w:lineRule="auto"/>
        <w:ind w:left="0" w:firstLineChars="300" w:firstLine="720"/>
        <w:rPr>
          <w:rFonts w:asciiTheme="majorEastAsia" w:eastAsiaTheme="majorEastAsia" w:hAnsiTheme="majorEastAsia"/>
          <w:sz w:val="24"/>
          <w:szCs w:val="24"/>
        </w:rPr>
      </w:pPr>
      <w:r>
        <w:rPr>
          <w:rFonts w:asciiTheme="majorEastAsia" w:eastAsiaTheme="majorEastAsia" w:hAnsiTheme="majorEastAsia"/>
          <w:sz w:val="24"/>
          <w:szCs w:val="24"/>
        </w:rPr>
        <w:t>特此公告。</w:t>
      </w:r>
    </w:p>
    <w:p w:rsidR="009478F5" w:rsidRDefault="009478F5">
      <w:pPr>
        <w:pStyle w:val="a4"/>
        <w:spacing w:line="360" w:lineRule="auto"/>
        <w:ind w:left="0"/>
        <w:rPr>
          <w:rFonts w:asciiTheme="majorEastAsia" w:eastAsiaTheme="majorEastAsia" w:hAnsiTheme="majorEastAsia"/>
          <w:sz w:val="24"/>
          <w:szCs w:val="24"/>
        </w:rPr>
      </w:pPr>
    </w:p>
    <w:p w:rsidR="009478F5" w:rsidRDefault="009478F5">
      <w:pPr>
        <w:pStyle w:val="a4"/>
        <w:spacing w:before="3" w:line="360" w:lineRule="auto"/>
        <w:ind w:left="0"/>
        <w:rPr>
          <w:rFonts w:asciiTheme="majorEastAsia" w:eastAsiaTheme="majorEastAsia" w:hAnsiTheme="majorEastAsia"/>
          <w:sz w:val="24"/>
          <w:szCs w:val="24"/>
        </w:rPr>
      </w:pPr>
    </w:p>
    <w:p w:rsidR="009478F5" w:rsidRDefault="002B053A">
      <w:pPr>
        <w:pStyle w:val="a4"/>
        <w:spacing w:line="360" w:lineRule="auto"/>
        <w:ind w:left="0" w:right="636"/>
        <w:jc w:val="right"/>
        <w:rPr>
          <w:rFonts w:asciiTheme="majorEastAsia" w:eastAsiaTheme="majorEastAsia" w:hAnsiTheme="majorEastAsia"/>
          <w:sz w:val="24"/>
          <w:szCs w:val="24"/>
        </w:rPr>
      </w:pPr>
      <w:r>
        <w:rPr>
          <w:rFonts w:asciiTheme="majorEastAsia" w:eastAsiaTheme="majorEastAsia" w:hAnsiTheme="majorEastAsia" w:hint="eastAsia"/>
          <w:sz w:val="24"/>
          <w:szCs w:val="24"/>
          <w:lang w:val="en-US"/>
        </w:rPr>
        <w:t>东兴基金管理有限公司</w:t>
      </w:r>
    </w:p>
    <w:p w:rsidR="009478F5" w:rsidRDefault="002B053A">
      <w:pPr>
        <w:pStyle w:val="a4"/>
        <w:spacing w:before="171" w:line="360" w:lineRule="auto"/>
        <w:ind w:left="0" w:right="635"/>
        <w:jc w:val="right"/>
        <w:rPr>
          <w:rFonts w:asciiTheme="majorEastAsia" w:eastAsiaTheme="majorEastAsia" w:hAnsiTheme="majorEastAsia"/>
          <w:sz w:val="24"/>
          <w:szCs w:val="24"/>
        </w:rPr>
      </w:pPr>
      <w:r>
        <w:rPr>
          <w:rFonts w:asciiTheme="majorEastAsia" w:eastAsiaTheme="majorEastAsia" w:hAnsiTheme="majorEastAsia"/>
          <w:sz w:val="24"/>
          <w:szCs w:val="24"/>
          <w:lang w:val="en-US"/>
        </w:rPr>
        <w:t>202</w:t>
      </w:r>
      <w:r>
        <w:rPr>
          <w:rFonts w:asciiTheme="majorEastAsia" w:eastAsiaTheme="majorEastAsia" w:hAnsiTheme="majorEastAsia" w:hint="eastAsia"/>
          <w:sz w:val="24"/>
          <w:szCs w:val="24"/>
          <w:lang w:val="en-US"/>
        </w:rPr>
        <w:t>4</w:t>
      </w:r>
      <w:r>
        <w:rPr>
          <w:rFonts w:asciiTheme="majorEastAsia" w:eastAsiaTheme="majorEastAsia" w:hAnsiTheme="majorEastAsia"/>
          <w:sz w:val="24"/>
          <w:szCs w:val="24"/>
          <w:lang w:val="en-US"/>
        </w:rPr>
        <w:t>年</w:t>
      </w:r>
      <w:r>
        <w:rPr>
          <w:rFonts w:asciiTheme="majorEastAsia" w:eastAsiaTheme="majorEastAsia" w:hAnsiTheme="majorEastAsia"/>
          <w:sz w:val="24"/>
          <w:szCs w:val="24"/>
          <w:lang w:val="en-US"/>
        </w:rPr>
        <w:t>0</w:t>
      </w:r>
      <w:r>
        <w:rPr>
          <w:rFonts w:asciiTheme="majorEastAsia" w:eastAsiaTheme="majorEastAsia" w:hAnsiTheme="majorEastAsia" w:hint="eastAsia"/>
          <w:sz w:val="24"/>
          <w:szCs w:val="24"/>
          <w:lang w:val="en-US"/>
        </w:rPr>
        <w:t>8</w:t>
      </w:r>
      <w:r>
        <w:rPr>
          <w:rFonts w:asciiTheme="majorEastAsia" w:eastAsiaTheme="majorEastAsia" w:hAnsiTheme="majorEastAsia"/>
          <w:sz w:val="24"/>
          <w:szCs w:val="24"/>
          <w:lang w:val="en-US"/>
        </w:rPr>
        <w:t>月</w:t>
      </w:r>
      <w:r>
        <w:rPr>
          <w:rFonts w:asciiTheme="majorEastAsia" w:eastAsiaTheme="majorEastAsia" w:hAnsiTheme="majorEastAsia" w:hint="eastAsia"/>
          <w:sz w:val="24"/>
          <w:szCs w:val="24"/>
          <w:lang w:val="en-US"/>
        </w:rPr>
        <w:t>30</w:t>
      </w:r>
      <w:r>
        <w:rPr>
          <w:rFonts w:asciiTheme="majorEastAsia" w:eastAsiaTheme="majorEastAsia" w:hAnsiTheme="majorEastAsia" w:hint="eastAsia"/>
          <w:sz w:val="24"/>
          <w:szCs w:val="24"/>
          <w:lang w:val="en-US"/>
        </w:rPr>
        <w:t>日</w:t>
      </w:r>
    </w:p>
    <w:sectPr w:rsidR="009478F5" w:rsidSect="009478F5">
      <w:headerReference w:type="default" r:id="rId8"/>
      <w:footerReference w:type="default" r:id="rId9"/>
      <w:pgSz w:w="11910" w:h="16840"/>
      <w:pgMar w:top="1360" w:right="1160" w:bottom="1180" w:left="1160" w:header="850" w:footer="99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8F5" w:rsidRDefault="009478F5" w:rsidP="009478F5">
      <w:r>
        <w:separator/>
      </w:r>
    </w:p>
  </w:endnote>
  <w:endnote w:type="continuationSeparator" w:id="0">
    <w:p w:rsidR="009478F5" w:rsidRDefault="009478F5" w:rsidP="00947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Microsoft JhengHei">
    <w:charset w:val="88"/>
    <w:family w:val="swiss"/>
    <w:pitch w:val="default"/>
    <w:sig w:usb0="000002A7" w:usb1="28CF4400" w:usb2="00000016" w:usb3="00000000" w:csb0="00100009"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06695"/>
    </w:sdtPr>
    <w:sdtContent>
      <w:p w:rsidR="009478F5" w:rsidRDefault="002B053A">
        <w:pPr>
          <w:pStyle w:val="a7"/>
          <w:jc w:val="center"/>
        </w:pPr>
        <w:r>
          <w:t>第</w:t>
        </w:r>
        <w:r w:rsidR="009478F5">
          <w:fldChar w:fldCharType="begin"/>
        </w:r>
        <w:r>
          <w:instrText xml:space="preserve"> PAGE  \* Arabic  \* MERGEFORMAT </w:instrText>
        </w:r>
        <w:r w:rsidR="009478F5">
          <w:fldChar w:fldCharType="separate"/>
        </w:r>
        <w:r>
          <w:rPr>
            <w:noProof/>
          </w:rPr>
          <w:t>1</w:t>
        </w:r>
        <w:r w:rsidR="009478F5">
          <w:fldChar w:fldCharType="end"/>
        </w:r>
        <w:r>
          <w:t>页</w:t>
        </w:r>
        <w:r>
          <w:rPr>
            <w:rFonts w:hint="eastAsia"/>
          </w:rPr>
          <w:t>共</w:t>
        </w:r>
        <w:fldSimple w:instr=" NUMPAGES  \* Arabic  \* MERGEFORMAT ">
          <w:r>
            <w:rPr>
              <w:noProof/>
            </w:rPr>
            <w:t>3</w:t>
          </w:r>
        </w:fldSimple>
        <w:r>
          <w:rPr>
            <w:rFonts w:hint="eastAsia"/>
          </w:rPr>
          <w:t>页</w:t>
        </w:r>
      </w:p>
    </w:sdtContent>
  </w:sdt>
  <w:p w:rsidR="009478F5" w:rsidRDefault="009478F5">
    <w:pPr>
      <w:pStyle w:val="a4"/>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8F5" w:rsidRDefault="009478F5" w:rsidP="009478F5">
      <w:r>
        <w:separator/>
      </w:r>
    </w:p>
  </w:footnote>
  <w:footnote w:type="continuationSeparator" w:id="0">
    <w:p w:rsidR="009478F5" w:rsidRDefault="009478F5" w:rsidP="009478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F5" w:rsidRDefault="009478F5">
    <w:pPr>
      <w:pStyle w:val="a4"/>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1FEF1"/>
    <w:multiLevelType w:val="singleLevel"/>
    <w:tmpl w:val="75E1FEF1"/>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trackRevisions/>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
  <w:docVars>
    <w:docVar w:name="commondata" w:val="eyJoZGlkIjoiNjEyMmUxZGY2Zjc5YTEzZDNjYjJlYWZlNGMyYTRjMDcifQ=="/>
    <w:docVar w:name="KSO_WPS_MARK_KEY" w:val="b996cb44-0787-4a9e-a318-4a5e3a3b27ac"/>
  </w:docVars>
  <w:rsids>
    <w:rsidRoot w:val="00420692"/>
    <w:rsid w:val="0002277E"/>
    <w:rsid w:val="00022E89"/>
    <w:rsid w:val="00025D4E"/>
    <w:rsid w:val="0004027B"/>
    <w:rsid w:val="00055474"/>
    <w:rsid w:val="0007355C"/>
    <w:rsid w:val="000744FD"/>
    <w:rsid w:val="000759C2"/>
    <w:rsid w:val="00080CC7"/>
    <w:rsid w:val="0008168C"/>
    <w:rsid w:val="00084202"/>
    <w:rsid w:val="0009616A"/>
    <w:rsid w:val="000A248A"/>
    <w:rsid w:val="000A2D6A"/>
    <w:rsid w:val="000A630F"/>
    <w:rsid w:val="000A74A9"/>
    <w:rsid w:val="000A7A74"/>
    <w:rsid w:val="000B26B0"/>
    <w:rsid w:val="000B3A53"/>
    <w:rsid w:val="000C2635"/>
    <w:rsid w:val="000C77F3"/>
    <w:rsid w:val="000D1071"/>
    <w:rsid w:val="000D16A6"/>
    <w:rsid w:val="000D3CF8"/>
    <w:rsid w:val="000E05F3"/>
    <w:rsid w:val="000E3B29"/>
    <w:rsid w:val="000E3C16"/>
    <w:rsid w:val="00100AF4"/>
    <w:rsid w:val="00107DC0"/>
    <w:rsid w:val="00110393"/>
    <w:rsid w:val="001103E3"/>
    <w:rsid w:val="00114E64"/>
    <w:rsid w:val="00116F70"/>
    <w:rsid w:val="00117A22"/>
    <w:rsid w:val="00124426"/>
    <w:rsid w:val="0012495B"/>
    <w:rsid w:val="00131A8E"/>
    <w:rsid w:val="001324B5"/>
    <w:rsid w:val="00144790"/>
    <w:rsid w:val="001576E0"/>
    <w:rsid w:val="00167837"/>
    <w:rsid w:val="00171C02"/>
    <w:rsid w:val="00176DBA"/>
    <w:rsid w:val="00180A24"/>
    <w:rsid w:val="001820D1"/>
    <w:rsid w:val="0019407E"/>
    <w:rsid w:val="001A3A78"/>
    <w:rsid w:val="001B6118"/>
    <w:rsid w:val="002158CB"/>
    <w:rsid w:val="00241B2D"/>
    <w:rsid w:val="0025400E"/>
    <w:rsid w:val="00271C52"/>
    <w:rsid w:val="00282935"/>
    <w:rsid w:val="002A26D3"/>
    <w:rsid w:val="002A7E93"/>
    <w:rsid w:val="002B053A"/>
    <w:rsid w:val="002B4781"/>
    <w:rsid w:val="002C694D"/>
    <w:rsid w:val="002C6A4A"/>
    <w:rsid w:val="002C783C"/>
    <w:rsid w:val="002D415B"/>
    <w:rsid w:val="002E0D7F"/>
    <w:rsid w:val="002F7332"/>
    <w:rsid w:val="0031047B"/>
    <w:rsid w:val="0032385B"/>
    <w:rsid w:val="003271A5"/>
    <w:rsid w:val="003458B3"/>
    <w:rsid w:val="00356D3F"/>
    <w:rsid w:val="003613A3"/>
    <w:rsid w:val="003657C1"/>
    <w:rsid w:val="00367220"/>
    <w:rsid w:val="00381E76"/>
    <w:rsid w:val="00382647"/>
    <w:rsid w:val="003846DA"/>
    <w:rsid w:val="00386C58"/>
    <w:rsid w:val="003A1798"/>
    <w:rsid w:val="003A327E"/>
    <w:rsid w:val="003A371B"/>
    <w:rsid w:val="003B3D88"/>
    <w:rsid w:val="003E3BF2"/>
    <w:rsid w:val="003F1669"/>
    <w:rsid w:val="003F6235"/>
    <w:rsid w:val="00407842"/>
    <w:rsid w:val="00411E20"/>
    <w:rsid w:val="00420692"/>
    <w:rsid w:val="004226D6"/>
    <w:rsid w:val="00423847"/>
    <w:rsid w:val="0042415B"/>
    <w:rsid w:val="00445A03"/>
    <w:rsid w:val="004616AC"/>
    <w:rsid w:val="004634C5"/>
    <w:rsid w:val="0046353D"/>
    <w:rsid w:val="00474E4F"/>
    <w:rsid w:val="00481499"/>
    <w:rsid w:val="004933A5"/>
    <w:rsid w:val="00494E17"/>
    <w:rsid w:val="004D022D"/>
    <w:rsid w:val="004D0896"/>
    <w:rsid w:val="004E2980"/>
    <w:rsid w:val="004E3ADC"/>
    <w:rsid w:val="004F53BA"/>
    <w:rsid w:val="00501BD5"/>
    <w:rsid w:val="00506D3E"/>
    <w:rsid w:val="00524166"/>
    <w:rsid w:val="00537DE7"/>
    <w:rsid w:val="00540263"/>
    <w:rsid w:val="0054769E"/>
    <w:rsid w:val="00547A5F"/>
    <w:rsid w:val="00550EAB"/>
    <w:rsid w:val="00555291"/>
    <w:rsid w:val="005624A5"/>
    <w:rsid w:val="00590D0E"/>
    <w:rsid w:val="005A0333"/>
    <w:rsid w:val="005A18F1"/>
    <w:rsid w:val="005A714F"/>
    <w:rsid w:val="005B3BB5"/>
    <w:rsid w:val="005C3FC2"/>
    <w:rsid w:val="005D26D2"/>
    <w:rsid w:val="005E005C"/>
    <w:rsid w:val="005E1F13"/>
    <w:rsid w:val="005F23DA"/>
    <w:rsid w:val="005F2A25"/>
    <w:rsid w:val="005F5955"/>
    <w:rsid w:val="006024CC"/>
    <w:rsid w:val="00604BEB"/>
    <w:rsid w:val="00615A78"/>
    <w:rsid w:val="006314BE"/>
    <w:rsid w:val="00631C8A"/>
    <w:rsid w:val="00653B5B"/>
    <w:rsid w:val="006731C5"/>
    <w:rsid w:val="006779B3"/>
    <w:rsid w:val="00682B5D"/>
    <w:rsid w:val="006B4851"/>
    <w:rsid w:val="006B5A24"/>
    <w:rsid w:val="006D06C5"/>
    <w:rsid w:val="006D2918"/>
    <w:rsid w:val="006F593B"/>
    <w:rsid w:val="00701B61"/>
    <w:rsid w:val="007106DB"/>
    <w:rsid w:val="00715791"/>
    <w:rsid w:val="00715C94"/>
    <w:rsid w:val="0072281A"/>
    <w:rsid w:val="007255D6"/>
    <w:rsid w:val="007336D8"/>
    <w:rsid w:val="007343E8"/>
    <w:rsid w:val="00743F8E"/>
    <w:rsid w:val="00751956"/>
    <w:rsid w:val="007A6A89"/>
    <w:rsid w:val="007C71D2"/>
    <w:rsid w:val="007D1528"/>
    <w:rsid w:val="007E7A88"/>
    <w:rsid w:val="007F282C"/>
    <w:rsid w:val="007F771E"/>
    <w:rsid w:val="00800751"/>
    <w:rsid w:val="0080087B"/>
    <w:rsid w:val="00810AB3"/>
    <w:rsid w:val="00812CA0"/>
    <w:rsid w:val="00820F7E"/>
    <w:rsid w:val="008472A0"/>
    <w:rsid w:val="008545AC"/>
    <w:rsid w:val="00860B70"/>
    <w:rsid w:val="008619E4"/>
    <w:rsid w:val="00863F2E"/>
    <w:rsid w:val="00863FA6"/>
    <w:rsid w:val="00893401"/>
    <w:rsid w:val="00894C8D"/>
    <w:rsid w:val="008967F4"/>
    <w:rsid w:val="008A312D"/>
    <w:rsid w:val="008B362F"/>
    <w:rsid w:val="008B3922"/>
    <w:rsid w:val="008C6091"/>
    <w:rsid w:val="008E018E"/>
    <w:rsid w:val="008E0E8B"/>
    <w:rsid w:val="008F210C"/>
    <w:rsid w:val="009422D2"/>
    <w:rsid w:val="00947008"/>
    <w:rsid w:val="0094742D"/>
    <w:rsid w:val="009478F5"/>
    <w:rsid w:val="00960E79"/>
    <w:rsid w:val="00970848"/>
    <w:rsid w:val="00975199"/>
    <w:rsid w:val="00995689"/>
    <w:rsid w:val="009B4BCE"/>
    <w:rsid w:val="009C74F3"/>
    <w:rsid w:val="009C74FE"/>
    <w:rsid w:val="009E4190"/>
    <w:rsid w:val="009E49EC"/>
    <w:rsid w:val="009E65EC"/>
    <w:rsid w:val="009F7CAF"/>
    <w:rsid w:val="00A011CA"/>
    <w:rsid w:val="00A062E2"/>
    <w:rsid w:val="00A140EE"/>
    <w:rsid w:val="00A157F6"/>
    <w:rsid w:val="00A331A7"/>
    <w:rsid w:val="00A404E0"/>
    <w:rsid w:val="00A43AA6"/>
    <w:rsid w:val="00A44F35"/>
    <w:rsid w:val="00A479F3"/>
    <w:rsid w:val="00A53482"/>
    <w:rsid w:val="00A551CC"/>
    <w:rsid w:val="00A57C48"/>
    <w:rsid w:val="00A60D01"/>
    <w:rsid w:val="00A66981"/>
    <w:rsid w:val="00A715AE"/>
    <w:rsid w:val="00A76371"/>
    <w:rsid w:val="00A879E1"/>
    <w:rsid w:val="00A90624"/>
    <w:rsid w:val="00A95946"/>
    <w:rsid w:val="00AC1129"/>
    <w:rsid w:val="00AD6B16"/>
    <w:rsid w:val="00AE4258"/>
    <w:rsid w:val="00AE7851"/>
    <w:rsid w:val="00B02C66"/>
    <w:rsid w:val="00B14310"/>
    <w:rsid w:val="00B2069A"/>
    <w:rsid w:val="00B37556"/>
    <w:rsid w:val="00B43F0D"/>
    <w:rsid w:val="00B562AB"/>
    <w:rsid w:val="00B62986"/>
    <w:rsid w:val="00B63683"/>
    <w:rsid w:val="00B82A1E"/>
    <w:rsid w:val="00B8436B"/>
    <w:rsid w:val="00B847AC"/>
    <w:rsid w:val="00B84F0C"/>
    <w:rsid w:val="00B877AF"/>
    <w:rsid w:val="00B87DBD"/>
    <w:rsid w:val="00B94143"/>
    <w:rsid w:val="00B96881"/>
    <w:rsid w:val="00BC65A6"/>
    <w:rsid w:val="00BC7D9D"/>
    <w:rsid w:val="00BD366D"/>
    <w:rsid w:val="00BD4428"/>
    <w:rsid w:val="00BE48DE"/>
    <w:rsid w:val="00C03170"/>
    <w:rsid w:val="00C035D8"/>
    <w:rsid w:val="00C068CC"/>
    <w:rsid w:val="00C076AF"/>
    <w:rsid w:val="00C127EF"/>
    <w:rsid w:val="00C14A80"/>
    <w:rsid w:val="00C24B4F"/>
    <w:rsid w:val="00C24C42"/>
    <w:rsid w:val="00C26D5E"/>
    <w:rsid w:val="00C359F0"/>
    <w:rsid w:val="00C372E4"/>
    <w:rsid w:val="00C41201"/>
    <w:rsid w:val="00C423A1"/>
    <w:rsid w:val="00C452B8"/>
    <w:rsid w:val="00C93361"/>
    <w:rsid w:val="00CA29E5"/>
    <w:rsid w:val="00CA61EC"/>
    <w:rsid w:val="00CC420A"/>
    <w:rsid w:val="00CC4560"/>
    <w:rsid w:val="00CD2D59"/>
    <w:rsid w:val="00CE1429"/>
    <w:rsid w:val="00CE7DE2"/>
    <w:rsid w:val="00D07DA4"/>
    <w:rsid w:val="00D1331E"/>
    <w:rsid w:val="00D15897"/>
    <w:rsid w:val="00D20445"/>
    <w:rsid w:val="00D22B56"/>
    <w:rsid w:val="00D235B2"/>
    <w:rsid w:val="00D267FE"/>
    <w:rsid w:val="00D30B51"/>
    <w:rsid w:val="00D326DE"/>
    <w:rsid w:val="00D33B95"/>
    <w:rsid w:val="00D3648B"/>
    <w:rsid w:val="00D460BA"/>
    <w:rsid w:val="00D62C84"/>
    <w:rsid w:val="00D66C36"/>
    <w:rsid w:val="00D76E15"/>
    <w:rsid w:val="00D77DD4"/>
    <w:rsid w:val="00D966D1"/>
    <w:rsid w:val="00DB6C58"/>
    <w:rsid w:val="00DC0E64"/>
    <w:rsid w:val="00DC1368"/>
    <w:rsid w:val="00DD2A62"/>
    <w:rsid w:val="00DD745A"/>
    <w:rsid w:val="00E011BE"/>
    <w:rsid w:val="00E05F57"/>
    <w:rsid w:val="00E10104"/>
    <w:rsid w:val="00E254C9"/>
    <w:rsid w:val="00E3263A"/>
    <w:rsid w:val="00E46497"/>
    <w:rsid w:val="00E5129C"/>
    <w:rsid w:val="00E611A5"/>
    <w:rsid w:val="00E8769B"/>
    <w:rsid w:val="00EA4280"/>
    <w:rsid w:val="00EA6D41"/>
    <w:rsid w:val="00EB3BB7"/>
    <w:rsid w:val="00EB65B8"/>
    <w:rsid w:val="00EB791D"/>
    <w:rsid w:val="00EC4872"/>
    <w:rsid w:val="00ED4209"/>
    <w:rsid w:val="00EE35C7"/>
    <w:rsid w:val="00EE7471"/>
    <w:rsid w:val="00EF4127"/>
    <w:rsid w:val="00F01B2D"/>
    <w:rsid w:val="00F07286"/>
    <w:rsid w:val="00F15FA6"/>
    <w:rsid w:val="00F33286"/>
    <w:rsid w:val="00F52CA2"/>
    <w:rsid w:val="00F61F43"/>
    <w:rsid w:val="00F72CE8"/>
    <w:rsid w:val="00F8517D"/>
    <w:rsid w:val="00F85210"/>
    <w:rsid w:val="00F94A67"/>
    <w:rsid w:val="00F96191"/>
    <w:rsid w:val="00FC2311"/>
    <w:rsid w:val="00FC3287"/>
    <w:rsid w:val="00FC3965"/>
    <w:rsid w:val="00FC66A8"/>
    <w:rsid w:val="00FC7402"/>
    <w:rsid w:val="00FD2690"/>
    <w:rsid w:val="00FF03DE"/>
    <w:rsid w:val="00FF3802"/>
    <w:rsid w:val="00FF4AA2"/>
    <w:rsid w:val="00FF57E9"/>
    <w:rsid w:val="0330734D"/>
    <w:rsid w:val="074B0CF0"/>
    <w:rsid w:val="07631B39"/>
    <w:rsid w:val="082C6296"/>
    <w:rsid w:val="09251BE3"/>
    <w:rsid w:val="0A420130"/>
    <w:rsid w:val="0AE10390"/>
    <w:rsid w:val="0EE8600D"/>
    <w:rsid w:val="12F1602E"/>
    <w:rsid w:val="149C02EC"/>
    <w:rsid w:val="154058F9"/>
    <w:rsid w:val="181035D1"/>
    <w:rsid w:val="19306314"/>
    <w:rsid w:val="1BCC78DD"/>
    <w:rsid w:val="1E761D18"/>
    <w:rsid w:val="205B7053"/>
    <w:rsid w:val="216067A1"/>
    <w:rsid w:val="23DB10C5"/>
    <w:rsid w:val="23EF30BD"/>
    <w:rsid w:val="244C2B74"/>
    <w:rsid w:val="258A0795"/>
    <w:rsid w:val="26B74464"/>
    <w:rsid w:val="279F4466"/>
    <w:rsid w:val="291C3778"/>
    <w:rsid w:val="31BC6DBA"/>
    <w:rsid w:val="385B28B5"/>
    <w:rsid w:val="3A955C50"/>
    <w:rsid w:val="3C204F87"/>
    <w:rsid w:val="3C7E1F67"/>
    <w:rsid w:val="3E507983"/>
    <w:rsid w:val="42E42774"/>
    <w:rsid w:val="45C15BB6"/>
    <w:rsid w:val="45EF608C"/>
    <w:rsid w:val="47EF2A1B"/>
    <w:rsid w:val="49F24FED"/>
    <w:rsid w:val="49FC7F3F"/>
    <w:rsid w:val="4BD57EEE"/>
    <w:rsid w:val="51B92659"/>
    <w:rsid w:val="51BA577C"/>
    <w:rsid w:val="558B524E"/>
    <w:rsid w:val="57E7515E"/>
    <w:rsid w:val="58E2344D"/>
    <w:rsid w:val="5E50581E"/>
    <w:rsid w:val="6603432C"/>
    <w:rsid w:val="6803528C"/>
    <w:rsid w:val="69AE7415"/>
    <w:rsid w:val="6AD938B5"/>
    <w:rsid w:val="6AE74ED5"/>
    <w:rsid w:val="6C702771"/>
    <w:rsid w:val="6FF84257"/>
    <w:rsid w:val="71017F23"/>
    <w:rsid w:val="745B75B2"/>
    <w:rsid w:val="7710163E"/>
    <w:rsid w:val="78153095"/>
    <w:rsid w:val="79632E95"/>
    <w:rsid w:val="79E902B0"/>
    <w:rsid w:val="7C0860E5"/>
    <w:rsid w:val="7C1D00AE"/>
    <w:rsid w:val="7C694CA2"/>
    <w:rsid w:val="7F2366EF"/>
    <w:rsid w:val="7F9D5D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footnote reference" w:semiHidden="0" w:unhideWhenUsed="0" w:qFormat="1"/>
    <w:lsdException w:name="annotation reference" w:semiHidden="0" w:unhideWhenUsed="0"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78F5"/>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9478F5"/>
    <w:pPr>
      <w:ind w:left="1924" w:right="1925"/>
      <w:jc w:val="center"/>
      <w:outlineLvl w:val="0"/>
    </w:pPr>
    <w:rPr>
      <w:rFonts w:ascii="Microsoft JhengHei" w:eastAsia="Microsoft JhengHei" w:hAnsi="Microsoft JhengHei" w:cs="Microsoft JhengHei"/>
      <w:b/>
      <w:bCs/>
      <w:sz w:val="30"/>
      <w:szCs w:val="30"/>
    </w:rPr>
  </w:style>
  <w:style w:type="paragraph" w:styleId="2">
    <w:name w:val="heading 2"/>
    <w:basedOn w:val="a"/>
    <w:next w:val="a"/>
    <w:uiPriority w:val="1"/>
    <w:qFormat/>
    <w:rsid w:val="009478F5"/>
    <w:pPr>
      <w:spacing w:before="117"/>
      <w:ind w:left="636"/>
      <w:outlineLvl w:val="1"/>
    </w:pPr>
    <w:rPr>
      <w:rFonts w:ascii="Microsoft JhengHei" w:eastAsia="Microsoft JhengHei" w:hAnsi="Microsoft JhengHei" w:cs="Microsoft Jheng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9478F5"/>
  </w:style>
  <w:style w:type="paragraph" w:styleId="a4">
    <w:name w:val="Body Text"/>
    <w:basedOn w:val="a"/>
    <w:uiPriority w:val="1"/>
    <w:qFormat/>
    <w:rsid w:val="009478F5"/>
    <w:pPr>
      <w:ind w:left="636"/>
    </w:pPr>
    <w:rPr>
      <w:sz w:val="21"/>
      <w:szCs w:val="21"/>
    </w:rPr>
  </w:style>
  <w:style w:type="paragraph" w:styleId="a5">
    <w:name w:val="endnote text"/>
    <w:basedOn w:val="a"/>
    <w:link w:val="Char0"/>
    <w:semiHidden/>
    <w:unhideWhenUsed/>
    <w:qFormat/>
    <w:rsid w:val="009478F5"/>
    <w:pPr>
      <w:snapToGrid w:val="0"/>
    </w:pPr>
  </w:style>
  <w:style w:type="paragraph" w:styleId="a6">
    <w:name w:val="Balloon Text"/>
    <w:basedOn w:val="a"/>
    <w:link w:val="Char1"/>
    <w:qFormat/>
    <w:rsid w:val="009478F5"/>
    <w:rPr>
      <w:sz w:val="18"/>
      <w:szCs w:val="18"/>
    </w:rPr>
  </w:style>
  <w:style w:type="paragraph" w:styleId="a7">
    <w:name w:val="footer"/>
    <w:basedOn w:val="a"/>
    <w:link w:val="Char2"/>
    <w:uiPriority w:val="99"/>
    <w:qFormat/>
    <w:rsid w:val="009478F5"/>
    <w:pPr>
      <w:tabs>
        <w:tab w:val="center" w:pos="4153"/>
        <w:tab w:val="right" w:pos="8306"/>
      </w:tabs>
      <w:snapToGrid w:val="0"/>
    </w:pPr>
    <w:rPr>
      <w:sz w:val="18"/>
      <w:szCs w:val="18"/>
    </w:rPr>
  </w:style>
  <w:style w:type="paragraph" w:styleId="a8">
    <w:name w:val="header"/>
    <w:basedOn w:val="a"/>
    <w:link w:val="Char3"/>
    <w:qFormat/>
    <w:rsid w:val="009478F5"/>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qFormat/>
    <w:rsid w:val="009478F5"/>
    <w:pPr>
      <w:autoSpaceDE/>
      <w:autoSpaceDN/>
      <w:snapToGrid w:val="0"/>
    </w:pPr>
    <w:rPr>
      <w:rFonts w:ascii="Times New Roman" w:hAnsi="Times New Roman" w:cs="Times New Roman"/>
      <w:kern w:val="2"/>
      <w:sz w:val="18"/>
      <w:szCs w:val="20"/>
      <w:lang w:val="en-US" w:bidi="ar-SA"/>
    </w:rPr>
  </w:style>
  <w:style w:type="paragraph" w:styleId="aa">
    <w:name w:val="Normal (Web)"/>
    <w:basedOn w:val="a"/>
    <w:uiPriority w:val="99"/>
    <w:qFormat/>
    <w:rsid w:val="009478F5"/>
    <w:pPr>
      <w:spacing w:beforeAutospacing="1" w:afterAutospacing="1"/>
    </w:pPr>
    <w:rPr>
      <w:rFonts w:cs="Times New Roman"/>
      <w:sz w:val="24"/>
      <w:lang w:val="en-US" w:bidi="ar-SA"/>
    </w:rPr>
  </w:style>
  <w:style w:type="paragraph" w:styleId="ab">
    <w:name w:val="annotation subject"/>
    <w:basedOn w:val="a3"/>
    <w:next w:val="a3"/>
    <w:link w:val="Char5"/>
    <w:qFormat/>
    <w:rsid w:val="009478F5"/>
    <w:rPr>
      <w:b/>
      <w:bCs/>
    </w:rPr>
  </w:style>
  <w:style w:type="character" w:styleId="ac">
    <w:name w:val="Strong"/>
    <w:basedOn w:val="a0"/>
    <w:uiPriority w:val="22"/>
    <w:qFormat/>
    <w:rsid w:val="009478F5"/>
    <w:rPr>
      <w:b/>
      <w:bCs/>
    </w:rPr>
  </w:style>
  <w:style w:type="character" w:styleId="ad">
    <w:name w:val="endnote reference"/>
    <w:basedOn w:val="a0"/>
    <w:semiHidden/>
    <w:unhideWhenUsed/>
    <w:qFormat/>
    <w:rsid w:val="009478F5"/>
    <w:rPr>
      <w:vertAlign w:val="superscript"/>
    </w:rPr>
  </w:style>
  <w:style w:type="character" w:styleId="ae">
    <w:name w:val="annotation reference"/>
    <w:basedOn w:val="a0"/>
    <w:qFormat/>
    <w:rsid w:val="009478F5"/>
    <w:rPr>
      <w:sz w:val="21"/>
      <w:szCs w:val="21"/>
    </w:rPr>
  </w:style>
  <w:style w:type="character" w:styleId="af">
    <w:name w:val="footnote reference"/>
    <w:qFormat/>
    <w:rsid w:val="009478F5"/>
    <w:rPr>
      <w:vertAlign w:val="superscript"/>
    </w:rPr>
  </w:style>
  <w:style w:type="table" w:customStyle="1" w:styleId="TableNormal">
    <w:name w:val="Table Normal"/>
    <w:uiPriority w:val="2"/>
    <w:semiHidden/>
    <w:unhideWhenUsed/>
    <w:qFormat/>
    <w:rsid w:val="009478F5"/>
    <w:tblPr>
      <w:tblCellMar>
        <w:top w:w="0" w:type="dxa"/>
        <w:left w:w="0" w:type="dxa"/>
        <w:bottom w:w="0" w:type="dxa"/>
        <w:right w:w="0" w:type="dxa"/>
      </w:tblCellMar>
    </w:tblPr>
  </w:style>
  <w:style w:type="paragraph" w:styleId="af0">
    <w:name w:val="List Paragraph"/>
    <w:basedOn w:val="a"/>
    <w:uiPriority w:val="1"/>
    <w:qFormat/>
    <w:rsid w:val="009478F5"/>
    <w:pPr>
      <w:ind w:left="636" w:firstLine="420"/>
    </w:pPr>
  </w:style>
  <w:style w:type="paragraph" w:customStyle="1" w:styleId="TableParagraph">
    <w:name w:val="Table Paragraph"/>
    <w:basedOn w:val="a"/>
    <w:uiPriority w:val="1"/>
    <w:qFormat/>
    <w:rsid w:val="009478F5"/>
    <w:pPr>
      <w:spacing w:before="113"/>
      <w:ind w:left="108"/>
    </w:pPr>
  </w:style>
  <w:style w:type="table" w:customStyle="1" w:styleId="TableGrid">
    <w:name w:val="TableGrid"/>
    <w:qFormat/>
    <w:rsid w:val="009478F5"/>
    <w:tblPr>
      <w:tblCellMar>
        <w:top w:w="0" w:type="dxa"/>
        <w:left w:w="0" w:type="dxa"/>
        <w:bottom w:w="0" w:type="dxa"/>
        <w:right w:w="0" w:type="dxa"/>
      </w:tblCellMar>
    </w:tblPr>
  </w:style>
  <w:style w:type="character" w:customStyle="1" w:styleId="Char1">
    <w:name w:val="批注框文本 Char"/>
    <w:basedOn w:val="a0"/>
    <w:link w:val="a6"/>
    <w:qFormat/>
    <w:rsid w:val="009478F5"/>
    <w:rPr>
      <w:rFonts w:ascii="宋体" w:hAnsi="宋体" w:cs="宋体"/>
      <w:sz w:val="18"/>
      <w:szCs w:val="18"/>
      <w:lang w:val="zh-CN" w:bidi="zh-CN"/>
    </w:rPr>
  </w:style>
  <w:style w:type="character" w:customStyle="1" w:styleId="Char3">
    <w:name w:val="页眉 Char"/>
    <w:basedOn w:val="a0"/>
    <w:link w:val="a8"/>
    <w:qFormat/>
    <w:rsid w:val="009478F5"/>
    <w:rPr>
      <w:rFonts w:ascii="宋体" w:hAnsi="宋体" w:cs="宋体"/>
      <w:sz w:val="18"/>
      <w:szCs w:val="18"/>
      <w:lang w:val="zh-CN" w:bidi="zh-CN"/>
    </w:rPr>
  </w:style>
  <w:style w:type="character" w:customStyle="1" w:styleId="Char2">
    <w:name w:val="页脚 Char"/>
    <w:basedOn w:val="a0"/>
    <w:link w:val="a7"/>
    <w:uiPriority w:val="99"/>
    <w:qFormat/>
    <w:rsid w:val="009478F5"/>
    <w:rPr>
      <w:rFonts w:ascii="宋体" w:hAnsi="宋体" w:cs="宋体"/>
      <w:sz w:val="18"/>
      <w:szCs w:val="18"/>
      <w:lang w:val="zh-CN" w:bidi="zh-CN"/>
    </w:rPr>
  </w:style>
  <w:style w:type="character" w:customStyle="1" w:styleId="Char">
    <w:name w:val="批注文字 Char"/>
    <w:basedOn w:val="a0"/>
    <w:link w:val="a3"/>
    <w:qFormat/>
    <w:rsid w:val="009478F5"/>
    <w:rPr>
      <w:rFonts w:ascii="宋体" w:hAnsi="宋体" w:cs="宋体"/>
      <w:sz w:val="22"/>
      <w:szCs w:val="22"/>
      <w:lang w:val="zh-CN" w:bidi="zh-CN"/>
    </w:rPr>
  </w:style>
  <w:style w:type="character" w:customStyle="1" w:styleId="Char5">
    <w:name w:val="批注主题 Char"/>
    <w:basedOn w:val="Char"/>
    <w:link w:val="ab"/>
    <w:qFormat/>
    <w:rsid w:val="009478F5"/>
    <w:rPr>
      <w:rFonts w:ascii="宋体" w:hAnsi="宋体" w:cs="宋体"/>
      <w:b/>
      <w:bCs/>
      <w:sz w:val="22"/>
      <w:szCs w:val="22"/>
      <w:lang w:val="zh-CN" w:bidi="zh-CN"/>
    </w:rPr>
  </w:style>
  <w:style w:type="paragraph" w:customStyle="1" w:styleId="10">
    <w:name w:val="修订1"/>
    <w:hidden/>
    <w:uiPriority w:val="99"/>
    <w:unhideWhenUsed/>
    <w:qFormat/>
    <w:rsid w:val="009478F5"/>
    <w:rPr>
      <w:rFonts w:ascii="宋体" w:hAnsi="宋体" w:cs="宋体"/>
      <w:sz w:val="22"/>
      <w:szCs w:val="22"/>
      <w:lang w:val="zh-CN" w:bidi="zh-CN"/>
    </w:rPr>
  </w:style>
  <w:style w:type="character" w:customStyle="1" w:styleId="Char4">
    <w:name w:val="脚注文本 Char"/>
    <w:basedOn w:val="a0"/>
    <w:link w:val="a9"/>
    <w:qFormat/>
    <w:rsid w:val="009478F5"/>
    <w:rPr>
      <w:kern w:val="2"/>
      <w:sz w:val="18"/>
    </w:rPr>
  </w:style>
  <w:style w:type="character" w:customStyle="1" w:styleId="Char0">
    <w:name w:val="尾注文本 Char"/>
    <w:basedOn w:val="a0"/>
    <w:link w:val="a5"/>
    <w:semiHidden/>
    <w:qFormat/>
    <w:rsid w:val="009478F5"/>
    <w:rPr>
      <w:rFonts w:ascii="宋体" w:hAnsi="宋体" w:cs="宋体"/>
      <w:sz w:val="22"/>
      <w:szCs w:val="22"/>
      <w:lang w:val="zh-CN" w:bidi="zh-CN"/>
    </w:rPr>
  </w:style>
  <w:style w:type="character" w:customStyle="1" w:styleId="font11">
    <w:name w:val="font11"/>
    <w:basedOn w:val="a0"/>
    <w:qFormat/>
    <w:rsid w:val="009478F5"/>
    <w:rPr>
      <w:rFonts w:ascii="宋体" w:eastAsia="宋体" w:hAnsi="宋体" w:cs="宋体" w:hint="eastAsia"/>
      <w:color w:val="000000"/>
      <w:sz w:val="22"/>
      <w:szCs w:val="22"/>
      <w:u w:val="none"/>
    </w:rPr>
  </w:style>
  <w:style w:type="paragraph" w:customStyle="1" w:styleId="biaogecenter">
    <w:name w:val="biaoge_center"/>
    <w:basedOn w:val="a"/>
    <w:qFormat/>
    <w:rsid w:val="009478F5"/>
    <w:pPr>
      <w:adjustRightInd w:val="0"/>
      <w:spacing w:before="29" w:line="288" w:lineRule="auto"/>
      <w:ind w:left="15"/>
      <w:jc w:val="center"/>
    </w:pPr>
  </w:style>
  <w:style w:type="paragraph" w:customStyle="1" w:styleId="neirong">
    <w:name w:val="neirong"/>
    <w:basedOn w:val="a"/>
    <w:qFormat/>
    <w:rsid w:val="009478F5"/>
    <w:pPr>
      <w:adjustRightInd w:val="0"/>
      <w:spacing w:before="29" w:line="288" w:lineRule="auto"/>
      <w:ind w:left="15"/>
    </w:pPr>
  </w:style>
  <w:style w:type="paragraph" w:customStyle="1" w:styleId="20">
    <w:name w:val="修订2"/>
    <w:hidden/>
    <w:uiPriority w:val="99"/>
    <w:semiHidden/>
    <w:qFormat/>
    <w:rsid w:val="009478F5"/>
    <w:rPr>
      <w:rFonts w:ascii="宋体" w:hAnsi="宋体" w:cs="宋体"/>
      <w:sz w:val="22"/>
      <w:szCs w:val="22"/>
      <w:lang w:val="zh-CN" w:bidi="zh-CN"/>
    </w:rPr>
  </w:style>
  <w:style w:type="paragraph" w:customStyle="1" w:styleId="msonormalnone">
    <w:name w:val="msonormal_none"/>
    <w:qFormat/>
    <w:rsid w:val="009478F5"/>
    <w:pPr>
      <w:widowControl w:val="0"/>
    </w:pPr>
    <w:rPr>
      <w:rFonts w:ascii="Calibri" w:hAnsi="Calibri"/>
      <w:kern w:val="2"/>
      <w:sz w:val="21"/>
      <w:szCs w:val="22"/>
    </w:rPr>
  </w:style>
  <w:style w:type="paragraph" w:customStyle="1" w:styleId="dazhangjie">
    <w:name w:val="dazhangjie"/>
    <w:basedOn w:val="a"/>
    <w:qFormat/>
    <w:rsid w:val="009478F5"/>
    <w:pPr>
      <w:widowControl/>
      <w:adjustRightInd w:val="0"/>
      <w:spacing w:before="30" w:line="288" w:lineRule="auto"/>
      <w:ind w:left="15"/>
      <w:outlineLvl w:val="0"/>
    </w:pPr>
    <w:rPr>
      <w:sz w:val="24"/>
      <w:szCs w:val="24"/>
      <w:lang w:val="en-US" w:bidi="ar-SA"/>
    </w:rPr>
  </w:style>
  <w:style w:type="paragraph" w:customStyle="1" w:styleId="3">
    <w:name w:val="修订3"/>
    <w:hidden/>
    <w:uiPriority w:val="99"/>
    <w:semiHidden/>
    <w:qFormat/>
    <w:rsid w:val="009478F5"/>
    <w:rPr>
      <w:rFonts w:ascii="宋体" w:hAnsi="宋体" w:cs="宋体"/>
      <w:sz w:val="22"/>
      <w:szCs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7D4FC-1D31-4B21-AF59-A483ADE2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3868</Characters>
  <Application>Microsoft Office Word</Application>
  <DocSecurity>4</DocSecurity>
  <Lines>32</Lines>
  <Paragraphs>9</Paragraphs>
  <ScaleCrop>false</ScaleCrop>
  <Company>HP Inc.</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DXZQ</dc:creator>
  <cp:lastModifiedBy>ZHONGM</cp:lastModifiedBy>
  <cp:revision>2</cp:revision>
  <dcterms:created xsi:type="dcterms:W3CDTF">2024-08-29T16:03:00Z</dcterms:created>
  <dcterms:modified xsi:type="dcterms:W3CDTF">2024-08-29T16:03:00Z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2016-09-07T00:00:00Z</vt:filetime>
  </property>
  <property fmtid="{D5CDD505-2E9C-101B-9397-08002B2CF9AE}" pid="3" name="Creator">
    <vt:lpwstr>Microsoft Office Word</vt:lpwstr>
  </property>
  <property fmtid="{D5CDD505-2E9C-101B-9397-08002B2CF9AE}" pid="4" name="LastSaved">
    <vt:filetime>2020-03-30T00:00:00Z</vt:filetime>
  </property>
  <property fmtid="{D5CDD505-2E9C-101B-9397-08002B2CF9AE}" pid="5" name="KSOProductBuildVer">
    <vt:lpwstr>2052-12.1.0.17857</vt:lpwstr>
  </property>
  <property fmtid="{D5CDD505-2E9C-101B-9397-08002B2CF9AE}" pid="6" name="ICV">
    <vt:lpwstr>FBD26AD2A9C84C00AC91C7438669D212_12</vt:lpwstr>
  </property>
</Properties>
</file>