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468" w:rsidRPr="00E876A9" w:rsidRDefault="00FD1468" w:rsidP="00FD1468">
      <w:pPr>
        <w:spacing w:line="540" w:lineRule="exact"/>
        <w:ind w:firstLineChars="50" w:firstLine="221"/>
        <w:jc w:val="center"/>
        <w:rPr>
          <w:rFonts w:asciiTheme="minorEastAsia" w:hAnsiTheme="minorEastAsia"/>
          <w:b/>
          <w:color w:val="000000" w:themeColor="text1"/>
          <w:sz w:val="44"/>
          <w:szCs w:val="44"/>
        </w:rPr>
      </w:pPr>
      <w:r w:rsidRPr="00E876A9">
        <w:rPr>
          <w:rFonts w:asciiTheme="minorEastAsia" w:hAnsiTheme="minorEastAsia" w:hint="eastAsia"/>
          <w:b/>
          <w:color w:val="000000" w:themeColor="text1"/>
          <w:sz w:val="44"/>
          <w:szCs w:val="44"/>
        </w:rPr>
        <w:t>鹏扬</w:t>
      </w:r>
      <w:r w:rsidRPr="00E876A9">
        <w:rPr>
          <w:rFonts w:asciiTheme="minorEastAsia" w:hAnsiTheme="minorEastAsia"/>
          <w:b/>
          <w:color w:val="000000" w:themeColor="text1"/>
          <w:sz w:val="44"/>
          <w:szCs w:val="44"/>
        </w:rPr>
        <w:t>基金管理有限公司</w:t>
      </w:r>
      <w:r w:rsidR="00563606" w:rsidRPr="00E876A9">
        <w:rPr>
          <w:rFonts w:asciiTheme="minorEastAsia" w:hAnsiTheme="minorEastAsia" w:hint="eastAsia"/>
          <w:b/>
          <w:color w:val="000000" w:themeColor="text1"/>
          <w:sz w:val="44"/>
          <w:szCs w:val="44"/>
        </w:rPr>
        <w:t>旗下</w:t>
      </w:r>
      <w:r w:rsidR="005E088E" w:rsidRPr="00E876A9">
        <w:rPr>
          <w:rFonts w:asciiTheme="minorEastAsia" w:hAnsiTheme="minorEastAsia" w:hint="eastAsia"/>
          <w:b/>
          <w:color w:val="000000" w:themeColor="text1"/>
          <w:sz w:val="44"/>
          <w:szCs w:val="44"/>
        </w:rPr>
        <w:t>基金</w:t>
      </w:r>
    </w:p>
    <w:p w:rsidR="00BB3501" w:rsidRPr="00E876A9" w:rsidRDefault="00251A7D" w:rsidP="00FD1468">
      <w:pPr>
        <w:spacing w:line="540" w:lineRule="exact"/>
        <w:ind w:firstLineChars="50" w:firstLine="221"/>
        <w:jc w:val="center"/>
        <w:rPr>
          <w:rFonts w:asciiTheme="minorEastAsia" w:hAnsiTheme="minorEastAsia"/>
          <w:b/>
          <w:color w:val="000000" w:themeColor="text1"/>
          <w:sz w:val="44"/>
          <w:szCs w:val="44"/>
        </w:rPr>
      </w:pPr>
      <w:r w:rsidRPr="00E876A9">
        <w:rPr>
          <w:rFonts w:asciiTheme="minorEastAsia" w:hAnsiTheme="minorEastAsia" w:hint="eastAsia"/>
          <w:b/>
          <w:color w:val="000000" w:themeColor="text1"/>
          <w:sz w:val="44"/>
          <w:szCs w:val="44"/>
        </w:rPr>
        <w:t>202</w:t>
      </w:r>
      <w:r w:rsidR="00E876A9" w:rsidRPr="00E876A9">
        <w:rPr>
          <w:rFonts w:asciiTheme="minorEastAsia" w:hAnsiTheme="minorEastAsia"/>
          <w:b/>
          <w:color w:val="000000" w:themeColor="text1"/>
          <w:sz w:val="44"/>
          <w:szCs w:val="44"/>
        </w:rPr>
        <w:t>4</w:t>
      </w:r>
      <w:r w:rsidR="00576647" w:rsidRPr="00E876A9">
        <w:rPr>
          <w:rFonts w:asciiTheme="minorEastAsia" w:hAnsiTheme="minorEastAsia" w:hint="eastAsia"/>
          <w:b/>
          <w:color w:val="000000" w:themeColor="text1"/>
          <w:sz w:val="44"/>
          <w:szCs w:val="44"/>
        </w:rPr>
        <w:t>年</w:t>
      </w:r>
      <w:r w:rsidR="00E876A9" w:rsidRPr="00E876A9">
        <w:rPr>
          <w:rFonts w:asciiTheme="minorEastAsia" w:hAnsiTheme="minorEastAsia" w:hint="eastAsia"/>
          <w:b/>
          <w:color w:val="000000" w:themeColor="text1"/>
          <w:sz w:val="44"/>
          <w:szCs w:val="44"/>
        </w:rPr>
        <w:t>中期</w:t>
      </w:r>
      <w:r w:rsidRPr="00E876A9">
        <w:rPr>
          <w:rFonts w:asciiTheme="minorEastAsia" w:hAnsiTheme="minorEastAsia" w:hint="eastAsia"/>
          <w:b/>
          <w:color w:val="000000" w:themeColor="text1"/>
          <w:sz w:val="44"/>
          <w:szCs w:val="44"/>
        </w:rPr>
        <w:t>报告提示性公告</w:t>
      </w:r>
    </w:p>
    <w:p w:rsidR="00B16987" w:rsidRPr="00E876A9" w:rsidRDefault="00B16987" w:rsidP="0043655D">
      <w:pPr>
        <w:spacing w:line="540" w:lineRule="exact"/>
        <w:ind w:firstLineChars="50" w:firstLine="161"/>
        <w:jc w:val="center"/>
        <w:rPr>
          <w:rFonts w:asciiTheme="minorEastAsia" w:hAnsiTheme="minorEastAsia"/>
          <w:b/>
          <w:color w:val="000000" w:themeColor="text1"/>
          <w:sz w:val="32"/>
          <w:szCs w:val="32"/>
        </w:rPr>
      </w:pPr>
    </w:p>
    <w:p w:rsidR="00BB3501" w:rsidRPr="00E876A9" w:rsidRDefault="00B16987" w:rsidP="00673E6F">
      <w:pPr>
        <w:ind w:firstLineChars="200" w:firstLine="420"/>
        <w:rPr>
          <w:rFonts w:asciiTheme="minorEastAsia" w:hAnsiTheme="minorEastAsia"/>
          <w:color w:val="000000" w:themeColor="text1"/>
          <w:szCs w:val="21"/>
        </w:rPr>
      </w:pPr>
      <w:r w:rsidRPr="00E876A9">
        <w:rPr>
          <w:rFonts w:asciiTheme="minorEastAsia" w:hAnsiTheme="minorEastAsia" w:hint="eastAsia"/>
          <w:color w:val="000000" w:themeColor="text1"/>
          <w:szCs w:val="21"/>
        </w:rPr>
        <w:t>本公司董事会及董事保证基金</w:t>
      </w:r>
      <w:r w:rsidR="00E876A9" w:rsidRPr="00E876A9">
        <w:rPr>
          <w:rFonts w:asciiTheme="minorEastAsia" w:hAnsiTheme="minorEastAsia" w:hint="eastAsia"/>
          <w:color w:val="000000" w:themeColor="text1"/>
          <w:szCs w:val="21"/>
        </w:rPr>
        <w:t>中期</w:t>
      </w:r>
      <w:r w:rsidRPr="00E876A9">
        <w:rPr>
          <w:rFonts w:asciiTheme="minorEastAsia" w:hAnsiTheme="minorEastAsia" w:hint="eastAsia"/>
          <w:color w:val="000000" w:themeColor="text1"/>
          <w:szCs w:val="21"/>
        </w:rPr>
        <w:t>报告所载资料不存在虚假记载、误导性陈述或重大遗漏，并对其内容的真实性、准确性和完整性承担个别及连带责任。</w:t>
      </w:r>
    </w:p>
    <w:p w:rsidR="00B43DBE" w:rsidRPr="00E876A9" w:rsidRDefault="00B43DBE" w:rsidP="00FD1468">
      <w:pPr>
        <w:ind w:firstLineChars="250" w:firstLine="525"/>
        <w:rPr>
          <w:rFonts w:asciiTheme="minorEastAsia" w:hAnsiTheme="minorEastAsia"/>
          <w:color w:val="000000" w:themeColor="text1"/>
          <w:szCs w:val="21"/>
        </w:rPr>
      </w:pPr>
    </w:p>
    <w:p w:rsidR="00B43DBE" w:rsidRPr="00E876A9" w:rsidRDefault="00FF7CD7" w:rsidP="00673E6F">
      <w:pPr>
        <w:ind w:firstLineChars="200" w:firstLine="420"/>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鹏扬基金管理有限公司旗下基金的</w:t>
      </w:r>
      <w:r w:rsidR="00B43DBE" w:rsidRPr="00E876A9">
        <w:rPr>
          <w:rFonts w:asciiTheme="minorEastAsia" w:hAnsiTheme="minorEastAsia"/>
          <w:color w:val="000000" w:themeColor="text1"/>
          <w:szCs w:val="21"/>
        </w:rPr>
        <w:t>20</w:t>
      </w:r>
      <w:r w:rsidR="00B43DBE" w:rsidRPr="00E876A9">
        <w:rPr>
          <w:rFonts w:asciiTheme="minorEastAsia" w:hAnsiTheme="minorEastAsia" w:hint="eastAsia"/>
          <w:color w:val="000000" w:themeColor="text1"/>
          <w:szCs w:val="21"/>
        </w:rPr>
        <w:t>2</w:t>
      </w:r>
      <w:r w:rsidR="00E876A9" w:rsidRPr="00E876A9">
        <w:rPr>
          <w:rFonts w:asciiTheme="minorEastAsia" w:hAnsiTheme="minorEastAsia"/>
          <w:color w:val="000000" w:themeColor="text1"/>
          <w:szCs w:val="21"/>
        </w:rPr>
        <w:t>4</w:t>
      </w:r>
      <w:r w:rsidR="00B43DBE" w:rsidRPr="00E876A9">
        <w:rPr>
          <w:rFonts w:asciiTheme="minorEastAsia" w:hAnsiTheme="minorEastAsia" w:hint="eastAsia"/>
          <w:color w:val="000000" w:themeColor="text1"/>
          <w:szCs w:val="21"/>
        </w:rPr>
        <w:t>年</w:t>
      </w:r>
      <w:r w:rsidR="00E876A9" w:rsidRPr="00E876A9">
        <w:rPr>
          <w:rFonts w:asciiTheme="minorEastAsia" w:hAnsiTheme="minorEastAsia" w:hint="eastAsia"/>
          <w:color w:val="000000" w:themeColor="text1"/>
          <w:szCs w:val="21"/>
        </w:rPr>
        <w:t>中期</w:t>
      </w:r>
      <w:r w:rsidR="00B43DBE" w:rsidRPr="00E876A9">
        <w:rPr>
          <w:rFonts w:asciiTheme="minorEastAsia" w:hAnsiTheme="minorEastAsia"/>
          <w:color w:val="000000" w:themeColor="text1"/>
          <w:szCs w:val="21"/>
        </w:rPr>
        <w:t>报告全文</w:t>
      </w:r>
      <w:r w:rsidR="00B43DBE" w:rsidRPr="00E876A9">
        <w:rPr>
          <w:rFonts w:asciiTheme="minorEastAsia" w:hAnsiTheme="minorEastAsia" w:hint="eastAsia"/>
          <w:color w:val="000000" w:themeColor="text1"/>
          <w:szCs w:val="21"/>
        </w:rPr>
        <w:t>于2</w:t>
      </w:r>
      <w:r w:rsidR="00B43DBE" w:rsidRPr="00E876A9">
        <w:rPr>
          <w:rFonts w:asciiTheme="minorEastAsia" w:hAnsiTheme="minorEastAsia"/>
          <w:color w:val="000000" w:themeColor="text1"/>
          <w:szCs w:val="21"/>
        </w:rPr>
        <w:t>0</w:t>
      </w:r>
      <w:r w:rsidR="00B43DBE" w:rsidRPr="00E876A9">
        <w:rPr>
          <w:rFonts w:asciiTheme="minorEastAsia" w:hAnsiTheme="minorEastAsia" w:hint="eastAsia"/>
          <w:color w:val="000000" w:themeColor="text1"/>
          <w:szCs w:val="21"/>
        </w:rPr>
        <w:t>2</w:t>
      </w:r>
      <w:r w:rsidR="00A24CCC" w:rsidRPr="00E876A9">
        <w:rPr>
          <w:rFonts w:asciiTheme="minorEastAsia" w:hAnsiTheme="minorEastAsia"/>
          <w:color w:val="000000" w:themeColor="text1"/>
          <w:szCs w:val="21"/>
        </w:rPr>
        <w:t>4</w:t>
      </w:r>
      <w:r w:rsidR="00B43DBE" w:rsidRPr="00E876A9">
        <w:rPr>
          <w:rFonts w:asciiTheme="minorEastAsia" w:hAnsiTheme="minorEastAsia" w:hint="eastAsia"/>
          <w:color w:val="000000" w:themeColor="text1"/>
          <w:szCs w:val="21"/>
        </w:rPr>
        <w:t>年</w:t>
      </w:r>
      <w:r w:rsidR="00E876A9" w:rsidRPr="00E876A9">
        <w:rPr>
          <w:rFonts w:asciiTheme="minorEastAsia" w:hAnsiTheme="minorEastAsia"/>
          <w:color w:val="000000" w:themeColor="text1"/>
          <w:szCs w:val="21"/>
        </w:rPr>
        <w:t>8</w:t>
      </w:r>
      <w:r w:rsidR="00B43DBE" w:rsidRPr="00E876A9">
        <w:rPr>
          <w:rFonts w:asciiTheme="minorEastAsia" w:hAnsiTheme="minorEastAsia" w:hint="eastAsia"/>
          <w:color w:val="000000" w:themeColor="text1"/>
          <w:szCs w:val="21"/>
        </w:rPr>
        <w:t>月</w:t>
      </w:r>
      <w:r w:rsidR="00960DBF" w:rsidRPr="00E876A9">
        <w:rPr>
          <w:rFonts w:asciiTheme="minorEastAsia" w:hAnsiTheme="minorEastAsia"/>
          <w:color w:val="000000" w:themeColor="text1"/>
          <w:szCs w:val="21"/>
        </w:rPr>
        <w:t>2</w:t>
      </w:r>
      <w:r w:rsidR="00A24CCC" w:rsidRPr="00E876A9">
        <w:rPr>
          <w:rFonts w:asciiTheme="minorEastAsia" w:hAnsiTheme="minorEastAsia"/>
          <w:color w:val="000000" w:themeColor="text1"/>
          <w:szCs w:val="21"/>
        </w:rPr>
        <w:t>9</w:t>
      </w:r>
      <w:r w:rsidR="00B43DBE" w:rsidRPr="00E876A9">
        <w:rPr>
          <w:rFonts w:asciiTheme="minorEastAsia" w:hAnsiTheme="minorEastAsia" w:hint="eastAsia"/>
          <w:color w:val="000000" w:themeColor="text1"/>
          <w:szCs w:val="21"/>
        </w:rPr>
        <w:t>日在</w:t>
      </w:r>
      <w:r w:rsidR="00B43DBE" w:rsidRPr="00E876A9">
        <w:rPr>
          <w:rFonts w:asciiTheme="minorEastAsia" w:hAnsiTheme="minorEastAsia"/>
          <w:color w:val="000000" w:themeColor="text1"/>
          <w:szCs w:val="21"/>
        </w:rPr>
        <w:t>本公司网站</w:t>
      </w:r>
      <w:r w:rsidR="00B43DBE" w:rsidRPr="00E876A9">
        <w:rPr>
          <w:rFonts w:asciiTheme="minorEastAsia" w:hAnsiTheme="minorEastAsia" w:hint="eastAsia"/>
          <w:color w:val="000000" w:themeColor="text1"/>
          <w:szCs w:val="21"/>
        </w:rPr>
        <w:t>(</w:t>
      </w:r>
      <w:r w:rsidR="00B43DBE" w:rsidRPr="00E876A9">
        <w:rPr>
          <w:rFonts w:asciiTheme="minorEastAsia" w:hAnsiTheme="minorEastAsia"/>
          <w:color w:val="000000" w:themeColor="text1"/>
          <w:szCs w:val="21"/>
        </w:rPr>
        <w:t>http://www.pyamc.com</w:t>
      </w:r>
      <w:r w:rsidR="00B43DBE" w:rsidRPr="00E876A9">
        <w:rPr>
          <w:rFonts w:asciiTheme="minorEastAsia" w:hAnsiTheme="minorEastAsia" w:hint="eastAsia"/>
          <w:color w:val="000000" w:themeColor="text1"/>
          <w:szCs w:val="21"/>
        </w:rPr>
        <w:t>)</w:t>
      </w:r>
      <w:r w:rsidR="00B43DBE" w:rsidRPr="00E876A9">
        <w:rPr>
          <w:rFonts w:asciiTheme="minorEastAsia" w:hAnsiTheme="minorEastAsia"/>
          <w:color w:val="000000" w:themeColor="text1"/>
          <w:szCs w:val="21"/>
        </w:rPr>
        <w:t>和中国证监会</w:t>
      </w:r>
      <w:r w:rsidR="00B43DBE" w:rsidRPr="00E876A9">
        <w:rPr>
          <w:rFonts w:asciiTheme="minorEastAsia" w:hAnsiTheme="minorEastAsia" w:hint="eastAsia"/>
          <w:color w:val="000000" w:themeColor="text1"/>
          <w:szCs w:val="21"/>
        </w:rPr>
        <w:t>基金</w:t>
      </w:r>
      <w:r w:rsidR="00B43DBE" w:rsidRPr="00E876A9">
        <w:rPr>
          <w:rFonts w:asciiTheme="minorEastAsia" w:hAnsiTheme="minorEastAsia"/>
          <w:color w:val="000000" w:themeColor="text1"/>
          <w:szCs w:val="21"/>
        </w:rPr>
        <w:t>电子披露网站</w:t>
      </w:r>
      <w:r w:rsidR="00B43DBE" w:rsidRPr="00E876A9">
        <w:rPr>
          <w:rFonts w:asciiTheme="minorEastAsia" w:hAnsiTheme="minorEastAsia" w:hint="eastAsia"/>
          <w:color w:val="000000" w:themeColor="text1"/>
          <w:szCs w:val="21"/>
        </w:rPr>
        <w:t>（http://eid.csrc.gov.cn/fund）</w:t>
      </w:r>
      <w:r w:rsidR="00B43DBE" w:rsidRPr="00E876A9">
        <w:rPr>
          <w:rFonts w:asciiTheme="minorEastAsia" w:hAnsiTheme="minorEastAsia"/>
          <w:color w:val="000000" w:themeColor="text1"/>
          <w:szCs w:val="21"/>
        </w:rPr>
        <w:t>披露，供投资者查阅。</w:t>
      </w:r>
      <w:r w:rsidR="00B43DBE" w:rsidRPr="00E876A9">
        <w:rPr>
          <w:rFonts w:asciiTheme="minorEastAsia" w:hAnsiTheme="minorEastAsia" w:hint="eastAsia"/>
          <w:color w:val="000000" w:themeColor="text1"/>
          <w:szCs w:val="21"/>
        </w:rPr>
        <w:t>如有疑问可拨打本公司客服电话（</w:t>
      </w:r>
      <w:r w:rsidR="00B43DBE" w:rsidRPr="00E876A9">
        <w:rPr>
          <w:rFonts w:asciiTheme="minorEastAsia" w:hAnsiTheme="minorEastAsia"/>
          <w:color w:val="000000" w:themeColor="text1"/>
          <w:szCs w:val="21"/>
        </w:rPr>
        <w:t>400-968-6688</w:t>
      </w:r>
      <w:r w:rsidR="00B43DBE" w:rsidRPr="00E876A9">
        <w:rPr>
          <w:rFonts w:asciiTheme="minorEastAsia" w:hAnsiTheme="minorEastAsia" w:hint="eastAsia"/>
          <w:color w:val="000000" w:themeColor="text1"/>
          <w:szCs w:val="21"/>
        </w:rPr>
        <w:t>）咨询</w:t>
      </w:r>
      <w:r w:rsidR="00B43DBE" w:rsidRPr="00E876A9">
        <w:rPr>
          <w:rFonts w:asciiTheme="minorEastAsia" w:hAnsiTheme="minorEastAsia"/>
          <w:color w:val="000000" w:themeColor="text1"/>
          <w:szCs w:val="21"/>
        </w:rPr>
        <w:t>。</w:t>
      </w:r>
      <w:r w:rsidRPr="00E876A9">
        <w:rPr>
          <w:rFonts w:asciiTheme="minorEastAsia" w:hAnsiTheme="minorEastAsia" w:hint="eastAsia"/>
          <w:color w:val="000000" w:themeColor="text1"/>
          <w:szCs w:val="21"/>
        </w:rPr>
        <w:t>基金明细如下：</w:t>
      </w:r>
    </w:p>
    <w:p w:rsidR="00630A9E" w:rsidRPr="00E876A9" w:rsidRDefault="00630A9E" w:rsidP="00B43DBE">
      <w:pPr>
        <w:ind w:firstLineChars="250" w:firstLine="525"/>
        <w:rPr>
          <w:rFonts w:asciiTheme="minorEastAsia" w:hAnsiTheme="minorEastAsia"/>
          <w:color w:val="000000" w:themeColor="text1"/>
          <w:szCs w:val="21"/>
        </w:rPr>
      </w:pPr>
    </w:p>
    <w:tbl>
      <w:tblPr>
        <w:tblStyle w:val="ad"/>
        <w:tblW w:w="0" w:type="auto"/>
        <w:jc w:val="center"/>
        <w:tblLook w:val="04A0"/>
      </w:tblPr>
      <w:tblGrid>
        <w:gridCol w:w="951"/>
        <w:gridCol w:w="6841"/>
      </w:tblGrid>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b/>
                <w:bCs/>
                <w:color w:val="000000" w:themeColor="text1"/>
                <w:szCs w:val="21"/>
              </w:rPr>
            </w:pPr>
            <w:r w:rsidRPr="00E876A9">
              <w:rPr>
                <w:rFonts w:asciiTheme="minorEastAsia" w:hAnsiTheme="minorEastAsia" w:hint="eastAsia"/>
                <w:b/>
                <w:bCs/>
                <w:color w:val="000000" w:themeColor="text1"/>
                <w:szCs w:val="21"/>
              </w:rPr>
              <w:t>序号</w:t>
            </w:r>
          </w:p>
        </w:tc>
        <w:tc>
          <w:tcPr>
            <w:tcW w:w="6841" w:type="dxa"/>
            <w:vAlign w:val="center"/>
            <w:hideMark/>
          </w:tcPr>
          <w:p w:rsidR="00630A9E" w:rsidRPr="00E876A9" w:rsidRDefault="00630A9E" w:rsidP="007503E8">
            <w:pPr>
              <w:jc w:val="center"/>
              <w:rPr>
                <w:rFonts w:asciiTheme="minorEastAsia" w:hAnsiTheme="minorEastAsia"/>
                <w:b/>
                <w:bCs/>
                <w:color w:val="000000" w:themeColor="text1"/>
                <w:szCs w:val="21"/>
              </w:rPr>
            </w:pPr>
            <w:r w:rsidRPr="00E876A9">
              <w:rPr>
                <w:rFonts w:asciiTheme="minorEastAsia" w:hAnsiTheme="minorEastAsia" w:hint="eastAsia"/>
                <w:b/>
                <w:bCs/>
                <w:color w:val="000000" w:themeColor="text1"/>
                <w:szCs w:val="21"/>
              </w:rPr>
              <w:t>产品名称</w:t>
            </w:r>
          </w:p>
        </w:tc>
      </w:tr>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1</w:t>
            </w:r>
          </w:p>
        </w:tc>
        <w:tc>
          <w:tcPr>
            <w:tcW w:w="684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鹏扬汇利债券型证券投资基金</w:t>
            </w:r>
          </w:p>
        </w:tc>
      </w:tr>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2</w:t>
            </w:r>
          </w:p>
        </w:tc>
        <w:tc>
          <w:tcPr>
            <w:tcW w:w="684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鹏扬利泽债券型证券投资基金</w:t>
            </w:r>
          </w:p>
        </w:tc>
      </w:tr>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3</w:t>
            </w:r>
          </w:p>
        </w:tc>
        <w:tc>
          <w:tcPr>
            <w:tcW w:w="684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鹏扬现金通利货币市场基金</w:t>
            </w:r>
          </w:p>
        </w:tc>
      </w:tr>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4</w:t>
            </w:r>
          </w:p>
        </w:tc>
        <w:tc>
          <w:tcPr>
            <w:tcW w:w="684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鹏扬景兴混合型证券投资基金</w:t>
            </w:r>
          </w:p>
        </w:tc>
      </w:tr>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5</w:t>
            </w:r>
          </w:p>
        </w:tc>
        <w:tc>
          <w:tcPr>
            <w:tcW w:w="684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鹏扬景泰成长混合型发起式证券投资基金</w:t>
            </w:r>
          </w:p>
        </w:tc>
      </w:tr>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6</w:t>
            </w:r>
          </w:p>
        </w:tc>
        <w:tc>
          <w:tcPr>
            <w:tcW w:w="6841" w:type="dxa"/>
            <w:vAlign w:val="center"/>
            <w:hideMark/>
          </w:tcPr>
          <w:p w:rsidR="00630A9E" w:rsidRPr="00E876A9" w:rsidRDefault="00630A9E" w:rsidP="002A1F4B">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鹏扬淳优一年定期开放债券型证券投资基金</w:t>
            </w:r>
          </w:p>
        </w:tc>
      </w:tr>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7</w:t>
            </w:r>
          </w:p>
        </w:tc>
        <w:tc>
          <w:tcPr>
            <w:tcW w:w="6841" w:type="dxa"/>
            <w:vAlign w:val="center"/>
            <w:hideMark/>
          </w:tcPr>
          <w:p w:rsidR="00630A9E" w:rsidRPr="00E876A9" w:rsidRDefault="00630A9E" w:rsidP="002A1F4B">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鹏扬双利债券型证券投资基金</w:t>
            </w:r>
          </w:p>
        </w:tc>
      </w:tr>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8</w:t>
            </w:r>
          </w:p>
        </w:tc>
        <w:tc>
          <w:tcPr>
            <w:tcW w:w="684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鹏扬景升灵活配置混合型证券投资基金</w:t>
            </w:r>
          </w:p>
        </w:tc>
      </w:tr>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9</w:t>
            </w:r>
          </w:p>
        </w:tc>
        <w:tc>
          <w:tcPr>
            <w:tcW w:w="684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鹏扬景欣混合型证券投资基金</w:t>
            </w:r>
          </w:p>
        </w:tc>
      </w:tr>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10</w:t>
            </w:r>
          </w:p>
        </w:tc>
        <w:tc>
          <w:tcPr>
            <w:tcW w:w="6841" w:type="dxa"/>
            <w:vAlign w:val="center"/>
            <w:hideMark/>
          </w:tcPr>
          <w:p w:rsidR="00630A9E" w:rsidRPr="00E876A9" w:rsidRDefault="00630A9E" w:rsidP="002A1F4B">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鹏扬淳合债券型证券投资基金</w:t>
            </w:r>
          </w:p>
        </w:tc>
      </w:tr>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11</w:t>
            </w:r>
          </w:p>
        </w:tc>
        <w:tc>
          <w:tcPr>
            <w:tcW w:w="6841" w:type="dxa"/>
            <w:vAlign w:val="center"/>
            <w:hideMark/>
          </w:tcPr>
          <w:p w:rsidR="00630A9E" w:rsidRPr="00E876A9" w:rsidRDefault="00630A9E" w:rsidP="002A1F4B">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鹏扬淳利定期开放债券型证券投资基金</w:t>
            </w:r>
          </w:p>
        </w:tc>
      </w:tr>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12</w:t>
            </w:r>
          </w:p>
        </w:tc>
        <w:tc>
          <w:tcPr>
            <w:tcW w:w="684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鹏扬泓利债券型证券投资基金</w:t>
            </w:r>
          </w:p>
        </w:tc>
      </w:tr>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13</w:t>
            </w:r>
          </w:p>
        </w:tc>
        <w:tc>
          <w:tcPr>
            <w:tcW w:w="684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鹏扬淳享债券型证券投资基金</w:t>
            </w:r>
          </w:p>
        </w:tc>
      </w:tr>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14</w:t>
            </w:r>
          </w:p>
        </w:tc>
        <w:tc>
          <w:tcPr>
            <w:tcW w:w="684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鹏扬核心价值灵活配置混合型证券投资基金</w:t>
            </w:r>
          </w:p>
        </w:tc>
      </w:tr>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15</w:t>
            </w:r>
          </w:p>
        </w:tc>
        <w:tc>
          <w:tcPr>
            <w:tcW w:w="684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鹏扬添利增强债券型证券投资基金</w:t>
            </w:r>
          </w:p>
        </w:tc>
      </w:tr>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16</w:t>
            </w:r>
          </w:p>
        </w:tc>
        <w:tc>
          <w:tcPr>
            <w:tcW w:w="6841" w:type="dxa"/>
            <w:vAlign w:val="center"/>
            <w:hideMark/>
          </w:tcPr>
          <w:p w:rsidR="00630A9E" w:rsidRPr="00E876A9" w:rsidRDefault="00630A9E" w:rsidP="002A1F4B">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鹏扬淳盈6个月定期开放债券型证券投资基金</w:t>
            </w:r>
          </w:p>
        </w:tc>
      </w:tr>
      <w:tr w:rsidR="00630A9E" w:rsidRPr="00E876A9" w:rsidTr="00CC64B4">
        <w:trPr>
          <w:trHeight w:val="300"/>
          <w:jc w:val="center"/>
        </w:trPr>
        <w:tc>
          <w:tcPr>
            <w:tcW w:w="95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17</w:t>
            </w:r>
          </w:p>
        </w:tc>
        <w:tc>
          <w:tcPr>
            <w:tcW w:w="6841" w:type="dxa"/>
            <w:vAlign w:val="center"/>
            <w:hideMark/>
          </w:tcPr>
          <w:p w:rsidR="00630A9E" w:rsidRPr="00E876A9" w:rsidRDefault="00630A9E"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鹏扬元合量化大盘优选股票型证券投资基金</w:t>
            </w:r>
          </w:p>
        </w:tc>
      </w:tr>
      <w:tr w:rsidR="00203166" w:rsidRPr="00E876A9" w:rsidTr="00CC64B4">
        <w:trPr>
          <w:trHeight w:val="300"/>
          <w:jc w:val="center"/>
        </w:trPr>
        <w:tc>
          <w:tcPr>
            <w:tcW w:w="951" w:type="dxa"/>
            <w:vAlign w:val="center"/>
            <w:hideMark/>
          </w:tcPr>
          <w:p w:rsidR="00203166" w:rsidRPr="00E876A9" w:rsidRDefault="00203166"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18</w:t>
            </w:r>
          </w:p>
        </w:tc>
        <w:tc>
          <w:tcPr>
            <w:tcW w:w="6841" w:type="dxa"/>
            <w:vAlign w:val="center"/>
            <w:hideMark/>
          </w:tcPr>
          <w:p w:rsidR="00203166" w:rsidRPr="00E876A9" w:rsidRDefault="00203166"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鹏扬利沣短债债券型证券投资基金</w:t>
            </w:r>
          </w:p>
        </w:tc>
      </w:tr>
      <w:tr w:rsidR="00203166" w:rsidRPr="00E876A9" w:rsidTr="00CC64B4">
        <w:trPr>
          <w:trHeight w:val="300"/>
          <w:jc w:val="center"/>
        </w:trPr>
        <w:tc>
          <w:tcPr>
            <w:tcW w:w="951" w:type="dxa"/>
            <w:vAlign w:val="center"/>
            <w:hideMark/>
          </w:tcPr>
          <w:p w:rsidR="00203166" w:rsidRPr="00E876A9" w:rsidRDefault="00203166"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19</w:t>
            </w:r>
          </w:p>
        </w:tc>
        <w:tc>
          <w:tcPr>
            <w:tcW w:w="6841" w:type="dxa"/>
            <w:vAlign w:val="center"/>
            <w:hideMark/>
          </w:tcPr>
          <w:p w:rsidR="00203166" w:rsidRPr="00E876A9" w:rsidRDefault="00203166"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鹏扬淳开债券型证券投资基金</w:t>
            </w:r>
          </w:p>
        </w:tc>
      </w:tr>
      <w:tr w:rsidR="00203166" w:rsidRPr="00E876A9" w:rsidTr="00CC64B4">
        <w:trPr>
          <w:trHeight w:val="300"/>
          <w:jc w:val="center"/>
        </w:trPr>
        <w:tc>
          <w:tcPr>
            <w:tcW w:w="951" w:type="dxa"/>
            <w:vAlign w:val="center"/>
            <w:hideMark/>
          </w:tcPr>
          <w:p w:rsidR="00203166" w:rsidRPr="00E876A9" w:rsidRDefault="00203166"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20</w:t>
            </w:r>
          </w:p>
        </w:tc>
        <w:tc>
          <w:tcPr>
            <w:tcW w:w="6841" w:type="dxa"/>
            <w:vAlign w:val="center"/>
            <w:hideMark/>
          </w:tcPr>
          <w:p w:rsidR="00203166" w:rsidRPr="00E876A9" w:rsidRDefault="00203166"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鹏扬浦利中短债债券型证券投资基金</w:t>
            </w:r>
          </w:p>
        </w:tc>
      </w:tr>
      <w:tr w:rsidR="00203166" w:rsidRPr="00E876A9" w:rsidTr="00CC64B4">
        <w:trPr>
          <w:trHeight w:val="300"/>
          <w:jc w:val="center"/>
        </w:trPr>
        <w:tc>
          <w:tcPr>
            <w:tcW w:w="951" w:type="dxa"/>
            <w:vAlign w:val="center"/>
            <w:hideMark/>
          </w:tcPr>
          <w:p w:rsidR="00203166" w:rsidRPr="00E876A9" w:rsidRDefault="00203166"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21</w:t>
            </w:r>
          </w:p>
        </w:tc>
        <w:tc>
          <w:tcPr>
            <w:tcW w:w="6841" w:type="dxa"/>
            <w:vAlign w:val="center"/>
            <w:hideMark/>
          </w:tcPr>
          <w:p w:rsidR="00203166" w:rsidRPr="00E876A9" w:rsidRDefault="00203166"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鹏扬淳明债券型证券投资基金</w:t>
            </w:r>
          </w:p>
        </w:tc>
      </w:tr>
      <w:tr w:rsidR="00203166" w:rsidRPr="00E876A9" w:rsidTr="00CC64B4">
        <w:trPr>
          <w:trHeight w:val="300"/>
          <w:jc w:val="center"/>
        </w:trPr>
        <w:tc>
          <w:tcPr>
            <w:tcW w:w="951" w:type="dxa"/>
            <w:vAlign w:val="center"/>
            <w:hideMark/>
          </w:tcPr>
          <w:p w:rsidR="00203166" w:rsidRPr="00E876A9" w:rsidRDefault="00203166"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22</w:t>
            </w:r>
          </w:p>
        </w:tc>
        <w:tc>
          <w:tcPr>
            <w:tcW w:w="6841" w:type="dxa"/>
            <w:vAlign w:val="center"/>
            <w:hideMark/>
          </w:tcPr>
          <w:p w:rsidR="00203166" w:rsidRPr="00E876A9" w:rsidRDefault="00203166" w:rsidP="007503E8">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鹏扬聚利六个月持有期债券型证券投资基金</w:t>
            </w:r>
          </w:p>
        </w:tc>
      </w:tr>
      <w:tr w:rsidR="00C661C5" w:rsidRPr="00E876A9" w:rsidTr="00CC64B4">
        <w:trPr>
          <w:trHeight w:val="300"/>
          <w:jc w:val="center"/>
        </w:trPr>
        <w:tc>
          <w:tcPr>
            <w:tcW w:w="951" w:type="dxa"/>
            <w:vAlign w:val="center"/>
            <w:hideMark/>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23</w:t>
            </w:r>
          </w:p>
        </w:tc>
        <w:tc>
          <w:tcPr>
            <w:tcW w:w="6841" w:type="dxa"/>
            <w:vAlign w:val="center"/>
            <w:hideMark/>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鹏扬淳悦一年定期开放债券型发起式证券投资基金</w:t>
            </w:r>
          </w:p>
        </w:tc>
      </w:tr>
      <w:tr w:rsidR="00C661C5" w:rsidRPr="00E876A9" w:rsidTr="00C661C5">
        <w:trPr>
          <w:trHeight w:val="300"/>
          <w:jc w:val="center"/>
        </w:trPr>
        <w:tc>
          <w:tcPr>
            <w:tcW w:w="951" w:type="dxa"/>
            <w:vAlign w:val="center"/>
            <w:hideMark/>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24</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鹏扬景沃六个月持有期混合型证券投资基金</w:t>
            </w:r>
          </w:p>
        </w:tc>
      </w:tr>
      <w:tr w:rsidR="00C661C5" w:rsidRPr="00E876A9" w:rsidTr="00C661C5">
        <w:trPr>
          <w:trHeight w:val="300"/>
          <w:jc w:val="center"/>
        </w:trPr>
        <w:tc>
          <w:tcPr>
            <w:tcW w:w="951" w:type="dxa"/>
            <w:vAlign w:val="center"/>
            <w:hideMark/>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25</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鹏扬景科混合型证券投资基金</w:t>
            </w:r>
          </w:p>
        </w:tc>
      </w:tr>
      <w:tr w:rsidR="00C661C5" w:rsidRPr="00E876A9" w:rsidTr="00C661C5">
        <w:trPr>
          <w:trHeight w:val="300"/>
          <w:jc w:val="center"/>
        </w:trPr>
        <w:tc>
          <w:tcPr>
            <w:tcW w:w="951" w:type="dxa"/>
            <w:vAlign w:val="center"/>
            <w:hideMark/>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26</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鹏扬富利增强债券型证券投资基金</w:t>
            </w:r>
          </w:p>
        </w:tc>
      </w:tr>
      <w:tr w:rsidR="00C661C5" w:rsidRPr="00E876A9" w:rsidTr="00C661C5">
        <w:trPr>
          <w:trHeight w:val="300"/>
          <w:jc w:val="center"/>
        </w:trPr>
        <w:tc>
          <w:tcPr>
            <w:tcW w:w="951" w:type="dxa"/>
            <w:vAlign w:val="center"/>
            <w:hideMark/>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27</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鹏扬景恒六个月持有期混合型证券投资基金</w:t>
            </w:r>
          </w:p>
        </w:tc>
      </w:tr>
      <w:tr w:rsidR="00C661C5" w:rsidRPr="00E876A9" w:rsidTr="00C661C5">
        <w:trPr>
          <w:trHeight w:val="300"/>
          <w:jc w:val="center"/>
        </w:trPr>
        <w:tc>
          <w:tcPr>
            <w:tcW w:w="951" w:type="dxa"/>
            <w:vAlign w:val="center"/>
            <w:hideMark/>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28</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鹏扬景惠六个月持有期混合型证券投资基金</w:t>
            </w:r>
          </w:p>
        </w:tc>
      </w:tr>
      <w:tr w:rsidR="00C661C5" w:rsidRPr="00E876A9" w:rsidTr="00C661C5">
        <w:trPr>
          <w:trHeight w:val="300"/>
          <w:jc w:val="center"/>
        </w:trPr>
        <w:tc>
          <w:tcPr>
            <w:tcW w:w="951" w:type="dxa"/>
            <w:vAlign w:val="center"/>
            <w:hideMark/>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lastRenderedPageBreak/>
              <w:t>29</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鹏扬红利优选混合型证券投资基金</w:t>
            </w:r>
          </w:p>
        </w:tc>
      </w:tr>
      <w:tr w:rsidR="00C661C5" w:rsidRPr="00E876A9" w:rsidTr="00C661C5">
        <w:trPr>
          <w:trHeight w:val="300"/>
          <w:jc w:val="center"/>
        </w:trPr>
        <w:tc>
          <w:tcPr>
            <w:tcW w:w="951" w:type="dxa"/>
            <w:vAlign w:val="center"/>
            <w:hideMark/>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30</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鹏扬淳安66个月定期开放债券型证券投资基金</w:t>
            </w:r>
          </w:p>
        </w:tc>
      </w:tr>
      <w:tr w:rsidR="00C661C5" w:rsidRPr="00E876A9" w:rsidTr="00C661C5">
        <w:trPr>
          <w:trHeight w:val="300"/>
          <w:jc w:val="center"/>
        </w:trPr>
        <w:tc>
          <w:tcPr>
            <w:tcW w:w="951" w:type="dxa"/>
            <w:vAlign w:val="center"/>
            <w:hideMark/>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31</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鹏扬景沣六个月持有期混合型证券投资基金</w:t>
            </w:r>
          </w:p>
        </w:tc>
      </w:tr>
      <w:tr w:rsidR="00C661C5" w:rsidRPr="00E876A9" w:rsidTr="00C661C5">
        <w:trPr>
          <w:trHeight w:val="300"/>
          <w:jc w:val="center"/>
        </w:trPr>
        <w:tc>
          <w:tcPr>
            <w:tcW w:w="951" w:type="dxa"/>
            <w:vAlign w:val="center"/>
            <w:hideMark/>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32</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鹏扬景泓回报灵活配置混合型证券投资基金</w:t>
            </w:r>
          </w:p>
        </w:tc>
      </w:tr>
      <w:tr w:rsidR="00C661C5" w:rsidRPr="00E876A9" w:rsidTr="00C661C5">
        <w:trPr>
          <w:trHeight w:val="300"/>
          <w:jc w:val="center"/>
        </w:trPr>
        <w:tc>
          <w:tcPr>
            <w:tcW w:w="951" w:type="dxa"/>
            <w:vAlign w:val="center"/>
            <w:hideMark/>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33</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鹏扬稳利债券型证券投资基金</w:t>
            </w:r>
          </w:p>
        </w:tc>
      </w:tr>
      <w:tr w:rsidR="00C661C5" w:rsidRPr="00E876A9" w:rsidTr="00C661C5">
        <w:trPr>
          <w:trHeight w:val="300"/>
          <w:jc w:val="center"/>
        </w:trPr>
        <w:tc>
          <w:tcPr>
            <w:tcW w:w="951" w:type="dxa"/>
            <w:vAlign w:val="center"/>
            <w:hideMark/>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34</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鹏扬淳稳66个月定期开放债券型证券投资基金</w:t>
            </w:r>
          </w:p>
        </w:tc>
      </w:tr>
      <w:tr w:rsidR="00C661C5" w:rsidRPr="00E876A9" w:rsidTr="001E0368">
        <w:trPr>
          <w:trHeight w:val="300"/>
          <w:jc w:val="center"/>
        </w:trPr>
        <w:tc>
          <w:tcPr>
            <w:tcW w:w="951" w:type="dxa"/>
            <w:vAlign w:val="center"/>
            <w:hideMark/>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35</w:t>
            </w:r>
          </w:p>
        </w:tc>
        <w:tc>
          <w:tcPr>
            <w:tcW w:w="684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鹏扬景合六个月持有期混合型证券投资基金</w:t>
            </w:r>
          </w:p>
        </w:tc>
      </w:tr>
      <w:tr w:rsidR="00C661C5" w:rsidRPr="00E876A9" w:rsidTr="00DF639C">
        <w:trPr>
          <w:trHeight w:val="300"/>
          <w:jc w:val="center"/>
        </w:trPr>
        <w:tc>
          <w:tcPr>
            <w:tcW w:w="951" w:type="dxa"/>
            <w:vAlign w:val="center"/>
            <w:hideMark/>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36</w:t>
            </w:r>
          </w:p>
        </w:tc>
        <w:tc>
          <w:tcPr>
            <w:tcW w:w="684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鹏扬景创混合型证券投资基金</w:t>
            </w:r>
          </w:p>
        </w:tc>
      </w:tr>
      <w:tr w:rsidR="00C661C5" w:rsidRPr="00E876A9" w:rsidTr="00CC64B4">
        <w:trPr>
          <w:trHeight w:val="300"/>
          <w:jc w:val="center"/>
        </w:trPr>
        <w:tc>
          <w:tcPr>
            <w:tcW w:w="951" w:type="dxa"/>
            <w:vAlign w:val="center"/>
            <w:hideMark/>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37</w:t>
            </w:r>
          </w:p>
        </w:tc>
        <w:tc>
          <w:tcPr>
            <w:tcW w:w="684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鹏扬景明一年持有期混合型证券投资基金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38</w:t>
            </w:r>
          </w:p>
        </w:tc>
        <w:tc>
          <w:tcPr>
            <w:tcW w:w="684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鹏扬先进制造混合型证券投资基金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39</w:t>
            </w:r>
          </w:p>
        </w:tc>
        <w:tc>
          <w:tcPr>
            <w:tcW w:w="684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鹏扬景源一年持有期混合型证券投资基金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40</w:t>
            </w:r>
          </w:p>
        </w:tc>
        <w:tc>
          <w:tcPr>
            <w:tcW w:w="684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鹏扬景安一年持有期混合型证券投资基金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41</w:t>
            </w:r>
          </w:p>
        </w:tc>
        <w:tc>
          <w:tcPr>
            <w:tcW w:w="684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鹏扬沪深300质量成长低波动指数证券投资基金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42</w:t>
            </w:r>
          </w:p>
        </w:tc>
        <w:tc>
          <w:tcPr>
            <w:tcW w:w="684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鹏扬中国优质成长混合型证券投资基金</w:t>
            </w:r>
          </w:p>
        </w:tc>
      </w:tr>
      <w:tr w:rsidR="00C661C5" w:rsidRPr="00E876A9" w:rsidTr="001E0368">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43</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szCs w:val="21"/>
              </w:rPr>
              <w:t>鹏扬中证500质量成长交易型开放式指数证券投资基金</w:t>
            </w:r>
          </w:p>
        </w:tc>
      </w:tr>
      <w:tr w:rsidR="00C661C5" w:rsidRPr="00E876A9" w:rsidTr="00B50586">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4</w:t>
            </w:r>
            <w:r w:rsidRPr="00E876A9">
              <w:rPr>
                <w:rFonts w:asciiTheme="minorEastAsia" w:hAnsiTheme="minorEastAsia"/>
                <w:color w:val="000000" w:themeColor="text1"/>
                <w:szCs w:val="21"/>
              </w:rPr>
              <w:t>4</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szCs w:val="21"/>
              </w:rPr>
              <w:t>鹏扬景润一年持有期混合型证券投资基金</w:t>
            </w:r>
          </w:p>
        </w:tc>
      </w:tr>
      <w:tr w:rsidR="00C661C5" w:rsidRPr="00E876A9" w:rsidTr="00DF639C">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4</w:t>
            </w:r>
            <w:r w:rsidRPr="00E876A9">
              <w:rPr>
                <w:rFonts w:asciiTheme="minorEastAsia" w:hAnsiTheme="minorEastAsia"/>
                <w:color w:val="000000" w:themeColor="text1"/>
                <w:szCs w:val="21"/>
              </w:rPr>
              <w:t>5</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szCs w:val="21"/>
              </w:rPr>
              <w:t>鹏扬淳熙一年定期开放债券型发起式证券投资基金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4</w:t>
            </w:r>
            <w:r w:rsidRPr="00E876A9">
              <w:rPr>
                <w:rFonts w:asciiTheme="minorEastAsia" w:hAnsiTheme="minorEastAsia"/>
                <w:color w:val="000000" w:themeColor="text1"/>
                <w:szCs w:val="21"/>
              </w:rPr>
              <w:t>6</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szCs w:val="21"/>
              </w:rPr>
              <w:t>鹏扬数字经济先锋混合型证券投资基金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4</w:t>
            </w:r>
            <w:r w:rsidRPr="00E876A9">
              <w:rPr>
                <w:rFonts w:asciiTheme="minorEastAsia" w:hAnsiTheme="minorEastAsia"/>
                <w:color w:val="000000" w:themeColor="text1"/>
                <w:szCs w:val="21"/>
              </w:rPr>
              <w:t>7</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szCs w:val="21"/>
              </w:rPr>
              <w:t>鹏扬淳兴三个月定期开放债券型证券投资基金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4</w:t>
            </w:r>
            <w:r w:rsidRPr="00E876A9">
              <w:rPr>
                <w:rFonts w:asciiTheme="minorEastAsia" w:hAnsiTheme="minorEastAsia"/>
                <w:color w:val="000000" w:themeColor="text1"/>
                <w:szCs w:val="21"/>
              </w:rPr>
              <w:t>8</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szCs w:val="21"/>
              </w:rPr>
              <w:t>鹏扬景浦一年持有期混合型证券投资基金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4</w:t>
            </w:r>
            <w:r w:rsidRPr="00E876A9">
              <w:rPr>
                <w:rFonts w:asciiTheme="minorEastAsia" w:hAnsiTheme="minorEastAsia"/>
                <w:color w:val="000000" w:themeColor="text1"/>
                <w:szCs w:val="21"/>
              </w:rPr>
              <w:t>9</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szCs w:val="21"/>
              </w:rPr>
              <w:t>鹏扬景阳一年持有期混合型证券投资基金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5</w:t>
            </w:r>
            <w:r w:rsidRPr="00E876A9">
              <w:rPr>
                <w:rFonts w:asciiTheme="minorEastAsia" w:hAnsiTheme="minorEastAsia"/>
                <w:color w:val="000000" w:themeColor="text1"/>
                <w:szCs w:val="21"/>
              </w:rPr>
              <w:t>0</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szCs w:val="21"/>
              </w:rPr>
              <w:t>鹏扬成长先锋混合型证券投资基金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5</w:t>
            </w:r>
            <w:r w:rsidRPr="00E876A9">
              <w:rPr>
                <w:rFonts w:asciiTheme="minorEastAsia" w:hAnsiTheme="minorEastAsia"/>
                <w:color w:val="000000" w:themeColor="text1"/>
                <w:szCs w:val="21"/>
              </w:rPr>
              <w:t>1</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szCs w:val="21"/>
              </w:rPr>
              <w:t>鹏扬竞争力先锋一年持有期混合型证券投资基金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5</w:t>
            </w:r>
            <w:r w:rsidRPr="00E876A9">
              <w:rPr>
                <w:rFonts w:asciiTheme="minorEastAsia" w:hAnsiTheme="minorEastAsia"/>
                <w:color w:val="000000" w:themeColor="text1"/>
                <w:szCs w:val="21"/>
              </w:rPr>
              <w:t>2</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szCs w:val="21"/>
              </w:rPr>
              <w:t>鹏扬中证数字经济主题交易型开放式指数证券投资基金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5</w:t>
            </w:r>
            <w:r w:rsidRPr="00E876A9">
              <w:rPr>
                <w:rFonts w:asciiTheme="minorEastAsia" w:hAnsiTheme="minorEastAsia"/>
                <w:color w:val="000000" w:themeColor="text1"/>
                <w:szCs w:val="21"/>
              </w:rPr>
              <w:t>3</w:t>
            </w:r>
          </w:p>
        </w:tc>
        <w:tc>
          <w:tcPr>
            <w:tcW w:w="6841" w:type="dxa"/>
            <w:vAlign w:val="center"/>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szCs w:val="21"/>
              </w:rPr>
              <w:t>鹏扬利鑫60天滚动持有期债券型证券投资基金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5</w:t>
            </w:r>
            <w:r w:rsidRPr="00E876A9">
              <w:rPr>
                <w:rFonts w:asciiTheme="minorEastAsia" w:hAnsiTheme="minorEastAsia"/>
                <w:color w:val="000000" w:themeColor="text1"/>
                <w:szCs w:val="21"/>
              </w:rPr>
              <w:t>4</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鹏扬产业趋势一年持有期混合型证券投资基金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5</w:t>
            </w:r>
            <w:r w:rsidRPr="00E876A9">
              <w:rPr>
                <w:rFonts w:asciiTheme="minorEastAsia" w:hAnsiTheme="minorEastAsia"/>
                <w:color w:val="000000" w:themeColor="text1"/>
                <w:szCs w:val="21"/>
              </w:rPr>
              <w:t>5</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鹏扬品质精选混合型证券投资基金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5</w:t>
            </w:r>
            <w:r w:rsidRPr="00E876A9">
              <w:rPr>
                <w:rFonts w:asciiTheme="minorEastAsia" w:hAnsiTheme="minorEastAsia"/>
                <w:color w:val="000000" w:themeColor="text1"/>
                <w:szCs w:val="21"/>
              </w:rPr>
              <w:t>6</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鹏扬丰融价值先锋一年持有期混合型证券投资基金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5</w:t>
            </w:r>
            <w:r w:rsidRPr="00E876A9">
              <w:rPr>
                <w:rFonts w:asciiTheme="minorEastAsia" w:hAnsiTheme="minorEastAsia"/>
                <w:color w:val="000000" w:themeColor="text1"/>
                <w:szCs w:val="21"/>
              </w:rPr>
              <w:t>7</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鹏扬中债3-5年国开行债券指数证券投资基金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5</w:t>
            </w:r>
            <w:r w:rsidRPr="00E876A9">
              <w:rPr>
                <w:rFonts w:asciiTheme="minorEastAsia" w:hAnsiTheme="minorEastAsia"/>
                <w:color w:val="000000" w:themeColor="text1"/>
                <w:szCs w:val="21"/>
              </w:rPr>
              <w:t>8</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鹏扬丰利一年定期开放债券型证券投资基金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5</w:t>
            </w:r>
            <w:r w:rsidRPr="00E876A9">
              <w:rPr>
                <w:rFonts w:asciiTheme="minorEastAsia" w:hAnsiTheme="minorEastAsia"/>
                <w:color w:val="000000" w:themeColor="text1"/>
                <w:szCs w:val="21"/>
              </w:rPr>
              <w:t>9</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鹏扬稳健优选一年持有期混合型基金中基金（FOF）</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6</w:t>
            </w:r>
            <w:r w:rsidRPr="00E876A9">
              <w:rPr>
                <w:rFonts w:asciiTheme="minorEastAsia" w:hAnsiTheme="minorEastAsia"/>
                <w:color w:val="000000" w:themeColor="text1"/>
                <w:szCs w:val="21"/>
              </w:rPr>
              <w:t>0</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鹏扬消费行业混合型发起式证券投资基金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6</w:t>
            </w:r>
            <w:r w:rsidRPr="00E876A9">
              <w:rPr>
                <w:rFonts w:asciiTheme="minorEastAsia" w:hAnsiTheme="minorEastAsia"/>
                <w:color w:val="000000" w:themeColor="text1"/>
                <w:szCs w:val="21"/>
              </w:rPr>
              <w:t>1</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鹏扬成长领航混合型证券投资基金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6</w:t>
            </w:r>
            <w:r w:rsidRPr="00E876A9">
              <w:rPr>
                <w:rFonts w:asciiTheme="minorEastAsia" w:hAnsiTheme="minorEastAsia"/>
                <w:color w:val="000000" w:themeColor="text1"/>
                <w:szCs w:val="21"/>
              </w:rPr>
              <w:t>2</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鹏扬产业智选一年持有期混合型证券投资基金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6</w:t>
            </w:r>
            <w:r w:rsidRPr="00E876A9">
              <w:rPr>
                <w:rFonts w:asciiTheme="minorEastAsia" w:hAnsiTheme="minorEastAsia"/>
                <w:color w:val="000000" w:themeColor="text1"/>
                <w:szCs w:val="21"/>
              </w:rPr>
              <w:t>3</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鹏扬中证数字经济主题交易型开放式指数证券投资基金发起式联接基金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6</w:t>
            </w:r>
            <w:r w:rsidRPr="00E876A9">
              <w:rPr>
                <w:rFonts w:asciiTheme="minorEastAsia" w:hAnsiTheme="minorEastAsia"/>
                <w:color w:val="000000" w:themeColor="text1"/>
                <w:szCs w:val="21"/>
              </w:rPr>
              <w:t>4</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鹏扬中证科创创业50交易型开放式指数证券投资基金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6</w:t>
            </w:r>
            <w:r w:rsidRPr="00E876A9">
              <w:rPr>
                <w:rFonts w:asciiTheme="minorEastAsia" w:hAnsiTheme="minorEastAsia"/>
                <w:color w:val="000000" w:themeColor="text1"/>
                <w:szCs w:val="21"/>
              </w:rPr>
              <w:t>5</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鹏扬中证500质量成长交易型开放式指数证券投资基金联接基金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6</w:t>
            </w:r>
            <w:r w:rsidRPr="00E876A9">
              <w:rPr>
                <w:rFonts w:asciiTheme="minorEastAsia" w:hAnsiTheme="minorEastAsia"/>
                <w:color w:val="000000" w:themeColor="text1"/>
                <w:szCs w:val="21"/>
              </w:rPr>
              <w:t>6</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鹏扬中证科创创业50交易型开放式指数证券投资基金联接基金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6</w:t>
            </w:r>
            <w:r w:rsidRPr="00E876A9">
              <w:rPr>
                <w:rFonts w:asciiTheme="minorEastAsia" w:hAnsiTheme="minorEastAsia"/>
                <w:color w:val="000000" w:themeColor="text1"/>
                <w:szCs w:val="21"/>
              </w:rPr>
              <w:t>7</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鹏扬中证同业存单AAA指数7天持有期证券投资基金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6</w:t>
            </w:r>
            <w:r w:rsidRPr="00E876A9">
              <w:rPr>
                <w:rFonts w:asciiTheme="minorEastAsia" w:hAnsiTheme="minorEastAsia"/>
                <w:color w:val="000000" w:themeColor="text1"/>
                <w:szCs w:val="21"/>
              </w:rPr>
              <w:t>8</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鹏扬裕利三年封闭式债券型证券投资基金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6</w:t>
            </w:r>
            <w:r w:rsidRPr="00E876A9">
              <w:rPr>
                <w:rFonts w:asciiTheme="minorEastAsia" w:hAnsiTheme="minorEastAsia"/>
                <w:color w:val="000000" w:themeColor="text1"/>
                <w:szCs w:val="21"/>
              </w:rPr>
              <w:t>9</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鹏扬北证5</w:t>
            </w:r>
            <w:r w:rsidRPr="00E876A9">
              <w:rPr>
                <w:rFonts w:asciiTheme="minorEastAsia" w:hAnsiTheme="minorEastAsia"/>
                <w:color w:val="000000"/>
                <w:szCs w:val="21"/>
              </w:rPr>
              <w:t>0</w:t>
            </w:r>
            <w:r w:rsidRPr="00E876A9">
              <w:rPr>
                <w:rFonts w:asciiTheme="minorEastAsia" w:hAnsiTheme="minorEastAsia" w:hint="eastAsia"/>
                <w:color w:val="000000"/>
                <w:szCs w:val="21"/>
              </w:rPr>
              <w:t>成份指数证券投资基金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lastRenderedPageBreak/>
              <w:t>7</w:t>
            </w:r>
            <w:r w:rsidRPr="00E876A9">
              <w:rPr>
                <w:rFonts w:asciiTheme="minorEastAsia" w:hAnsiTheme="minorEastAsia"/>
                <w:color w:val="000000" w:themeColor="text1"/>
                <w:szCs w:val="21"/>
              </w:rPr>
              <w:t>0</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鹏扬中债-30年期国债交易型开放式指数证券投资基金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7</w:t>
            </w:r>
            <w:r w:rsidRPr="00E876A9">
              <w:rPr>
                <w:rFonts w:asciiTheme="minorEastAsia" w:hAnsiTheme="minorEastAsia"/>
                <w:color w:val="000000" w:themeColor="text1"/>
                <w:szCs w:val="21"/>
              </w:rPr>
              <w:t>1</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鹏扬景泽一年持有期混合型证券投资基金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7</w:t>
            </w:r>
            <w:r w:rsidRPr="00E876A9">
              <w:rPr>
                <w:rFonts w:asciiTheme="minorEastAsia" w:hAnsiTheme="minorEastAsia"/>
                <w:color w:val="000000" w:themeColor="text1"/>
                <w:szCs w:val="21"/>
              </w:rPr>
              <w:t>2</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鹏扬均衡成长混合型证券投资基金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7</w:t>
            </w:r>
            <w:r w:rsidRPr="00E876A9">
              <w:rPr>
                <w:rFonts w:asciiTheme="minorEastAsia" w:hAnsiTheme="minorEastAsia"/>
                <w:color w:val="000000" w:themeColor="text1"/>
                <w:szCs w:val="21"/>
              </w:rPr>
              <w:t>3</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鹏扬国证财富管理交易型开放式指数证券投资基金</w:t>
            </w:r>
          </w:p>
        </w:tc>
      </w:tr>
      <w:tr w:rsidR="00C661C5" w:rsidRPr="00E876A9" w:rsidTr="00CC64B4">
        <w:trPr>
          <w:trHeight w:val="300"/>
          <w:jc w:val="center"/>
        </w:trPr>
        <w:tc>
          <w:tcPr>
            <w:tcW w:w="951" w:type="dxa"/>
          </w:tcPr>
          <w:p w:rsidR="00C661C5" w:rsidRPr="00E876A9" w:rsidRDefault="00C661C5" w:rsidP="00C661C5">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7</w:t>
            </w:r>
            <w:r w:rsidRPr="00E876A9">
              <w:rPr>
                <w:rFonts w:asciiTheme="minorEastAsia" w:hAnsiTheme="minorEastAsia"/>
                <w:color w:val="000000" w:themeColor="text1"/>
                <w:szCs w:val="21"/>
              </w:rPr>
              <w:t>4</w:t>
            </w:r>
          </w:p>
        </w:tc>
        <w:tc>
          <w:tcPr>
            <w:tcW w:w="6841" w:type="dxa"/>
            <w:vAlign w:val="center"/>
          </w:tcPr>
          <w:p w:rsidR="00C661C5" w:rsidRPr="00E876A9" w:rsidRDefault="00C661C5" w:rsidP="00C661C5">
            <w:pPr>
              <w:jc w:val="center"/>
              <w:rPr>
                <w:rFonts w:asciiTheme="minorEastAsia" w:hAnsiTheme="minorEastAsia"/>
                <w:color w:val="000000"/>
                <w:szCs w:val="21"/>
              </w:rPr>
            </w:pPr>
            <w:r w:rsidRPr="00E876A9">
              <w:rPr>
                <w:rFonts w:asciiTheme="minorEastAsia" w:hAnsiTheme="minorEastAsia" w:hint="eastAsia"/>
                <w:color w:val="000000"/>
                <w:szCs w:val="21"/>
              </w:rPr>
              <w:t>鹏扬景瑞三年持有期混合型证券投资基金</w:t>
            </w:r>
          </w:p>
        </w:tc>
      </w:tr>
      <w:tr w:rsidR="00A24CCC" w:rsidRPr="00E876A9" w:rsidTr="00CC64B4">
        <w:trPr>
          <w:trHeight w:val="300"/>
          <w:jc w:val="center"/>
        </w:trPr>
        <w:tc>
          <w:tcPr>
            <w:tcW w:w="951" w:type="dxa"/>
          </w:tcPr>
          <w:p w:rsidR="00A24CCC" w:rsidRPr="00E876A9" w:rsidRDefault="00A24CCC" w:rsidP="00A24CCC">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7</w:t>
            </w:r>
            <w:r w:rsidRPr="00E876A9">
              <w:rPr>
                <w:rFonts w:asciiTheme="minorEastAsia" w:hAnsiTheme="minorEastAsia"/>
                <w:color w:val="000000" w:themeColor="text1"/>
                <w:szCs w:val="21"/>
              </w:rPr>
              <w:t>5</w:t>
            </w:r>
          </w:p>
        </w:tc>
        <w:tc>
          <w:tcPr>
            <w:tcW w:w="6841" w:type="dxa"/>
            <w:vAlign w:val="center"/>
          </w:tcPr>
          <w:p w:rsidR="00A24CCC" w:rsidRPr="00E876A9" w:rsidRDefault="00A24CCC" w:rsidP="00A24CCC">
            <w:pPr>
              <w:jc w:val="center"/>
              <w:rPr>
                <w:rFonts w:asciiTheme="minorEastAsia" w:hAnsiTheme="minorEastAsia"/>
                <w:color w:val="000000"/>
                <w:szCs w:val="21"/>
              </w:rPr>
            </w:pPr>
            <w:r w:rsidRPr="00E876A9">
              <w:rPr>
                <w:rFonts w:asciiTheme="minorEastAsia" w:hAnsiTheme="minorEastAsia" w:hint="eastAsia"/>
                <w:szCs w:val="21"/>
              </w:rPr>
              <w:t>鹏扬中证国有企业红利交易型开放式指数证券投资基金</w:t>
            </w:r>
          </w:p>
        </w:tc>
      </w:tr>
      <w:tr w:rsidR="00A24CCC" w:rsidRPr="00E876A9" w:rsidTr="00CC64B4">
        <w:trPr>
          <w:trHeight w:val="300"/>
          <w:jc w:val="center"/>
        </w:trPr>
        <w:tc>
          <w:tcPr>
            <w:tcW w:w="951" w:type="dxa"/>
          </w:tcPr>
          <w:p w:rsidR="00A24CCC" w:rsidRPr="00E876A9" w:rsidRDefault="00A24CCC" w:rsidP="00A24CCC">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7</w:t>
            </w:r>
            <w:r w:rsidRPr="00E876A9">
              <w:rPr>
                <w:rFonts w:asciiTheme="minorEastAsia" w:hAnsiTheme="minorEastAsia"/>
                <w:color w:val="000000" w:themeColor="text1"/>
                <w:szCs w:val="21"/>
              </w:rPr>
              <w:t>6</w:t>
            </w:r>
          </w:p>
        </w:tc>
        <w:tc>
          <w:tcPr>
            <w:tcW w:w="6841" w:type="dxa"/>
            <w:vAlign w:val="center"/>
          </w:tcPr>
          <w:p w:rsidR="00A24CCC" w:rsidRPr="00E876A9" w:rsidRDefault="00A24CCC" w:rsidP="00A24CCC">
            <w:pPr>
              <w:jc w:val="center"/>
              <w:rPr>
                <w:rFonts w:asciiTheme="minorEastAsia" w:hAnsiTheme="minorEastAsia"/>
                <w:color w:val="000000"/>
                <w:szCs w:val="21"/>
              </w:rPr>
            </w:pPr>
            <w:r w:rsidRPr="00E876A9">
              <w:rPr>
                <w:rFonts w:asciiTheme="minorEastAsia" w:hAnsiTheme="minorEastAsia" w:hint="eastAsia"/>
                <w:szCs w:val="21"/>
              </w:rPr>
              <w:t>鹏扬景添一年持有期混合型证券投资基金</w:t>
            </w:r>
          </w:p>
        </w:tc>
      </w:tr>
      <w:tr w:rsidR="00A24CCC" w:rsidRPr="00E876A9" w:rsidTr="00CC64B4">
        <w:trPr>
          <w:trHeight w:val="300"/>
          <w:jc w:val="center"/>
        </w:trPr>
        <w:tc>
          <w:tcPr>
            <w:tcW w:w="951" w:type="dxa"/>
          </w:tcPr>
          <w:p w:rsidR="00A24CCC" w:rsidRPr="00E876A9" w:rsidRDefault="00A24CCC" w:rsidP="00A24CCC">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7</w:t>
            </w:r>
            <w:r w:rsidRPr="00E876A9">
              <w:rPr>
                <w:rFonts w:asciiTheme="minorEastAsia" w:hAnsiTheme="minorEastAsia"/>
                <w:color w:val="000000" w:themeColor="text1"/>
                <w:szCs w:val="21"/>
              </w:rPr>
              <w:t>7</w:t>
            </w:r>
          </w:p>
        </w:tc>
        <w:tc>
          <w:tcPr>
            <w:tcW w:w="6841" w:type="dxa"/>
            <w:vAlign w:val="center"/>
          </w:tcPr>
          <w:p w:rsidR="00A24CCC" w:rsidRPr="00E876A9" w:rsidRDefault="00A24CCC" w:rsidP="00A24CCC">
            <w:pPr>
              <w:jc w:val="center"/>
              <w:rPr>
                <w:rFonts w:asciiTheme="minorEastAsia" w:hAnsiTheme="minorEastAsia"/>
                <w:color w:val="000000"/>
                <w:szCs w:val="21"/>
              </w:rPr>
            </w:pPr>
            <w:r w:rsidRPr="00E876A9">
              <w:rPr>
                <w:rFonts w:asciiTheme="minorEastAsia" w:hAnsiTheme="minorEastAsia" w:hint="eastAsia"/>
                <w:szCs w:val="21"/>
              </w:rPr>
              <w:t>鹏扬医疗健康混合型证券投资基金</w:t>
            </w:r>
          </w:p>
        </w:tc>
      </w:tr>
      <w:tr w:rsidR="00E876A9" w:rsidRPr="00E876A9" w:rsidTr="00D51242">
        <w:trPr>
          <w:trHeight w:val="300"/>
          <w:jc w:val="center"/>
        </w:trPr>
        <w:tc>
          <w:tcPr>
            <w:tcW w:w="951" w:type="dxa"/>
            <w:vAlign w:val="center"/>
          </w:tcPr>
          <w:p w:rsidR="00E876A9" w:rsidRPr="00E876A9" w:rsidRDefault="00E876A9" w:rsidP="00E876A9">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78</w:t>
            </w:r>
          </w:p>
        </w:tc>
        <w:tc>
          <w:tcPr>
            <w:tcW w:w="6841" w:type="dxa"/>
            <w:vAlign w:val="center"/>
          </w:tcPr>
          <w:p w:rsidR="00E876A9" w:rsidRPr="00E876A9" w:rsidRDefault="00E876A9" w:rsidP="00E876A9">
            <w:pPr>
              <w:jc w:val="center"/>
              <w:rPr>
                <w:rFonts w:asciiTheme="minorEastAsia" w:hAnsiTheme="minorEastAsia"/>
                <w:szCs w:val="21"/>
              </w:rPr>
            </w:pPr>
            <w:r w:rsidRPr="00E876A9">
              <w:rPr>
                <w:rFonts w:asciiTheme="minorEastAsia" w:hAnsiTheme="minorEastAsia" w:hint="eastAsia"/>
                <w:color w:val="000000"/>
                <w:szCs w:val="21"/>
              </w:rPr>
              <w:t>鹏扬淳泰一年定期开放债券型发起式证券投资基金</w:t>
            </w:r>
          </w:p>
        </w:tc>
      </w:tr>
      <w:tr w:rsidR="00E876A9" w:rsidRPr="00E876A9" w:rsidTr="00D51242">
        <w:trPr>
          <w:trHeight w:val="300"/>
          <w:jc w:val="center"/>
        </w:trPr>
        <w:tc>
          <w:tcPr>
            <w:tcW w:w="951" w:type="dxa"/>
            <w:vAlign w:val="center"/>
          </w:tcPr>
          <w:p w:rsidR="00E876A9" w:rsidRPr="00E876A9" w:rsidRDefault="00E876A9" w:rsidP="00E876A9">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79</w:t>
            </w:r>
          </w:p>
        </w:tc>
        <w:tc>
          <w:tcPr>
            <w:tcW w:w="6841" w:type="dxa"/>
            <w:vAlign w:val="center"/>
          </w:tcPr>
          <w:p w:rsidR="00E876A9" w:rsidRPr="00E876A9" w:rsidRDefault="00E876A9" w:rsidP="00E876A9">
            <w:pPr>
              <w:jc w:val="center"/>
              <w:rPr>
                <w:rFonts w:asciiTheme="minorEastAsia" w:hAnsiTheme="minorEastAsia"/>
                <w:szCs w:val="21"/>
              </w:rPr>
            </w:pPr>
            <w:r w:rsidRPr="00E876A9">
              <w:rPr>
                <w:rFonts w:asciiTheme="minorEastAsia" w:hAnsiTheme="minorEastAsia" w:hint="eastAsia"/>
                <w:color w:val="000000"/>
                <w:szCs w:val="21"/>
              </w:rPr>
              <w:t>鹏扬平衡养老目标三年持有期混合型发起式基金中基金（FOF）</w:t>
            </w:r>
          </w:p>
        </w:tc>
      </w:tr>
      <w:tr w:rsidR="00E876A9" w:rsidRPr="00E876A9" w:rsidTr="00D51242">
        <w:trPr>
          <w:trHeight w:val="300"/>
          <w:jc w:val="center"/>
        </w:trPr>
        <w:tc>
          <w:tcPr>
            <w:tcW w:w="951" w:type="dxa"/>
            <w:vAlign w:val="center"/>
          </w:tcPr>
          <w:p w:rsidR="00E876A9" w:rsidRPr="00E876A9" w:rsidRDefault="00E876A9" w:rsidP="00E876A9">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80</w:t>
            </w:r>
          </w:p>
        </w:tc>
        <w:tc>
          <w:tcPr>
            <w:tcW w:w="6841" w:type="dxa"/>
            <w:vAlign w:val="center"/>
          </w:tcPr>
          <w:p w:rsidR="00E876A9" w:rsidRPr="00E876A9" w:rsidRDefault="00E876A9" w:rsidP="00E876A9">
            <w:pPr>
              <w:jc w:val="center"/>
              <w:rPr>
                <w:rFonts w:asciiTheme="minorEastAsia" w:hAnsiTheme="minorEastAsia"/>
                <w:szCs w:val="21"/>
              </w:rPr>
            </w:pPr>
            <w:r w:rsidRPr="00E876A9">
              <w:rPr>
                <w:rFonts w:asciiTheme="minorEastAsia" w:hAnsiTheme="minorEastAsia" w:hint="eastAsia"/>
                <w:color w:val="000000"/>
                <w:szCs w:val="21"/>
              </w:rPr>
              <w:t>鹏扬淳旭债券型证券投资基金</w:t>
            </w:r>
          </w:p>
        </w:tc>
      </w:tr>
      <w:tr w:rsidR="00E876A9" w:rsidRPr="00E876A9" w:rsidTr="00D51242">
        <w:tblPrEx>
          <w:jc w:val="left"/>
        </w:tblPrEx>
        <w:trPr>
          <w:trHeight w:val="300"/>
        </w:trPr>
        <w:tc>
          <w:tcPr>
            <w:tcW w:w="951" w:type="dxa"/>
            <w:vAlign w:val="center"/>
          </w:tcPr>
          <w:p w:rsidR="00E876A9" w:rsidRPr="00E876A9" w:rsidRDefault="00E876A9" w:rsidP="00E876A9">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81</w:t>
            </w:r>
          </w:p>
        </w:tc>
        <w:tc>
          <w:tcPr>
            <w:tcW w:w="6841" w:type="dxa"/>
            <w:vAlign w:val="center"/>
          </w:tcPr>
          <w:p w:rsidR="00E876A9" w:rsidRPr="00E876A9" w:rsidRDefault="00E876A9" w:rsidP="00E876A9">
            <w:pPr>
              <w:jc w:val="center"/>
              <w:rPr>
                <w:rFonts w:asciiTheme="minorEastAsia" w:hAnsiTheme="minorEastAsia"/>
                <w:szCs w:val="21"/>
              </w:rPr>
            </w:pPr>
            <w:r w:rsidRPr="00E876A9">
              <w:rPr>
                <w:rFonts w:asciiTheme="minorEastAsia" w:hAnsiTheme="minorEastAsia" w:hint="eastAsia"/>
                <w:color w:val="000000"/>
                <w:szCs w:val="21"/>
              </w:rPr>
              <w:t>鹏扬消费量化选股混合型证券投资基金</w:t>
            </w:r>
          </w:p>
        </w:tc>
      </w:tr>
      <w:tr w:rsidR="00E876A9" w:rsidRPr="00E876A9" w:rsidTr="00D51242">
        <w:tblPrEx>
          <w:jc w:val="left"/>
        </w:tblPrEx>
        <w:trPr>
          <w:trHeight w:val="300"/>
        </w:trPr>
        <w:tc>
          <w:tcPr>
            <w:tcW w:w="951" w:type="dxa"/>
            <w:vAlign w:val="center"/>
          </w:tcPr>
          <w:p w:rsidR="00E876A9" w:rsidRPr="00E876A9" w:rsidRDefault="00E876A9" w:rsidP="00E876A9">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82</w:t>
            </w:r>
          </w:p>
        </w:tc>
        <w:tc>
          <w:tcPr>
            <w:tcW w:w="6841" w:type="dxa"/>
            <w:vAlign w:val="center"/>
          </w:tcPr>
          <w:p w:rsidR="00E876A9" w:rsidRPr="00E876A9" w:rsidRDefault="00E876A9" w:rsidP="00E876A9">
            <w:pPr>
              <w:jc w:val="center"/>
              <w:rPr>
                <w:rFonts w:asciiTheme="minorEastAsia" w:hAnsiTheme="minorEastAsia"/>
                <w:szCs w:val="21"/>
              </w:rPr>
            </w:pPr>
            <w:r w:rsidRPr="00E876A9">
              <w:rPr>
                <w:rFonts w:asciiTheme="minorEastAsia" w:hAnsiTheme="minorEastAsia" w:hint="eastAsia"/>
                <w:color w:val="000000"/>
                <w:szCs w:val="21"/>
              </w:rPr>
              <w:t>鹏扬消费主题混合型发起式证券投资基金</w:t>
            </w:r>
          </w:p>
        </w:tc>
      </w:tr>
      <w:tr w:rsidR="00E876A9" w:rsidRPr="00E876A9" w:rsidTr="00D51242">
        <w:tblPrEx>
          <w:jc w:val="left"/>
        </w:tblPrEx>
        <w:trPr>
          <w:trHeight w:val="300"/>
        </w:trPr>
        <w:tc>
          <w:tcPr>
            <w:tcW w:w="951" w:type="dxa"/>
            <w:vAlign w:val="center"/>
          </w:tcPr>
          <w:p w:rsidR="00E876A9" w:rsidRPr="00E876A9" w:rsidRDefault="00E876A9" w:rsidP="00E876A9">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83</w:t>
            </w:r>
          </w:p>
        </w:tc>
        <w:tc>
          <w:tcPr>
            <w:tcW w:w="6841" w:type="dxa"/>
            <w:vAlign w:val="center"/>
          </w:tcPr>
          <w:p w:rsidR="00E876A9" w:rsidRPr="00E876A9" w:rsidRDefault="00E876A9" w:rsidP="00E876A9">
            <w:pPr>
              <w:jc w:val="center"/>
              <w:rPr>
                <w:rFonts w:asciiTheme="minorEastAsia" w:hAnsiTheme="minorEastAsia"/>
                <w:szCs w:val="21"/>
              </w:rPr>
            </w:pPr>
            <w:r w:rsidRPr="00E876A9">
              <w:rPr>
                <w:rFonts w:asciiTheme="minorEastAsia" w:hAnsiTheme="minorEastAsia" w:hint="eastAsia"/>
                <w:color w:val="000000"/>
                <w:szCs w:val="21"/>
              </w:rPr>
              <w:t>鹏扬国证财富管理交易型开放式指数证券投资基金发起式联接基金</w:t>
            </w:r>
          </w:p>
        </w:tc>
      </w:tr>
      <w:tr w:rsidR="00E876A9" w:rsidRPr="00E876A9" w:rsidTr="00D51242">
        <w:tblPrEx>
          <w:jc w:val="left"/>
        </w:tblPrEx>
        <w:trPr>
          <w:trHeight w:val="300"/>
        </w:trPr>
        <w:tc>
          <w:tcPr>
            <w:tcW w:w="951" w:type="dxa"/>
            <w:vAlign w:val="center"/>
          </w:tcPr>
          <w:p w:rsidR="00E876A9" w:rsidRPr="00E876A9" w:rsidRDefault="00E876A9" w:rsidP="00E876A9">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84</w:t>
            </w:r>
          </w:p>
        </w:tc>
        <w:tc>
          <w:tcPr>
            <w:tcW w:w="6841" w:type="dxa"/>
            <w:vAlign w:val="center"/>
          </w:tcPr>
          <w:p w:rsidR="00E876A9" w:rsidRPr="00E876A9" w:rsidRDefault="00E876A9" w:rsidP="00E876A9">
            <w:pPr>
              <w:jc w:val="center"/>
              <w:rPr>
                <w:rFonts w:asciiTheme="minorEastAsia" w:hAnsiTheme="minorEastAsia"/>
                <w:szCs w:val="21"/>
              </w:rPr>
            </w:pPr>
            <w:r w:rsidRPr="00E876A9">
              <w:rPr>
                <w:rFonts w:asciiTheme="minorEastAsia" w:hAnsiTheme="minorEastAsia" w:hint="eastAsia"/>
                <w:color w:val="000000"/>
                <w:szCs w:val="21"/>
              </w:rPr>
              <w:t>鹏扬季季鑫90天滚动持有期债券型证券投资基金</w:t>
            </w:r>
          </w:p>
        </w:tc>
      </w:tr>
      <w:tr w:rsidR="00E876A9" w:rsidRPr="00E876A9" w:rsidTr="00D51242">
        <w:tblPrEx>
          <w:jc w:val="left"/>
        </w:tblPrEx>
        <w:trPr>
          <w:trHeight w:val="300"/>
        </w:trPr>
        <w:tc>
          <w:tcPr>
            <w:tcW w:w="951" w:type="dxa"/>
            <w:vAlign w:val="center"/>
          </w:tcPr>
          <w:p w:rsidR="00E876A9" w:rsidRPr="00E876A9" w:rsidRDefault="00E876A9" w:rsidP="00E876A9">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85</w:t>
            </w:r>
          </w:p>
        </w:tc>
        <w:tc>
          <w:tcPr>
            <w:tcW w:w="6841" w:type="dxa"/>
            <w:vAlign w:val="center"/>
          </w:tcPr>
          <w:p w:rsidR="00E876A9" w:rsidRPr="00E876A9" w:rsidRDefault="00E876A9" w:rsidP="00E876A9">
            <w:pPr>
              <w:jc w:val="center"/>
              <w:rPr>
                <w:rFonts w:asciiTheme="minorEastAsia" w:hAnsiTheme="minorEastAsia"/>
                <w:szCs w:val="21"/>
              </w:rPr>
            </w:pPr>
            <w:r w:rsidRPr="00E876A9">
              <w:rPr>
                <w:rFonts w:asciiTheme="minorEastAsia" w:hAnsiTheme="minorEastAsia" w:hint="eastAsia"/>
                <w:color w:val="000000"/>
                <w:szCs w:val="21"/>
              </w:rPr>
              <w:t>鹏扬中证国有企业红利交易型开放式指数证券投资基金联接基金</w:t>
            </w:r>
          </w:p>
        </w:tc>
      </w:tr>
      <w:tr w:rsidR="00E876A9" w:rsidRPr="00E876A9" w:rsidTr="00D51242">
        <w:tblPrEx>
          <w:jc w:val="left"/>
        </w:tblPrEx>
        <w:trPr>
          <w:trHeight w:val="300"/>
        </w:trPr>
        <w:tc>
          <w:tcPr>
            <w:tcW w:w="951" w:type="dxa"/>
            <w:vAlign w:val="center"/>
          </w:tcPr>
          <w:p w:rsidR="00E876A9" w:rsidRPr="00E876A9" w:rsidRDefault="00E876A9" w:rsidP="00E876A9">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86</w:t>
            </w:r>
          </w:p>
        </w:tc>
        <w:tc>
          <w:tcPr>
            <w:tcW w:w="6841" w:type="dxa"/>
            <w:vAlign w:val="center"/>
          </w:tcPr>
          <w:p w:rsidR="00E876A9" w:rsidRPr="00E876A9" w:rsidRDefault="00E876A9" w:rsidP="00E876A9">
            <w:pPr>
              <w:jc w:val="center"/>
              <w:rPr>
                <w:rFonts w:asciiTheme="minorEastAsia" w:hAnsiTheme="minorEastAsia"/>
                <w:szCs w:val="21"/>
              </w:rPr>
            </w:pPr>
            <w:r w:rsidRPr="00E876A9">
              <w:rPr>
                <w:rFonts w:asciiTheme="minorEastAsia" w:hAnsiTheme="minorEastAsia" w:hint="eastAsia"/>
                <w:color w:val="000000"/>
                <w:szCs w:val="21"/>
              </w:rPr>
              <w:t>鹏扬中债0-3年政策性金融债指数证券投资基金</w:t>
            </w:r>
          </w:p>
        </w:tc>
      </w:tr>
      <w:tr w:rsidR="00E876A9" w:rsidRPr="00E876A9" w:rsidTr="00D51242">
        <w:tblPrEx>
          <w:jc w:val="left"/>
        </w:tblPrEx>
        <w:trPr>
          <w:trHeight w:val="300"/>
        </w:trPr>
        <w:tc>
          <w:tcPr>
            <w:tcW w:w="951" w:type="dxa"/>
            <w:vAlign w:val="center"/>
          </w:tcPr>
          <w:p w:rsidR="00E876A9" w:rsidRPr="00E876A9" w:rsidRDefault="00E876A9" w:rsidP="00E876A9">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87</w:t>
            </w:r>
          </w:p>
        </w:tc>
        <w:tc>
          <w:tcPr>
            <w:tcW w:w="6841" w:type="dxa"/>
            <w:vAlign w:val="center"/>
          </w:tcPr>
          <w:p w:rsidR="00E876A9" w:rsidRPr="00E876A9" w:rsidRDefault="00E876A9" w:rsidP="00E876A9">
            <w:pPr>
              <w:jc w:val="center"/>
              <w:rPr>
                <w:rFonts w:asciiTheme="minorEastAsia" w:hAnsiTheme="minorEastAsia"/>
                <w:szCs w:val="21"/>
              </w:rPr>
            </w:pPr>
            <w:r w:rsidRPr="00E876A9">
              <w:rPr>
                <w:rFonts w:asciiTheme="minorEastAsia" w:hAnsiTheme="minorEastAsia" w:hint="eastAsia"/>
                <w:color w:val="000000"/>
                <w:szCs w:val="21"/>
              </w:rPr>
              <w:t>鹏扬永利90天持有期债券型证券投资基金</w:t>
            </w:r>
          </w:p>
        </w:tc>
      </w:tr>
      <w:tr w:rsidR="00E876A9" w:rsidRPr="00E876A9" w:rsidTr="00D51242">
        <w:tblPrEx>
          <w:jc w:val="left"/>
        </w:tblPrEx>
        <w:trPr>
          <w:trHeight w:val="300"/>
        </w:trPr>
        <w:tc>
          <w:tcPr>
            <w:tcW w:w="951" w:type="dxa"/>
            <w:vAlign w:val="center"/>
          </w:tcPr>
          <w:p w:rsidR="00E876A9" w:rsidRPr="00E876A9" w:rsidRDefault="00E876A9" w:rsidP="00E876A9">
            <w:pPr>
              <w:jc w:val="center"/>
              <w:rPr>
                <w:rFonts w:asciiTheme="minorEastAsia" w:hAnsiTheme="minorEastAsia"/>
                <w:color w:val="000000" w:themeColor="text1"/>
                <w:szCs w:val="21"/>
              </w:rPr>
            </w:pPr>
            <w:r w:rsidRPr="00E876A9">
              <w:rPr>
                <w:rFonts w:asciiTheme="minorEastAsia" w:hAnsiTheme="minorEastAsia" w:hint="eastAsia"/>
                <w:color w:val="000000" w:themeColor="text1"/>
                <w:szCs w:val="21"/>
              </w:rPr>
              <w:t>88</w:t>
            </w:r>
          </w:p>
        </w:tc>
        <w:tc>
          <w:tcPr>
            <w:tcW w:w="6841" w:type="dxa"/>
            <w:vAlign w:val="center"/>
          </w:tcPr>
          <w:p w:rsidR="00E876A9" w:rsidRPr="00E876A9" w:rsidRDefault="00E876A9" w:rsidP="00E876A9">
            <w:pPr>
              <w:jc w:val="center"/>
              <w:rPr>
                <w:rFonts w:asciiTheme="minorEastAsia" w:hAnsiTheme="minorEastAsia"/>
                <w:szCs w:val="21"/>
              </w:rPr>
            </w:pPr>
            <w:r w:rsidRPr="00E876A9">
              <w:rPr>
                <w:rFonts w:asciiTheme="minorEastAsia" w:hAnsiTheme="minorEastAsia" w:hint="eastAsia"/>
                <w:color w:val="000000"/>
                <w:szCs w:val="21"/>
              </w:rPr>
              <w:t>鹏扬稳鑫120天滚动持有债券型证券投资基金</w:t>
            </w:r>
          </w:p>
        </w:tc>
      </w:tr>
    </w:tbl>
    <w:p w:rsidR="00FF0FCA" w:rsidRPr="00E876A9" w:rsidRDefault="00FF0FCA" w:rsidP="00FD1468">
      <w:pPr>
        <w:ind w:firstLineChars="200" w:firstLine="420"/>
        <w:rPr>
          <w:rFonts w:asciiTheme="minorEastAsia" w:hAnsiTheme="minorEastAsia"/>
          <w:color w:val="000000" w:themeColor="text1"/>
          <w:szCs w:val="21"/>
        </w:rPr>
      </w:pPr>
    </w:p>
    <w:p w:rsidR="00BB3501" w:rsidRPr="00E876A9" w:rsidRDefault="00BB3501" w:rsidP="00FD1468">
      <w:pPr>
        <w:ind w:firstLineChars="200" w:firstLine="420"/>
        <w:rPr>
          <w:rFonts w:asciiTheme="minorEastAsia" w:hAnsiTheme="minorEastAsia"/>
          <w:color w:val="000000" w:themeColor="text1"/>
          <w:szCs w:val="21"/>
        </w:rPr>
      </w:pPr>
      <w:r w:rsidRPr="00E876A9">
        <w:rPr>
          <w:rFonts w:asciiTheme="minorEastAsia" w:hAnsiTheme="minorEastAsia" w:hint="eastAsia"/>
          <w:color w:val="000000" w:themeColor="text1"/>
          <w:szCs w:val="21"/>
        </w:rPr>
        <w:t>本基金管</w:t>
      </w:r>
      <w:r w:rsidR="000C1032" w:rsidRPr="00E876A9">
        <w:rPr>
          <w:rFonts w:asciiTheme="minorEastAsia" w:hAnsiTheme="minorEastAsia" w:hint="eastAsia"/>
          <w:color w:val="000000" w:themeColor="text1"/>
          <w:szCs w:val="21"/>
        </w:rPr>
        <w:t>理人承</w:t>
      </w:r>
      <w:bookmarkStart w:id="0" w:name="_GoBack"/>
      <w:bookmarkEnd w:id="0"/>
      <w:r w:rsidR="000C1032" w:rsidRPr="00E876A9">
        <w:rPr>
          <w:rFonts w:asciiTheme="minorEastAsia" w:hAnsiTheme="minorEastAsia" w:hint="eastAsia"/>
          <w:color w:val="000000" w:themeColor="text1"/>
          <w:szCs w:val="21"/>
        </w:rPr>
        <w:t>诺以诚实信用、勤勉尽责的原则管理和运用基金资产，但不保证</w:t>
      </w:r>
      <w:r w:rsidR="005A77EA" w:rsidRPr="00E876A9">
        <w:rPr>
          <w:rFonts w:asciiTheme="minorEastAsia" w:hAnsiTheme="minorEastAsia" w:hint="eastAsia"/>
          <w:color w:val="000000" w:themeColor="text1"/>
          <w:szCs w:val="21"/>
        </w:rPr>
        <w:t>基金一定盈利，也不保证最低收益。请充分了解</w:t>
      </w:r>
      <w:r w:rsidRPr="00E876A9">
        <w:rPr>
          <w:rFonts w:asciiTheme="minorEastAsia" w:hAnsiTheme="minorEastAsia" w:hint="eastAsia"/>
          <w:color w:val="000000" w:themeColor="text1"/>
          <w:szCs w:val="21"/>
        </w:rPr>
        <w:t>基金的风险收益特征，审慎做出投资决定。</w:t>
      </w:r>
    </w:p>
    <w:p w:rsidR="009A7FB3" w:rsidRPr="00E876A9" w:rsidRDefault="009A7FB3" w:rsidP="00FD1468">
      <w:pPr>
        <w:ind w:firstLineChars="200" w:firstLine="420"/>
        <w:rPr>
          <w:rFonts w:asciiTheme="minorEastAsia" w:hAnsiTheme="minorEastAsia"/>
          <w:color w:val="000000" w:themeColor="text1"/>
          <w:szCs w:val="21"/>
        </w:rPr>
      </w:pPr>
    </w:p>
    <w:p w:rsidR="00BB3501" w:rsidRPr="00E876A9" w:rsidRDefault="00BB3501" w:rsidP="00FD1468">
      <w:pPr>
        <w:ind w:firstLineChars="200" w:firstLine="420"/>
        <w:rPr>
          <w:rFonts w:asciiTheme="minorEastAsia" w:hAnsiTheme="minorEastAsia"/>
          <w:color w:val="000000" w:themeColor="text1"/>
          <w:szCs w:val="21"/>
        </w:rPr>
      </w:pPr>
      <w:r w:rsidRPr="00E876A9">
        <w:rPr>
          <w:rFonts w:asciiTheme="minorEastAsia" w:hAnsiTheme="minorEastAsia" w:hint="eastAsia"/>
          <w:color w:val="000000" w:themeColor="text1"/>
          <w:szCs w:val="21"/>
        </w:rPr>
        <w:t>特此公告。</w:t>
      </w:r>
    </w:p>
    <w:p w:rsidR="0052379D" w:rsidRPr="00E876A9" w:rsidRDefault="0052379D" w:rsidP="00FD1468">
      <w:pPr>
        <w:ind w:firstLineChars="200" w:firstLine="420"/>
        <w:rPr>
          <w:rFonts w:asciiTheme="minorEastAsia" w:hAnsiTheme="minorEastAsia"/>
          <w:color w:val="000000" w:themeColor="text1"/>
          <w:szCs w:val="21"/>
        </w:rPr>
      </w:pPr>
    </w:p>
    <w:p w:rsidR="00BB3501" w:rsidRPr="00E876A9" w:rsidRDefault="00BB3501" w:rsidP="009A7FB3">
      <w:pPr>
        <w:ind w:firstLineChars="250" w:firstLine="525"/>
        <w:jc w:val="right"/>
        <w:rPr>
          <w:rFonts w:asciiTheme="minorEastAsia" w:hAnsiTheme="minorEastAsia"/>
          <w:color w:val="000000" w:themeColor="text1"/>
          <w:szCs w:val="21"/>
        </w:rPr>
      </w:pPr>
      <w:r w:rsidRPr="00E876A9">
        <w:rPr>
          <w:rFonts w:asciiTheme="minorEastAsia" w:hAnsiTheme="minorEastAsia" w:hint="eastAsia"/>
          <w:color w:val="000000" w:themeColor="text1"/>
          <w:szCs w:val="21"/>
        </w:rPr>
        <w:t xml:space="preserve">                                </w:t>
      </w:r>
      <w:r w:rsidR="009A7FB3" w:rsidRPr="00E876A9">
        <w:rPr>
          <w:rFonts w:asciiTheme="minorEastAsia" w:hAnsiTheme="minorEastAsia" w:hint="eastAsia"/>
          <w:color w:val="000000" w:themeColor="text1"/>
          <w:szCs w:val="21"/>
        </w:rPr>
        <w:t>鹏扬</w:t>
      </w:r>
      <w:r w:rsidR="009A7FB3" w:rsidRPr="00E876A9">
        <w:rPr>
          <w:rFonts w:asciiTheme="minorEastAsia" w:hAnsiTheme="minorEastAsia"/>
          <w:color w:val="000000" w:themeColor="text1"/>
          <w:szCs w:val="21"/>
        </w:rPr>
        <w:t>基金管理有限</w:t>
      </w:r>
      <w:r w:rsidRPr="00E876A9">
        <w:rPr>
          <w:rFonts w:asciiTheme="minorEastAsia" w:hAnsiTheme="minorEastAsia"/>
          <w:color w:val="000000" w:themeColor="text1"/>
          <w:szCs w:val="21"/>
        </w:rPr>
        <w:t>公司</w:t>
      </w:r>
    </w:p>
    <w:p w:rsidR="00BB3501" w:rsidRPr="00E876A9" w:rsidRDefault="00BB3501" w:rsidP="009A7FB3">
      <w:pPr>
        <w:ind w:firstLineChars="250" w:firstLine="525"/>
        <w:jc w:val="right"/>
        <w:rPr>
          <w:rFonts w:asciiTheme="minorEastAsia" w:hAnsiTheme="minorEastAsia"/>
          <w:color w:val="000000" w:themeColor="text1"/>
          <w:szCs w:val="21"/>
        </w:rPr>
      </w:pPr>
      <w:r w:rsidRPr="00E876A9">
        <w:rPr>
          <w:rFonts w:asciiTheme="minorEastAsia" w:hAnsiTheme="minorEastAsia" w:hint="eastAsia"/>
          <w:color w:val="000000" w:themeColor="text1"/>
          <w:szCs w:val="21"/>
        </w:rPr>
        <w:t xml:space="preserve">                            </w:t>
      </w:r>
      <w:r w:rsidR="009A7FB3" w:rsidRPr="00E876A9">
        <w:rPr>
          <w:rFonts w:asciiTheme="minorEastAsia" w:hAnsiTheme="minorEastAsia" w:hint="eastAsia"/>
          <w:color w:val="000000" w:themeColor="text1"/>
          <w:szCs w:val="21"/>
        </w:rPr>
        <w:t>2</w:t>
      </w:r>
      <w:r w:rsidR="009A7FB3" w:rsidRPr="00E876A9">
        <w:rPr>
          <w:rFonts w:asciiTheme="minorEastAsia" w:hAnsiTheme="minorEastAsia"/>
          <w:color w:val="000000" w:themeColor="text1"/>
          <w:szCs w:val="21"/>
        </w:rPr>
        <w:t>0</w:t>
      </w:r>
      <w:r w:rsidR="009A3C46" w:rsidRPr="00E876A9">
        <w:rPr>
          <w:rFonts w:asciiTheme="minorEastAsia" w:hAnsiTheme="minorEastAsia" w:hint="eastAsia"/>
          <w:color w:val="000000" w:themeColor="text1"/>
          <w:szCs w:val="21"/>
        </w:rPr>
        <w:t>2</w:t>
      </w:r>
      <w:r w:rsidR="00A24CCC" w:rsidRPr="00E876A9">
        <w:rPr>
          <w:rFonts w:asciiTheme="minorEastAsia" w:hAnsiTheme="minorEastAsia"/>
          <w:color w:val="000000" w:themeColor="text1"/>
          <w:szCs w:val="21"/>
        </w:rPr>
        <w:t>4</w:t>
      </w:r>
      <w:r w:rsidRPr="00E876A9">
        <w:rPr>
          <w:rFonts w:asciiTheme="minorEastAsia" w:hAnsiTheme="minorEastAsia"/>
          <w:color w:val="000000" w:themeColor="text1"/>
          <w:szCs w:val="21"/>
        </w:rPr>
        <w:t>年</w:t>
      </w:r>
      <w:r w:rsidR="007105E3">
        <w:rPr>
          <w:rFonts w:asciiTheme="minorEastAsia" w:hAnsiTheme="minorEastAsia"/>
          <w:color w:val="000000" w:themeColor="text1"/>
          <w:szCs w:val="21"/>
        </w:rPr>
        <w:t>8</w:t>
      </w:r>
      <w:r w:rsidRPr="00E876A9">
        <w:rPr>
          <w:rFonts w:asciiTheme="minorEastAsia" w:hAnsiTheme="minorEastAsia"/>
          <w:color w:val="000000" w:themeColor="text1"/>
          <w:szCs w:val="21"/>
        </w:rPr>
        <w:t>月</w:t>
      </w:r>
      <w:r w:rsidR="00960DBF" w:rsidRPr="00E876A9">
        <w:rPr>
          <w:rFonts w:asciiTheme="minorEastAsia" w:hAnsiTheme="minorEastAsia"/>
          <w:color w:val="000000" w:themeColor="text1"/>
          <w:szCs w:val="21"/>
        </w:rPr>
        <w:t>2</w:t>
      </w:r>
      <w:r w:rsidR="00A24CCC" w:rsidRPr="00E876A9">
        <w:rPr>
          <w:rFonts w:asciiTheme="minorEastAsia" w:hAnsiTheme="minorEastAsia"/>
          <w:color w:val="000000" w:themeColor="text1"/>
          <w:szCs w:val="21"/>
        </w:rPr>
        <w:t>9</w:t>
      </w:r>
      <w:r w:rsidRPr="00E876A9">
        <w:rPr>
          <w:rFonts w:asciiTheme="minorEastAsia" w:hAnsiTheme="minorEastAsia"/>
          <w:color w:val="000000" w:themeColor="text1"/>
          <w:szCs w:val="21"/>
        </w:rPr>
        <w:t>日</w:t>
      </w:r>
    </w:p>
    <w:sectPr w:rsidR="00BB3501" w:rsidRPr="00E876A9" w:rsidSect="00084E7D">
      <w:headerReference w:type="even" r:id="rId8"/>
      <w:headerReference w:type="default" r:id="rId9"/>
      <w:footerReference w:type="even" r:id="rId10"/>
      <w:footerReference w:type="default" r:id="rId11"/>
      <w:headerReference w:type="first" r:id="rId12"/>
      <w:footerReference w:type="first" r:id="rId13"/>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B53" w:rsidRDefault="00564B53" w:rsidP="009A149B">
      <w:r>
        <w:separator/>
      </w:r>
    </w:p>
  </w:endnote>
  <w:endnote w:type="continuationSeparator" w:id="0">
    <w:p w:rsidR="00564B53" w:rsidRDefault="00564B53"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17" w:rsidRDefault="004C321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435C99">
        <w:pPr>
          <w:pStyle w:val="a4"/>
          <w:jc w:val="center"/>
        </w:pPr>
        <w:r>
          <w:fldChar w:fldCharType="begin"/>
        </w:r>
        <w:r w:rsidR="00084E7D">
          <w:instrText>PAGE   \* MERGEFORMAT</w:instrText>
        </w:r>
        <w:r>
          <w:fldChar w:fldCharType="separate"/>
        </w:r>
        <w:r w:rsidR="00D806E8" w:rsidRPr="00D806E8">
          <w:rPr>
            <w:noProof/>
            <w:lang w:val="zh-CN"/>
          </w:rPr>
          <w:t>2</w:t>
        </w:r>
        <w:r>
          <w:fldChar w:fldCharType="end"/>
        </w:r>
      </w:p>
    </w:sdtContent>
  </w:sdt>
  <w:p w:rsidR="002471D4" w:rsidRDefault="002471D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435C99">
        <w:pPr>
          <w:pStyle w:val="a4"/>
          <w:jc w:val="center"/>
        </w:pPr>
        <w:r>
          <w:fldChar w:fldCharType="begin"/>
        </w:r>
        <w:r w:rsidR="00084E7D">
          <w:instrText>PAGE   \* MERGEFORMAT</w:instrText>
        </w:r>
        <w:r>
          <w:fldChar w:fldCharType="separate"/>
        </w:r>
        <w:r w:rsidR="00D806E8" w:rsidRPr="00D806E8">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B53" w:rsidRDefault="00564B53" w:rsidP="009A149B">
      <w:r>
        <w:separator/>
      </w:r>
    </w:p>
  </w:footnote>
  <w:footnote w:type="continuationSeparator" w:id="0">
    <w:p w:rsidR="00564B53" w:rsidRDefault="00564B53" w:rsidP="009A1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17" w:rsidRDefault="004C321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17" w:rsidRDefault="004C3217">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217" w:rsidRDefault="004C321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75F0"/>
    <w:rsid w:val="000539F6"/>
    <w:rsid w:val="00055D71"/>
    <w:rsid w:val="00056EE0"/>
    <w:rsid w:val="00057323"/>
    <w:rsid w:val="0008010F"/>
    <w:rsid w:val="00081ADE"/>
    <w:rsid w:val="00084E7D"/>
    <w:rsid w:val="00087988"/>
    <w:rsid w:val="0009227A"/>
    <w:rsid w:val="00093E55"/>
    <w:rsid w:val="00094F20"/>
    <w:rsid w:val="00095780"/>
    <w:rsid w:val="000A0272"/>
    <w:rsid w:val="000A0ECE"/>
    <w:rsid w:val="000A588E"/>
    <w:rsid w:val="000B53A5"/>
    <w:rsid w:val="000C06E1"/>
    <w:rsid w:val="000C1032"/>
    <w:rsid w:val="000D18EF"/>
    <w:rsid w:val="000E13E9"/>
    <w:rsid w:val="000E7D66"/>
    <w:rsid w:val="000F07E6"/>
    <w:rsid w:val="000F407E"/>
    <w:rsid w:val="000F6458"/>
    <w:rsid w:val="001039BC"/>
    <w:rsid w:val="00106189"/>
    <w:rsid w:val="00112541"/>
    <w:rsid w:val="001279BE"/>
    <w:rsid w:val="0013251E"/>
    <w:rsid w:val="001445A9"/>
    <w:rsid w:val="00146307"/>
    <w:rsid w:val="001533B2"/>
    <w:rsid w:val="0015350C"/>
    <w:rsid w:val="001623CF"/>
    <w:rsid w:val="00165D5C"/>
    <w:rsid w:val="00166B15"/>
    <w:rsid w:val="00174C8C"/>
    <w:rsid w:val="0017571E"/>
    <w:rsid w:val="00175AED"/>
    <w:rsid w:val="00191702"/>
    <w:rsid w:val="00192262"/>
    <w:rsid w:val="001A593B"/>
    <w:rsid w:val="001B0FF9"/>
    <w:rsid w:val="001B2CAA"/>
    <w:rsid w:val="001D04AB"/>
    <w:rsid w:val="001D2521"/>
    <w:rsid w:val="001D2D89"/>
    <w:rsid w:val="001D74AE"/>
    <w:rsid w:val="001E49FD"/>
    <w:rsid w:val="001E7CAD"/>
    <w:rsid w:val="001F125D"/>
    <w:rsid w:val="001F15CB"/>
    <w:rsid w:val="001F533E"/>
    <w:rsid w:val="00203166"/>
    <w:rsid w:val="0021172E"/>
    <w:rsid w:val="00221DE2"/>
    <w:rsid w:val="00234298"/>
    <w:rsid w:val="002343BD"/>
    <w:rsid w:val="002471D4"/>
    <w:rsid w:val="00251A7D"/>
    <w:rsid w:val="00253326"/>
    <w:rsid w:val="00261CDE"/>
    <w:rsid w:val="0026276F"/>
    <w:rsid w:val="00276CA4"/>
    <w:rsid w:val="002823E9"/>
    <w:rsid w:val="00282A7F"/>
    <w:rsid w:val="00284E14"/>
    <w:rsid w:val="00293DE4"/>
    <w:rsid w:val="002941EC"/>
    <w:rsid w:val="00296096"/>
    <w:rsid w:val="00296303"/>
    <w:rsid w:val="002968AB"/>
    <w:rsid w:val="002970F7"/>
    <w:rsid w:val="002A1F4B"/>
    <w:rsid w:val="002A1F54"/>
    <w:rsid w:val="002A37A8"/>
    <w:rsid w:val="002A4FF0"/>
    <w:rsid w:val="002B144C"/>
    <w:rsid w:val="002B16F4"/>
    <w:rsid w:val="002B2DA0"/>
    <w:rsid w:val="002B430F"/>
    <w:rsid w:val="002B7B4F"/>
    <w:rsid w:val="002C5D36"/>
    <w:rsid w:val="002E24D1"/>
    <w:rsid w:val="002E493A"/>
    <w:rsid w:val="002E79D9"/>
    <w:rsid w:val="002E7B0A"/>
    <w:rsid w:val="002F2B53"/>
    <w:rsid w:val="00303405"/>
    <w:rsid w:val="00303860"/>
    <w:rsid w:val="00311075"/>
    <w:rsid w:val="003117E6"/>
    <w:rsid w:val="0031471A"/>
    <w:rsid w:val="00332619"/>
    <w:rsid w:val="00333802"/>
    <w:rsid w:val="0033594B"/>
    <w:rsid w:val="0034205B"/>
    <w:rsid w:val="003467B5"/>
    <w:rsid w:val="00353731"/>
    <w:rsid w:val="00355B7C"/>
    <w:rsid w:val="00361065"/>
    <w:rsid w:val="0036248F"/>
    <w:rsid w:val="00382BCB"/>
    <w:rsid w:val="00391944"/>
    <w:rsid w:val="00393949"/>
    <w:rsid w:val="003948AF"/>
    <w:rsid w:val="00394BBC"/>
    <w:rsid w:val="003A4AC6"/>
    <w:rsid w:val="003C2820"/>
    <w:rsid w:val="003C3CB5"/>
    <w:rsid w:val="003C5A1A"/>
    <w:rsid w:val="003D0424"/>
    <w:rsid w:val="003D32D7"/>
    <w:rsid w:val="003E072D"/>
    <w:rsid w:val="003F4E13"/>
    <w:rsid w:val="003F61A1"/>
    <w:rsid w:val="003F6960"/>
    <w:rsid w:val="0040020D"/>
    <w:rsid w:val="00405ADB"/>
    <w:rsid w:val="004254EE"/>
    <w:rsid w:val="00425834"/>
    <w:rsid w:val="00430D19"/>
    <w:rsid w:val="00433480"/>
    <w:rsid w:val="00435C99"/>
    <w:rsid w:val="0043655D"/>
    <w:rsid w:val="00437D86"/>
    <w:rsid w:val="00441246"/>
    <w:rsid w:val="00441E0B"/>
    <w:rsid w:val="00443228"/>
    <w:rsid w:val="00452A46"/>
    <w:rsid w:val="00454581"/>
    <w:rsid w:val="00454978"/>
    <w:rsid w:val="00467E81"/>
    <w:rsid w:val="004703C2"/>
    <w:rsid w:val="004744B6"/>
    <w:rsid w:val="004748B9"/>
    <w:rsid w:val="00477BA8"/>
    <w:rsid w:val="00477EB2"/>
    <w:rsid w:val="0048111A"/>
    <w:rsid w:val="00487BF1"/>
    <w:rsid w:val="00491FCB"/>
    <w:rsid w:val="00497943"/>
    <w:rsid w:val="00497A8B"/>
    <w:rsid w:val="004A0E45"/>
    <w:rsid w:val="004A54A6"/>
    <w:rsid w:val="004B1105"/>
    <w:rsid w:val="004C3109"/>
    <w:rsid w:val="004C3217"/>
    <w:rsid w:val="004C44C4"/>
    <w:rsid w:val="004C625A"/>
    <w:rsid w:val="004C6355"/>
    <w:rsid w:val="004E1D5E"/>
    <w:rsid w:val="004E630B"/>
    <w:rsid w:val="004F7313"/>
    <w:rsid w:val="004F77C6"/>
    <w:rsid w:val="005158A6"/>
    <w:rsid w:val="0052094C"/>
    <w:rsid w:val="0052379D"/>
    <w:rsid w:val="00524DAB"/>
    <w:rsid w:val="0053430A"/>
    <w:rsid w:val="00534A41"/>
    <w:rsid w:val="0053650E"/>
    <w:rsid w:val="00542535"/>
    <w:rsid w:val="00542980"/>
    <w:rsid w:val="00544E6E"/>
    <w:rsid w:val="00545591"/>
    <w:rsid w:val="00547910"/>
    <w:rsid w:val="00551033"/>
    <w:rsid w:val="005547F9"/>
    <w:rsid w:val="00560AC4"/>
    <w:rsid w:val="00563606"/>
    <w:rsid w:val="00563FE4"/>
    <w:rsid w:val="00564B53"/>
    <w:rsid w:val="00567A02"/>
    <w:rsid w:val="005711D9"/>
    <w:rsid w:val="00574062"/>
    <w:rsid w:val="005751C6"/>
    <w:rsid w:val="00576647"/>
    <w:rsid w:val="00576FE0"/>
    <w:rsid w:val="0058208A"/>
    <w:rsid w:val="00582D8F"/>
    <w:rsid w:val="005837B0"/>
    <w:rsid w:val="00596AC1"/>
    <w:rsid w:val="005A408B"/>
    <w:rsid w:val="005A46AE"/>
    <w:rsid w:val="005A77EA"/>
    <w:rsid w:val="005B5746"/>
    <w:rsid w:val="005C00AF"/>
    <w:rsid w:val="005C7C95"/>
    <w:rsid w:val="005D3C24"/>
    <w:rsid w:val="005D4528"/>
    <w:rsid w:val="005D5C95"/>
    <w:rsid w:val="005E088E"/>
    <w:rsid w:val="005E0F00"/>
    <w:rsid w:val="005F4D9C"/>
    <w:rsid w:val="005F7E5C"/>
    <w:rsid w:val="00604996"/>
    <w:rsid w:val="00605B67"/>
    <w:rsid w:val="006163B1"/>
    <w:rsid w:val="00616874"/>
    <w:rsid w:val="0062589F"/>
    <w:rsid w:val="00626EA8"/>
    <w:rsid w:val="00630A9E"/>
    <w:rsid w:val="00637050"/>
    <w:rsid w:val="00641CEA"/>
    <w:rsid w:val="0065080E"/>
    <w:rsid w:val="00655229"/>
    <w:rsid w:val="00656B0C"/>
    <w:rsid w:val="006629BD"/>
    <w:rsid w:val="0066309A"/>
    <w:rsid w:val="006630F2"/>
    <w:rsid w:val="0066627D"/>
    <w:rsid w:val="00673E6F"/>
    <w:rsid w:val="006832A2"/>
    <w:rsid w:val="00684A20"/>
    <w:rsid w:val="00690EC4"/>
    <w:rsid w:val="006962CB"/>
    <w:rsid w:val="006A0BB0"/>
    <w:rsid w:val="006A0D64"/>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05E3"/>
    <w:rsid w:val="00714CEA"/>
    <w:rsid w:val="007159A1"/>
    <w:rsid w:val="0071642F"/>
    <w:rsid w:val="00722DD7"/>
    <w:rsid w:val="00724288"/>
    <w:rsid w:val="00725827"/>
    <w:rsid w:val="00725F68"/>
    <w:rsid w:val="0073075C"/>
    <w:rsid w:val="007315E0"/>
    <w:rsid w:val="00740C9E"/>
    <w:rsid w:val="0074144B"/>
    <w:rsid w:val="00741A3E"/>
    <w:rsid w:val="007443C2"/>
    <w:rsid w:val="00756CAD"/>
    <w:rsid w:val="007629BB"/>
    <w:rsid w:val="00762A82"/>
    <w:rsid w:val="007703B8"/>
    <w:rsid w:val="00771227"/>
    <w:rsid w:val="00772D42"/>
    <w:rsid w:val="00775751"/>
    <w:rsid w:val="00781015"/>
    <w:rsid w:val="00787132"/>
    <w:rsid w:val="007900FC"/>
    <w:rsid w:val="00792A2B"/>
    <w:rsid w:val="00794869"/>
    <w:rsid w:val="00797876"/>
    <w:rsid w:val="007A5116"/>
    <w:rsid w:val="007A5263"/>
    <w:rsid w:val="007B3A14"/>
    <w:rsid w:val="007B4EC6"/>
    <w:rsid w:val="007B549A"/>
    <w:rsid w:val="007B5745"/>
    <w:rsid w:val="007B6893"/>
    <w:rsid w:val="007C35D3"/>
    <w:rsid w:val="007C3F2C"/>
    <w:rsid w:val="007C51E4"/>
    <w:rsid w:val="007D4066"/>
    <w:rsid w:val="007E3EED"/>
    <w:rsid w:val="007F136D"/>
    <w:rsid w:val="007F60CB"/>
    <w:rsid w:val="00801AAB"/>
    <w:rsid w:val="008071D3"/>
    <w:rsid w:val="0080773A"/>
    <w:rsid w:val="0081788D"/>
    <w:rsid w:val="00825398"/>
    <w:rsid w:val="008263AE"/>
    <w:rsid w:val="008318C0"/>
    <w:rsid w:val="00831A29"/>
    <w:rsid w:val="00832B61"/>
    <w:rsid w:val="00832F03"/>
    <w:rsid w:val="00835A88"/>
    <w:rsid w:val="00847A69"/>
    <w:rsid w:val="00853996"/>
    <w:rsid w:val="00855284"/>
    <w:rsid w:val="008619E1"/>
    <w:rsid w:val="00866E5A"/>
    <w:rsid w:val="008721DF"/>
    <w:rsid w:val="008738A9"/>
    <w:rsid w:val="00876EC6"/>
    <w:rsid w:val="00881C77"/>
    <w:rsid w:val="00882FB0"/>
    <w:rsid w:val="008839E0"/>
    <w:rsid w:val="00887017"/>
    <w:rsid w:val="00891007"/>
    <w:rsid w:val="008A1AFA"/>
    <w:rsid w:val="008A2CE2"/>
    <w:rsid w:val="008A3460"/>
    <w:rsid w:val="008B0D50"/>
    <w:rsid w:val="008B539C"/>
    <w:rsid w:val="008B77D5"/>
    <w:rsid w:val="008B7CB9"/>
    <w:rsid w:val="008C155D"/>
    <w:rsid w:val="008D4634"/>
    <w:rsid w:val="008E4CD7"/>
    <w:rsid w:val="008E58F7"/>
    <w:rsid w:val="008E6EC1"/>
    <w:rsid w:val="00903815"/>
    <w:rsid w:val="00903C0A"/>
    <w:rsid w:val="009062C4"/>
    <w:rsid w:val="0090723B"/>
    <w:rsid w:val="00910193"/>
    <w:rsid w:val="00922881"/>
    <w:rsid w:val="0092312D"/>
    <w:rsid w:val="00933628"/>
    <w:rsid w:val="009465EA"/>
    <w:rsid w:val="009506DC"/>
    <w:rsid w:val="009566C4"/>
    <w:rsid w:val="00956DD9"/>
    <w:rsid w:val="00960DBF"/>
    <w:rsid w:val="009628AE"/>
    <w:rsid w:val="00967A04"/>
    <w:rsid w:val="009725A3"/>
    <w:rsid w:val="00973509"/>
    <w:rsid w:val="00977BBE"/>
    <w:rsid w:val="00977E7B"/>
    <w:rsid w:val="0098113A"/>
    <w:rsid w:val="00986792"/>
    <w:rsid w:val="009871EF"/>
    <w:rsid w:val="00991292"/>
    <w:rsid w:val="00991AEE"/>
    <w:rsid w:val="0099252E"/>
    <w:rsid w:val="00993CBF"/>
    <w:rsid w:val="00997D63"/>
    <w:rsid w:val="009A149B"/>
    <w:rsid w:val="009A3C46"/>
    <w:rsid w:val="009A7FB3"/>
    <w:rsid w:val="009B33C8"/>
    <w:rsid w:val="009B5D57"/>
    <w:rsid w:val="009C15E2"/>
    <w:rsid w:val="009C2049"/>
    <w:rsid w:val="009C33BF"/>
    <w:rsid w:val="009C3820"/>
    <w:rsid w:val="009D3CE4"/>
    <w:rsid w:val="009E35EB"/>
    <w:rsid w:val="009E64F2"/>
    <w:rsid w:val="009E7875"/>
    <w:rsid w:val="009F6F4D"/>
    <w:rsid w:val="009F72D1"/>
    <w:rsid w:val="00A144A6"/>
    <w:rsid w:val="00A15079"/>
    <w:rsid w:val="00A21627"/>
    <w:rsid w:val="00A24CCC"/>
    <w:rsid w:val="00A37A94"/>
    <w:rsid w:val="00A41611"/>
    <w:rsid w:val="00A441B7"/>
    <w:rsid w:val="00A447AF"/>
    <w:rsid w:val="00A46430"/>
    <w:rsid w:val="00A5780A"/>
    <w:rsid w:val="00A608FA"/>
    <w:rsid w:val="00A62B15"/>
    <w:rsid w:val="00A63901"/>
    <w:rsid w:val="00A63F21"/>
    <w:rsid w:val="00A64E37"/>
    <w:rsid w:val="00A7247E"/>
    <w:rsid w:val="00A72BFA"/>
    <w:rsid w:val="00A72FCD"/>
    <w:rsid w:val="00A74844"/>
    <w:rsid w:val="00A81D7B"/>
    <w:rsid w:val="00A87DCB"/>
    <w:rsid w:val="00A94504"/>
    <w:rsid w:val="00A94B46"/>
    <w:rsid w:val="00AA0BB0"/>
    <w:rsid w:val="00AB49A1"/>
    <w:rsid w:val="00AC1161"/>
    <w:rsid w:val="00AC2062"/>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43DBE"/>
    <w:rsid w:val="00B46E6C"/>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458"/>
    <w:rsid w:val="00BE2CDD"/>
    <w:rsid w:val="00BE6EA1"/>
    <w:rsid w:val="00BF22CF"/>
    <w:rsid w:val="00BF234E"/>
    <w:rsid w:val="00BF2747"/>
    <w:rsid w:val="00BF2F67"/>
    <w:rsid w:val="00BF5588"/>
    <w:rsid w:val="00BF5F4D"/>
    <w:rsid w:val="00BF740A"/>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61C5"/>
    <w:rsid w:val="00C67F89"/>
    <w:rsid w:val="00C71F74"/>
    <w:rsid w:val="00C73CFC"/>
    <w:rsid w:val="00C7490E"/>
    <w:rsid w:val="00C75104"/>
    <w:rsid w:val="00C81CAD"/>
    <w:rsid w:val="00C8333A"/>
    <w:rsid w:val="00C84743"/>
    <w:rsid w:val="00C86E10"/>
    <w:rsid w:val="00C9160A"/>
    <w:rsid w:val="00C972C4"/>
    <w:rsid w:val="00CA1FEF"/>
    <w:rsid w:val="00CA25FC"/>
    <w:rsid w:val="00CA6A56"/>
    <w:rsid w:val="00CB2CEE"/>
    <w:rsid w:val="00CB4DE3"/>
    <w:rsid w:val="00CC2F35"/>
    <w:rsid w:val="00CC40C3"/>
    <w:rsid w:val="00CC64B4"/>
    <w:rsid w:val="00CD42C4"/>
    <w:rsid w:val="00CE43F8"/>
    <w:rsid w:val="00CE7C8B"/>
    <w:rsid w:val="00CF01CC"/>
    <w:rsid w:val="00CF2907"/>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806E8"/>
    <w:rsid w:val="00D919AF"/>
    <w:rsid w:val="00D937BD"/>
    <w:rsid w:val="00D93A66"/>
    <w:rsid w:val="00DA2D7C"/>
    <w:rsid w:val="00DB6F0A"/>
    <w:rsid w:val="00DB7022"/>
    <w:rsid w:val="00DD3639"/>
    <w:rsid w:val="00DD7BAA"/>
    <w:rsid w:val="00DE0FFA"/>
    <w:rsid w:val="00DE6A70"/>
    <w:rsid w:val="00DF3969"/>
    <w:rsid w:val="00DF3DF3"/>
    <w:rsid w:val="00DF5AA8"/>
    <w:rsid w:val="00E11D7D"/>
    <w:rsid w:val="00E1254C"/>
    <w:rsid w:val="00E16895"/>
    <w:rsid w:val="00E32614"/>
    <w:rsid w:val="00E33250"/>
    <w:rsid w:val="00E3526B"/>
    <w:rsid w:val="00E46A4A"/>
    <w:rsid w:val="00E5059C"/>
    <w:rsid w:val="00E54C06"/>
    <w:rsid w:val="00E5664A"/>
    <w:rsid w:val="00E7407A"/>
    <w:rsid w:val="00E81A0A"/>
    <w:rsid w:val="00E86623"/>
    <w:rsid w:val="00E876A9"/>
    <w:rsid w:val="00E964F7"/>
    <w:rsid w:val="00E96A5D"/>
    <w:rsid w:val="00EA6F84"/>
    <w:rsid w:val="00EB7931"/>
    <w:rsid w:val="00ED548C"/>
    <w:rsid w:val="00ED7F3F"/>
    <w:rsid w:val="00EE2ED7"/>
    <w:rsid w:val="00EF043C"/>
    <w:rsid w:val="00EF49B3"/>
    <w:rsid w:val="00EF56E1"/>
    <w:rsid w:val="00EF73FD"/>
    <w:rsid w:val="00F00561"/>
    <w:rsid w:val="00F01150"/>
    <w:rsid w:val="00F01E3D"/>
    <w:rsid w:val="00F04DC2"/>
    <w:rsid w:val="00F066D9"/>
    <w:rsid w:val="00F25F5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1468"/>
    <w:rsid w:val="00FD658E"/>
    <w:rsid w:val="00FE0C5A"/>
    <w:rsid w:val="00FE13A2"/>
    <w:rsid w:val="00FF0FCA"/>
    <w:rsid w:val="00FF7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table" w:styleId="ad">
    <w:name w:val="Table Grid"/>
    <w:basedOn w:val="a1"/>
    <w:uiPriority w:val="59"/>
    <w:rsid w:val="00095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722320">
      <w:bodyDiv w:val="1"/>
      <w:marLeft w:val="0"/>
      <w:marRight w:val="0"/>
      <w:marTop w:val="0"/>
      <w:marBottom w:val="0"/>
      <w:divBdr>
        <w:top w:val="none" w:sz="0" w:space="0" w:color="auto"/>
        <w:left w:val="none" w:sz="0" w:space="0" w:color="auto"/>
        <w:bottom w:val="none" w:sz="0" w:space="0" w:color="auto"/>
        <w:right w:val="none" w:sz="0" w:space="0" w:color="auto"/>
      </w:divBdr>
    </w:div>
    <w:div w:id="689454741">
      <w:bodyDiv w:val="1"/>
      <w:marLeft w:val="0"/>
      <w:marRight w:val="0"/>
      <w:marTop w:val="0"/>
      <w:marBottom w:val="0"/>
      <w:divBdr>
        <w:top w:val="none" w:sz="0" w:space="0" w:color="auto"/>
        <w:left w:val="none" w:sz="0" w:space="0" w:color="auto"/>
        <w:bottom w:val="none" w:sz="0" w:space="0" w:color="auto"/>
        <w:right w:val="none" w:sz="0" w:space="0" w:color="auto"/>
      </w:divBdr>
    </w:div>
    <w:div w:id="1298951374">
      <w:bodyDiv w:val="1"/>
      <w:marLeft w:val="0"/>
      <w:marRight w:val="0"/>
      <w:marTop w:val="0"/>
      <w:marBottom w:val="0"/>
      <w:divBdr>
        <w:top w:val="none" w:sz="0" w:space="0" w:color="auto"/>
        <w:left w:val="none" w:sz="0" w:space="0" w:color="auto"/>
        <w:bottom w:val="none" w:sz="0" w:space="0" w:color="auto"/>
        <w:right w:val="none" w:sz="0" w:space="0" w:color="auto"/>
      </w:divBdr>
    </w:div>
    <w:div w:id="1738821521">
      <w:bodyDiv w:val="1"/>
      <w:marLeft w:val="0"/>
      <w:marRight w:val="0"/>
      <w:marTop w:val="0"/>
      <w:marBottom w:val="0"/>
      <w:divBdr>
        <w:top w:val="none" w:sz="0" w:space="0" w:color="auto"/>
        <w:left w:val="none" w:sz="0" w:space="0" w:color="auto"/>
        <w:bottom w:val="none" w:sz="0" w:space="0" w:color="auto"/>
        <w:right w:val="none" w:sz="0" w:space="0" w:color="auto"/>
      </w:divBdr>
    </w:div>
    <w:div w:id="1990791679">
      <w:bodyDiv w:val="1"/>
      <w:marLeft w:val="0"/>
      <w:marRight w:val="0"/>
      <w:marTop w:val="0"/>
      <w:marBottom w:val="0"/>
      <w:divBdr>
        <w:top w:val="none" w:sz="0" w:space="0" w:color="auto"/>
        <w:left w:val="none" w:sz="0" w:space="0" w:color="auto"/>
        <w:bottom w:val="none" w:sz="0" w:space="0" w:color="auto"/>
        <w:right w:val="none" w:sz="0" w:space="0" w:color="auto"/>
      </w:divBdr>
    </w:div>
    <w:div w:id="200850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20E6-4C03-4126-B966-362DADE3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375</Words>
  <Characters>2139</Characters>
  <Application>Microsoft Office Word</Application>
  <DocSecurity>4</DocSecurity>
  <Lines>17</Lines>
  <Paragraphs>5</Paragraphs>
  <ScaleCrop>false</ScaleCrop>
  <Company/>
  <LinksUpToDate>false</LinksUpToDate>
  <CharactersWithSpaces>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xiaoming bao</dc:creator>
  <cp:lastModifiedBy>ZHONGM</cp:lastModifiedBy>
  <cp:revision>2</cp:revision>
  <cp:lastPrinted>2019-08-07T06:37:00Z</cp:lastPrinted>
  <dcterms:created xsi:type="dcterms:W3CDTF">2024-08-28T16:01:00Z</dcterms:created>
  <dcterms:modified xsi:type="dcterms:W3CDTF">2024-08-28T16:01:00Z</dcterms:modified>
</cp:coreProperties>
</file>