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492" w:rsidRDefault="00610450" w:rsidP="00610450">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鹏华基金</w:t>
      </w:r>
      <w:r>
        <w:rPr>
          <w:rFonts w:ascii="仿宋" w:eastAsia="仿宋" w:hAnsi="仿宋"/>
          <w:b/>
          <w:color w:val="000000" w:themeColor="text1"/>
          <w:sz w:val="32"/>
          <w:szCs w:val="32"/>
        </w:rPr>
        <w:t>管理有限</w:t>
      </w:r>
      <w:r>
        <w:rPr>
          <w:rFonts w:ascii="仿宋" w:eastAsia="仿宋" w:hAnsi="仿宋" w:hint="eastAsia"/>
          <w:b/>
          <w:color w:val="000000" w:themeColor="text1"/>
          <w:sz w:val="32"/>
          <w:szCs w:val="32"/>
        </w:rPr>
        <w:t>公司旗下</w:t>
      </w:r>
      <w:r>
        <w:rPr>
          <w:rFonts w:ascii="仿宋" w:eastAsia="仿宋" w:hAnsi="仿宋"/>
          <w:b/>
          <w:color w:val="000000" w:themeColor="text1"/>
          <w:sz w:val="32"/>
          <w:szCs w:val="32"/>
        </w:rPr>
        <w:t>基金</w:t>
      </w:r>
      <w:r>
        <w:rPr>
          <w:rFonts w:ascii="仿宋" w:eastAsia="仿宋" w:hAnsi="仿宋"/>
          <w:b/>
          <w:color w:val="000000" w:themeColor="text1"/>
          <w:sz w:val="32"/>
          <w:szCs w:val="32"/>
        </w:rPr>
        <w:t>202</w:t>
      </w:r>
      <w:r>
        <w:rPr>
          <w:rFonts w:ascii="仿宋" w:eastAsia="仿宋" w:hAnsi="仿宋" w:hint="eastAsia"/>
          <w:b/>
          <w:color w:val="000000" w:themeColor="text1"/>
          <w:sz w:val="32"/>
          <w:szCs w:val="32"/>
        </w:rPr>
        <w:t>4</w:t>
      </w:r>
      <w:r>
        <w:rPr>
          <w:rFonts w:ascii="仿宋" w:eastAsia="仿宋" w:hAnsi="仿宋" w:hint="eastAsia"/>
          <w:b/>
          <w:color w:val="000000" w:themeColor="text1"/>
          <w:sz w:val="32"/>
          <w:szCs w:val="32"/>
        </w:rPr>
        <w:t>年中期报告提示性公告</w:t>
      </w:r>
    </w:p>
    <w:p w:rsidR="000C6492" w:rsidRDefault="000C6492" w:rsidP="00610450">
      <w:pPr>
        <w:spacing w:line="540" w:lineRule="exact"/>
        <w:ind w:firstLineChars="50" w:firstLine="160"/>
        <w:jc w:val="center"/>
        <w:rPr>
          <w:rFonts w:ascii="仿宋" w:eastAsia="仿宋" w:hAnsi="仿宋"/>
          <w:b/>
          <w:color w:val="000000" w:themeColor="text1"/>
          <w:sz w:val="32"/>
          <w:szCs w:val="32"/>
        </w:rPr>
      </w:pP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本公司董事会及董事保证旗下</w:t>
      </w:r>
      <w:r>
        <w:rPr>
          <w:rFonts w:ascii="仿宋" w:eastAsia="仿宋" w:hAnsi="仿宋"/>
          <w:color w:val="000000" w:themeColor="text1"/>
          <w:sz w:val="32"/>
          <w:szCs w:val="32"/>
        </w:rPr>
        <w:t>证券投资</w:t>
      </w:r>
      <w:r>
        <w:rPr>
          <w:rFonts w:ascii="仿宋" w:eastAsia="仿宋" w:hAnsi="仿宋" w:hint="eastAsia"/>
          <w:color w:val="000000" w:themeColor="text1"/>
          <w:sz w:val="32"/>
          <w:szCs w:val="32"/>
        </w:rPr>
        <w:t>基金</w:t>
      </w:r>
      <w:r>
        <w:rPr>
          <w:rFonts w:ascii="仿宋" w:eastAsia="仿宋" w:hAnsi="仿宋"/>
          <w:color w:val="000000" w:themeColor="text1"/>
          <w:sz w:val="32"/>
          <w:szCs w:val="32"/>
        </w:rPr>
        <w:t>202</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年中期报告所载资料不存在虚假记载、误导性陈述或重大遗漏，并对其内容的真实性、准确性和完整性承担</w:t>
      </w:r>
      <w:bookmarkStart w:id="0" w:name="_GoBack"/>
      <w:bookmarkEnd w:id="0"/>
      <w:r>
        <w:rPr>
          <w:rFonts w:ascii="仿宋" w:eastAsia="仿宋" w:hAnsi="仿宋" w:hint="eastAsia"/>
          <w:color w:val="000000" w:themeColor="text1"/>
          <w:sz w:val="32"/>
          <w:szCs w:val="32"/>
        </w:rPr>
        <w:t>个别及连带责任。</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鹏华基金管理有限</w:t>
      </w:r>
      <w:r>
        <w:rPr>
          <w:rFonts w:ascii="仿宋" w:eastAsia="仿宋" w:hAnsi="仿宋"/>
          <w:color w:val="000000" w:themeColor="text1"/>
          <w:sz w:val="32"/>
          <w:szCs w:val="32"/>
        </w:rPr>
        <w:t>公司</w:t>
      </w:r>
      <w:r>
        <w:rPr>
          <w:rFonts w:ascii="仿宋" w:eastAsia="仿宋" w:hAnsi="仿宋" w:hint="eastAsia"/>
          <w:color w:val="000000" w:themeColor="text1"/>
          <w:sz w:val="32"/>
          <w:szCs w:val="32"/>
        </w:rPr>
        <w:t>旗下：</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鹏华弘泰灵活配置混合型证券投资基金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鹏华普天收益证券投资基金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鹏华普天债券证券投资基金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鹏华中国</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开放式证券投资基金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鹏华货币市场证券投资基金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鹏华价值优势混合型证券投资基金（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鹏华动力增长混合型证券投资基金（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鹏华优质治理混合型证券投资基金（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鹏华丰收债券型证券投资基金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鹏华盛世创新混合型证券投资基金（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交易型开放式指数证券投资基金联接基金（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鹏华精选成长混合型证券投资基金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指数证券投资基金（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鹏华信用增利债券型证券投资基金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鹏华全球中短债债券型证券投资基金（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鹏华丰润债券型证券投资基金（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鹏华消费优选混合型证券投资基金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鹏华丰盛稳固收益债券型证券投资基金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鹏华新兴产业混合型证券投资基金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鹏华美国房地产证券投资基金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鹏华丰泽债券型证券投资基金（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鹏华价值精选股票型证券投资基金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鹏华宏观灵活配置混合型证券投资基金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鹏华纯债债券型证券投资基金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A</w:t>
      </w:r>
      <w:r>
        <w:rPr>
          <w:rFonts w:ascii="仿宋" w:eastAsia="仿宋" w:hAnsi="仿宋" w:hint="eastAsia"/>
          <w:color w:val="000000" w:themeColor="text1"/>
          <w:sz w:val="32"/>
          <w:szCs w:val="32"/>
        </w:rPr>
        <w:t>股资源产业指数型证券投资基金（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鹏华丰和债券型证券投资基金（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鹏华产业债债券型证券投资基金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鹏华双债增利债券型证券投资基金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鹏华丰利债券型证券投资基金（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鹏华永诚一年定期开放债券型证券投资基金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鹏华双债加利债券型证券投资基金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鹏华量化先锋混合型证券投资基金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鹏华丰实定期开放债券型证券投资基金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鹏华双债保利债券型证券投资基金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鹏华丰泰定期开放债券型证券投资基金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鹏华全球高收益债债券型证券投资基金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鹏华丰融定期开放债券型证券投资基金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鹏华消费领先灵活配置混合型证券投资基金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鹏华品牌传承灵活配置混合型证券投资基金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鹏华增值宝货币市场基金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鹏华环保产业股票型证券投资基金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鹏华中证信息技术指数型证券投资基金（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800</w:t>
      </w:r>
      <w:r>
        <w:rPr>
          <w:rFonts w:ascii="仿宋" w:eastAsia="仿宋" w:hAnsi="仿宋" w:hint="eastAsia"/>
          <w:color w:val="000000" w:themeColor="text1"/>
          <w:sz w:val="32"/>
          <w:szCs w:val="32"/>
        </w:rPr>
        <w:t>证券保险指数型证券投资基金（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鹏华策略优选灵活配置混合型证券投资基金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800</w:t>
      </w:r>
      <w:r>
        <w:rPr>
          <w:rFonts w:ascii="仿宋" w:eastAsia="仿宋" w:hAnsi="仿宋" w:hint="eastAsia"/>
          <w:color w:val="000000" w:themeColor="text1"/>
          <w:sz w:val="32"/>
          <w:szCs w:val="32"/>
        </w:rPr>
        <w:t>地产指数型证券投资基金（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鹏华医疗保健股票型证券投资基金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鹏华先进制造股票型证券投资基金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鹏华中证国防指数型</w:t>
      </w:r>
      <w:r>
        <w:rPr>
          <w:rFonts w:ascii="仿宋" w:eastAsia="仿宋" w:hAnsi="仿宋" w:hint="eastAsia"/>
          <w:color w:val="000000" w:themeColor="text1"/>
          <w:sz w:val="32"/>
          <w:szCs w:val="32"/>
        </w:rPr>
        <w:t>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鹏华养老产业股票型证券投资基金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鹏华中证传媒指数型证券投资基金（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鹏华安盈宝货币市场基金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鹏华可转债债券型证券投资基金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鹏华弘盛灵活配置混合型证券投资基金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鹏华弘利灵活配置混合型证券投资基金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鹏华弘润灵活配置混合型证券投资基金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鹏华弘泽灵活配置混合型证券投资基金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鹏华中证银行指数型证券投资基金（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鹏华改革红利股票型证券投资基金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鹏华中证酒指数型证券投资基金（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鹏华中证全指证券公司指数型证券投资基金（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鹏华中证一带一路主题指数型证券投资基金（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鹏华外延成长灵活配置混合型证券投资基金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鹏华弘和灵活配置混合型证券投资基金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鹏华弘华灵活配置混合型证券投资基金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鹏华弘实灵活配置混合型证券投资基金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鹏华弘信灵活配置混合型证券投资基金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鹏华中证高铁产业指数型证券投资基金（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鹏华弘益灵活配置混合型证券投资基金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鹏华医药科技股票型证券投资基金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鹏华创业板指数型证券投资基金（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鹏华中证环保产业指数型证券投资基金（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鹏华中证移动互联网指数型证券投资基金（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鹏华弘鑫灵活配置混合型证券投资基金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鹏华前海万科</w:t>
      </w:r>
      <w:r>
        <w:rPr>
          <w:rFonts w:ascii="仿宋" w:eastAsia="仿宋" w:hAnsi="仿宋" w:hint="eastAsia"/>
          <w:color w:val="000000" w:themeColor="text1"/>
          <w:sz w:val="32"/>
          <w:szCs w:val="32"/>
        </w:rPr>
        <w:t>REITs</w:t>
      </w:r>
      <w:r>
        <w:rPr>
          <w:rFonts w:ascii="仿宋" w:eastAsia="仿宋" w:hAnsi="仿宋" w:hint="eastAsia"/>
          <w:color w:val="000000" w:themeColor="text1"/>
          <w:sz w:val="32"/>
          <w:szCs w:val="32"/>
        </w:rPr>
        <w:t>封闭式混合型发起式证券</w:t>
      </w:r>
      <w:r>
        <w:rPr>
          <w:rFonts w:ascii="仿宋" w:eastAsia="仿宋" w:hAnsi="仿宋" w:hint="eastAsia"/>
          <w:color w:val="000000" w:themeColor="text1"/>
          <w:sz w:val="32"/>
          <w:szCs w:val="32"/>
        </w:rPr>
        <w:t>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鹏华添利宝货币市场基金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鹏华国证钢铁行业指数型证券投资基金（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指数增强型证券投资基金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鹏华中证医药卫生指数证券投资基金（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鹏华弘安灵活配置混合型证券投资基金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鹏华丰华债券型证券投资基金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鹏华健康环保灵活配置混合型证券投资基金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鹏华文化传媒娱乐股票型证券投资基金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鹏华添利交易型货币市场基金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鹏华丰尚定期开放债券型证券投资基金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鹏华永达中短债</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鹏华金城灵活配置混合型证券投资基金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鹏华丰茂债券型证券投资基金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鹏华弘达灵活配置混合型证券投资基金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鹏华弘嘉灵活配置混合型证券投资基金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鹏华丰饶定期开放债券型证券投资基金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鹏华增瑞灵活配置混合型证券投资基金（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鹏华丰恒债券型证券投资基金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鹏华弘惠灵活配置混合型证券投资基金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鹏华弘康灵活配置混合型证券投资基金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鹏华弘尚灵活配置混合型证券投资基金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鹏华丰禄债券型证券投资基金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鹏华港股通中证香港银行投资指数证券投资基金（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鹏华丰盈债券型证券投资基金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鹏华兴泰定期开放灵活配置混合型证券投资基金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鹏华沪深港新兴成长灵活配置混合型证券投资基金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鹏华丰惠债券型证券投资基金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鹏华永盛一年定期开放债券型证券投资基金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鹏华安益增强混合型证券投资基金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鹏华丰享债券型证券投资基金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鹏华丰玉债券型证券投资基金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鹏华永安</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鹏华丰康债券型证券投资基金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鹏华沪深港互联网股票型证券投资基金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鹏华丰瑞债券型证券投资基金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鹏华聚财通货币市场基金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鹏华永泰</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鹏华丰源债券型证券投资基金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鹏华盈余宝货币市场基金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鹏华中证空天一体军工指数证券投资基金（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鹏华金元宝货币市场基金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鹏华兴鑫宝货币市场基金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鹏华策略回报灵活配置混合型证券投资基金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鹏华研究精选灵活配置混合型证券投资基金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鹏华香港美国互联网股票型证券投资基金（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鹏华优势企业股票型证券投资基金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鹏华永泽</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鹏华尊惠</w:t>
      </w:r>
      <w:r>
        <w:rPr>
          <w:rFonts w:ascii="仿宋" w:eastAsia="仿宋" w:hAnsi="仿宋" w:hint="eastAsia"/>
          <w:color w:val="000000" w:themeColor="text1"/>
          <w:sz w:val="32"/>
          <w:szCs w:val="32"/>
        </w:rPr>
        <w:t>18</w:t>
      </w:r>
      <w:r>
        <w:rPr>
          <w:rFonts w:ascii="仿宋" w:eastAsia="仿宋" w:hAnsi="仿宋" w:hint="eastAsia"/>
          <w:color w:val="000000" w:themeColor="text1"/>
          <w:sz w:val="32"/>
          <w:szCs w:val="32"/>
        </w:rPr>
        <w:t>个月定期开放混合型证券投资基金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鹏华尊悦</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鹏华产业精选灵活配置混合型证券投资基金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鹏华睿投灵活配置混合型证券投资基金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鹏华创新驱动混合型证券投资基金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鹏华尊享</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个月定期开放债券型发起式证券投资基金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鹏华研究驱动混合型证券投资基金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鹏华中短债</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w:t>
      </w:r>
      <w:r>
        <w:rPr>
          <w:rFonts w:ascii="仿宋" w:eastAsia="仿宋" w:hAnsi="仿宋" w:hint="eastAsia"/>
          <w:color w:val="000000" w:themeColor="text1"/>
          <w:sz w:val="32"/>
          <w:szCs w:val="32"/>
        </w:rPr>
        <w:t>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鹏华养老目标日期</w:t>
      </w:r>
      <w:r>
        <w:rPr>
          <w:rFonts w:ascii="仿宋" w:eastAsia="仿宋" w:hAnsi="仿宋" w:hint="eastAsia"/>
          <w:color w:val="000000" w:themeColor="text1"/>
          <w:sz w:val="32"/>
          <w:szCs w:val="32"/>
        </w:rPr>
        <w:t>2035</w:t>
      </w:r>
      <w:r>
        <w:rPr>
          <w:rFonts w:ascii="仿宋" w:eastAsia="仿宋" w:hAnsi="仿宋" w:hint="eastAsia"/>
          <w:color w:val="000000" w:themeColor="text1"/>
          <w:sz w:val="32"/>
          <w:szCs w:val="32"/>
        </w:rPr>
        <w:t>三年持有期混合型基金中基金（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鹏华优选回报灵活配置混合型证券投资基金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鹏华永融一年定期开放债券型证券投资基金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鹏华中债</w:t>
      </w:r>
      <w:r>
        <w:rPr>
          <w:rFonts w:ascii="仿宋" w:eastAsia="仿宋" w:hAnsi="仿宋" w:hint="eastAsia"/>
          <w:color w:val="000000" w:themeColor="text1"/>
          <w:sz w:val="32"/>
          <w:szCs w:val="32"/>
        </w:rPr>
        <w:t>1-3</w:t>
      </w:r>
      <w:r>
        <w:rPr>
          <w:rFonts w:ascii="仿宋" w:eastAsia="仿宋" w:hAnsi="仿宋" w:hint="eastAsia"/>
          <w:color w:val="000000" w:themeColor="text1"/>
          <w:sz w:val="32"/>
          <w:szCs w:val="32"/>
        </w:rPr>
        <w:t>年国开行债券指数证券投资基金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鹏华永润一年定期开放债券型证券投资基金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鹏华核心优势混合型证券投资基金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鹏华中证酒交易型开放式指数证券投资基金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鹏华养老目标日期</w:t>
      </w:r>
      <w:r>
        <w:rPr>
          <w:rFonts w:ascii="仿宋" w:eastAsia="仿宋" w:hAnsi="仿宋" w:hint="eastAsia"/>
          <w:color w:val="000000" w:themeColor="text1"/>
          <w:sz w:val="32"/>
          <w:szCs w:val="32"/>
        </w:rPr>
        <w:t>2045</w:t>
      </w:r>
      <w:r>
        <w:rPr>
          <w:rFonts w:ascii="仿宋" w:eastAsia="仿宋" w:hAnsi="仿宋" w:hint="eastAsia"/>
          <w:color w:val="000000" w:themeColor="text1"/>
          <w:sz w:val="32"/>
          <w:szCs w:val="32"/>
        </w:rPr>
        <w:t>三年持有期混合型发起式基金中基金（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鹏华研究智选混合型证券投资基金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鹏华创新动力灵活配置混合型证券投资基金（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鹏华尊诚</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鹏华尊晟</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鹏华精选回报三年定期开放混合型证券投资基金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鹏华中证国防交易型开放式指数证券投资基金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鹏华金利债券型证券投资基金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鹏华丰登债券型证券投资基金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年期地方政府债交易型开放式指数证券投资基金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鹏华浮动净值型发起式货币市场基金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鹏华尊信</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个月定期开放债券型发起式证券投资基金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鹏华锦利两年定期开放债券型证券投资基金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鹏华丰鑫债券型证券投资基金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鹏华丰庆债券型证券投资基金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鹏华稳利短债债券型证券投资基金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鹏华金享混合型</w:t>
      </w:r>
      <w:r>
        <w:rPr>
          <w:rFonts w:ascii="仿宋" w:eastAsia="仿宋" w:hAnsi="仿宋" w:hint="eastAsia"/>
          <w:color w:val="000000" w:themeColor="text1"/>
          <w:sz w:val="32"/>
          <w:szCs w:val="32"/>
        </w:rPr>
        <w:t>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鹏华价值驱动混合型证券投资基金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鹏华优选价值股票型证券投资基金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鹏华中证银行交易型开放式指数证券投资基金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w:t>
      </w:r>
      <w:r>
        <w:rPr>
          <w:rFonts w:ascii="仿宋" w:eastAsia="仿宋" w:hAnsi="仿宋" w:hint="eastAsia"/>
          <w:color w:val="000000" w:themeColor="text1"/>
          <w:sz w:val="32"/>
          <w:szCs w:val="32"/>
        </w:rPr>
        <w:t>0-5</w:t>
      </w:r>
      <w:r>
        <w:rPr>
          <w:rFonts w:ascii="仿宋" w:eastAsia="仿宋" w:hAnsi="仿宋" w:hint="eastAsia"/>
          <w:color w:val="000000" w:themeColor="text1"/>
          <w:sz w:val="32"/>
          <w:szCs w:val="32"/>
        </w:rPr>
        <w:t>年利率债债券型发起式证券投资基金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鹏华尊泰一年定期开放债券型发起式证券投资基金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鹏华国证证券龙头交易型开放式指数证券投资基金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交易型开放式指数证券投资基金联接基金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鹏华科技创新混合型证券投资基金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鹏华价值成长混合型证券投资基金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鹏华尊裕一年定期开放债券型发起式证券投资基金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鹏华优质回报两年定期开放混合型证券投资基金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800</w:t>
      </w:r>
      <w:r>
        <w:rPr>
          <w:rFonts w:ascii="仿宋" w:eastAsia="仿宋" w:hAnsi="仿宋" w:hint="eastAsia"/>
          <w:color w:val="000000" w:themeColor="text1"/>
          <w:sz w:val="32"/>
          <w:szCs w:val="32"/>
        </w:rPr>
        <w:t>证券保险交易型开放式指数证券投资基金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鹏华中证传媒交易型开放式指数证券投资基金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鹏华丰诚债券型证券投资基金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鹏华安泽混合型证券投资基金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鹏华稳健回报混合型证券投资基金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鹏华鑫享稳健混合型证券投资基金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鹏华国证半导体芯片交易型开放式指数证券投资基金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鹏华中债</w:t>
      </w:r>
      <w:r>
        <w:rPr>
          <w:rFonts w:ascii="仿宋" w:eastAsia="仿宋" w:hAnsi="仿宋" w:hint="eastAsia"/>
          <w:color w:val="000000" w:themeColor="text1"/>
          <w:sz w:val="32"/>
          <w:szCs w:val="32"/>
        </w:rPr>
        <w:t>3-5</w:t>
      </w:r>
      <w:r>
        <w:rPr>
          <w:rFonts w:ascii="仿宋" w:eastAsia="仿宋" w:hAnsi="仿宋" w:hint="eastAsia"/>
          <w:color w:val="000000" w:themeColor="text1"/>
          <w:sz w:val="32"/>
          <w:szCs w:val="32"/>
        </w:rPr>
        <w:t>年国开行债券指数证券投资基金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鹏华价值共赢两年持有期混合型证券投资基金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鹏华股息精选混合型证券投资基金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鹏华成长价值混合型证券投资基金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鹏华尊达一年定期开放债券型发起式证券投资基金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鹏华优质企业混合型证券投资基金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鹏华普利债券型证券投资基金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鹏华安和混合型证券投资基金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鹏华安庆混合型证</w:t>
      </w:r>
      <w:r>
        <w:rPr>
          <w:rFonts w:ascii="仿宋" w:eastAsia="仿宋" w:hAnsi="仿宋" w:hint="eastAsia"/>
          <w:color w:val="000000" w:themeColor="text1"/>
          <w:sz w:val="32"/>
          <w:szCs w:val="32"/>
        </w:rPr>
        <w:t>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鹏华安惠混合型证券投资基金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鹏华匠心精选混合型证券投资基金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鹏华新兴成长混合型证券投资基金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鹏华锦润</w:t>
      </w:r>
      <w:r>
        <w:rPr>
          <w:rFonts w:ascii="仿宋" w:eastAsia="仿宋" w:hAnsi="仿宋" w:hint="eastAsia"/>
          <w:color w:val="000000" w:themeColor="text1"/>
          <w:sz w:val="32"/>
          <w:szCs w:val="32"/>
        </w:rPr>
        <w:t>86</w:t>
      </w:r>
      <w:r>
        <w:rPr>
          <w:rFonts w:ascii="仿宋" w:eastAsia="仿宋" w:hAnsi="仿宋" w:hint="eastAsia"/>
          <w:color w:val="000000" w:themeColor="text1"/>
          <w:sz w:val="32"/>
          <w:szCs w:val="32"/>
        </w:rPr>
        <w:t>个月定期开放债券型证券投资基金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鹏华安睿两年持有期混合型证券投资基金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0-4</w:t>
      </w:r>
      <w:r>
        <w:rPr>
          <w:rFonts w:ascii="仿宋" w:eastAsia="仿宋" w:hAnsi="仿宋" w:hint="eastAsia"/>
          <w:color w:val="000000" w:themeColor="text1"/>
          <w:sz w:val="32"/>
          <w:szCs w:val="32"/>
        </w:rPr>
        <w:t>年期地方政府债交易型开放式指数证券投资基金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鹏华招华一年持有期混合型证券投资基金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鹏华中债</w:t>
      </w:r>
      <w:r>
        <w:rPr>
          <w:rFonts w:ascii="仿宋" w:eastAsia="仿宋" w:hAnsi="仿宋" w:hint="eastAsia"/>
          <w:color w:val="000000" w:themeColor="text1"/>
          <w:sz w:val="32"/>
          <w:szCs w:val="32"/>
        </w:rPr>
        <w:t>1-3</w:t>
      </w:r>
      <w:r>
        <w:rPr>
          <w:rFonts w:ascii="仿宋" w:eastAsia="仿宋" w:hAnsi="仿宋" w:hint="eastAsia"/>
          <w:color w:val="000000" w:themeColor="text1"/>
          <w:sz w:val="32"/>
          <w:szCs w:val="32"/>
        </w:rPr>
        <w:t>年农发行债券指数证券投资基金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鹏华年年红一年持有期债券型证券投资基金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鹏华中债</w:t>
      </w:r>
      <w:r>
        <w:rPr>
          <w:rFonts w:ascii="仿宋" w:eastAsia="仿宋" w:hAnsi="仿宋" w:hint="eastAsia"/>
          <w:color w:val="000000" w:themeColor="text1"/>
          <w:sz w:val="32"/>
          <w:szCs w:val="32"/>
        </w:rPr>
        <w:t>-0-3</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AA+</w:t>
      </w:r>
      <w:r>
        <w:rPr>
          <w:rFonts w:ascii="仿宋" w:eastAsia="仿宋" w:hAnsi="仿宋" w:hint="eastAsia"/>
          <w:color w:val="000000" w:themeColor="text1"/>
          <w:sz w:val="32"/>
          <w:szCs w:val="32"/>
        </w:rPr>
        <w:t>优选信用债指数证券投资基金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鹏华启航混合型证券投资基金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鹏华创新未来混合型证券投资基金（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鹏华成长智选混合型证券投资基金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鹏华丰颐债券型证券投资基金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鹏华高质量增长混合型证券投资基金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鹏华优选成长混合型证券投资基金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鹏华尊和一年定期开放债券型发起式证券投资基金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鹏华安润混合型证券投资基金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鹏华安享一年持有期混合型证券投资基金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鹏华汇智优选混合型证券投资基金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鹏华安裕</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个月持有期混合型证券投资基金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鹏华弘裕一年持有期混合型证券投资基金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鹏华品质优选混合型证券投资基金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鹏华安悦一年持有期混合型证券投资基金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鹏华中证光伏产业交易型开放式指数证券投资基金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鹏华中证细分化工产业主题交易型开放式指数证券投资</w:t>
      </w:r>
      <w:r>
        <w:rPr>
          <w:rFonts w:ascii="仿宋" w:eastAsia="仿宋" w:hAnsi="仿宋" w:hint="eastAsia"/>
          <w:color w:val="000000" w:themeColor="text1"/>
          <w:sz w:val="32"/>
          <w:szCs w:val="32"/>
        </w:rPr>
        <w:t>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鹏华中证畜牧养殖交易型开放式指数证券投资基金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鹏华国证有色金属行业交易型开放式指数证券投资基金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鹏华宁华一年持有期混合型证券投资基金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鹏华创新成长混合型证券投资基金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鹏华致远成长混合型证券投资基金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鹏华远见回报三年持有期混合型证券投资基金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鹏华民丰盈和</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鹏华中证内地低碳经济主题交易型开放式指数证券投资基金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鹏华招润一年持有期混合型证券投资基金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鹏华鑫远价值一年持有期混合型证券投资基金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鹏华远见成长混合型证券投资基金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鹏华永益</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鹏华中证车联网主题交易型开放式指数证券投资基金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鹏华创新升级混合型证券投资基金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鹏华领航一年持有期混合型证券投资基金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鹏华稳泰</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天滚动持有债券型证券投资基金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鹏华中证港股通医药卫生综合交易型开放式指数证券投资基金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鹏华中证内地低碳经济主题交易型开放式指数证券投资基金联接基金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鹏华新能源精选混合型证券投资基金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鹏华丰宁债券型证券投资基金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鹏华中证港股通消费主题交易型开放式指数证券投资基金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鹏华品质成长混合型证券投资基金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鹏华长治稳健养老目标一年持有期混合型基金中基金（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鹏华国证半导体芯片交易型开放式指数证券投资基金联接基金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鹏华稳健鸿利一年持有期混合型证券投资基金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鹏华产业升级混合型证券投资基金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鹏华安诚混合型证券投资基金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w:t>
      </w:r>
      <w:r>
        <w:rPr>
          <w:rFonts w:ascii="仿宋" w:eastAsia="仿宋" w:hAnsi="仿宋" w:hint="eastAsia"/>
          <w:color w:val="000000" w:themeColor="text1"/>
          <w:sz w:val="32"/>
          <w:szCs w:val="32"/>
        </w:rPr>
        <w:t>ESG300</w:t>
      </w:r>
      <w:r>
        <w:rPr>
          <w:rFonts w:ascii="仿宋" w:eastAsia="仿宋" w:hAnsi="仿宋" w:hint="eastAsia"/>
          <w:color w:val="000000" w:themeColor="text1"/>
          <w:sz w:val="32"/>
          <w:szCs w:val="32"/>
        </w:rPr>
        <w:t>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鹏华安荣混合型证券投资基金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鹏华精选群英一年持有期灵活配置混合型管理人中管理人（</w:t>
      </w:r>
      <w:r>
        <w:rPr>
          <w:rFonts w:ascii="仿宋" w:eastAsia="仿宋" w:hAnsi="仿宋" w:hint="eastAsia"/>
          <w:color w:val="000000" w:themeColor="text1"/>
          <w:sz w:val="32"/>
          <w:szCs w:val="32"/>
        </w:rPr>
        <w:t>MOM</w:t>
      </w:r>
      <w:r>
        <w:rPr>
          <w:rFonts w:ascii="仿宋" w:eastAsia="仿宋" w:hAnsi="仿宋" w:hint="eastAsia"/>
          <w:color w:val="000000" w:themeColor="text1"/>
          <w:sz w:val="32"/>
          <w:szCs w:val="32"/>
        </w:rPr>
        <w:t>）证券投资基金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鹏华上华一年持有期混合型证券投资基金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鹏华品质精选混合型证券投资基金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鹏华安康一年持有期混合型证券投资基金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鹏华稳华</w:t>
      </w:r>
      <w:r>
        <w:rPr>
          <w:rFonts w:ascii="仿宋" w:eastAsia="仿宋" w:hAnsi="仿宋" w:hint="eastAsia"/>
          <w:color w:val="000000" w:themeColor="text1"/>
          <w:sz w:val="32"/>
          <w:szCs w:val="32"/>
        </w:rPr>
        <w:t>90</w:t>
      </w:r>
      <w:r>
        <w:rPr>
          <w:rFonts w:ascii="仿宋" w:eastAsia="仿宋" w:hAnsi="仿宋" w:hint="eastAsia"/>
          <w:color w:val="000000" w:themeColor="text1"/>
          <w:sz w:val="32"/>
          <w:szCs w:val="32"/>
        </w:rPr>
        <w:t>天滚动持有债券型证券投资基金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鹏华安颐混合型证券投资基金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鹏华中证云计算与大数据主</w:t>
      </w:r>
      <w:r>
        <w:rPr>
          <w:rFonts w:ascii="仿宋" w:eastAsia="仿宋" w:hAnsi="仿宋" w:hint="eastAsia"/>
          <w:color w:val="000000" w:themeColor="text1"/>
          <w:sz w:val="32"/>
          <w:szCs w:val="32"/>
        </w:rPr>
        <w:t>题交易型开放式指数证券投资基金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鹏华中证沪港深科技龙头指数证券投资基金（</w:t>
      </w:r>
      <w:r>
        <w:rPr>
          <w:rFonts w:ascii="仿宋" w:eastAsia="仿宋" w:hAnsi="仿宋" w:hint="eastAsia"/>
          <w:color w:val="000000" w:themeColor="text1"/>
          <w:sz w:val="32"/>
          <w:szCs w:val="32"/>
        </w:rPr>
        <w:t>LOF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鹏华中证港股通科技交易型开放式指数证券投资基金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鹏华中证同业存单</w:t>
      </w:r>
      <w:r>
        <w:rPr>
          <w:rFonts w:ascii="仿宋" w:eastAsia="仿宋" w:hAnsi="仿宋" w:hint="eastAsia"/>
          <w:color w:val="000000" w:themeColor="text1"/>
          <w:sz w:val="32"/>
          <w:szCs w:val="32"/>
        </w:rPr>
        <w:t>AAA</w:t>
      </w:r>
      <w:r>
        <w:rPr>
          <w:rFonts w:ascii="仿宋" w:eastAsia="仿宋" w:hAnsi="仿宋" w:hint="eastAsia"/>
          <w:color w:val="000000" w:themeColor="text1"/>
          <w:sz w:val="32"/>
          <w:szCs w:val="32"/>
        </w:rPr>
        <w:t>指数</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天持有期证券投资基金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鹏华沃鑫混合型证券投资基金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鹏华稳瑞中短债债券型证券投资基金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500</w:t>
      </w:r>
      <w:r>
        <w:rPr>
          <w:rFonts w:ascii="仿宋" w:eastAsia="仿宋" w:hAnsi="仿宋" w:hint="eastAsia"/>
          <w:color w:val="000000" w:themeColor="text1"/>
          <w:sz w:val="32"/>
          <w:szCs w:val="32"/>
        </w:rPr>
        <w:t>指数增强型证券投资基金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鹏华成长领航两年持有期混合型证券投资基金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鹏华中证工业互联网主题交易型开放式指数证券投资基金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鹏华价值远航</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鹏华中证细分化工产业主题交易型开放式指数证券投资基金联接基金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鹏华双季享</w:t>
      </w:r>
      <w:r>
        <w:rPr>
          <w:rFonts w:ascii="仿宋" w:eastAsia="仿宋" w:hAnsi="仿宋" w:hint="eastAsia"/>
          <w:color w:val="000000" w:themeColor="text1"/>
          <w:sz w:val="32"/>
          <w:szCs w:val="32"/>
        </w:rPr>
        <w:t>180</w:t>
      </w:r>
      <w:r>
        <w:rPr>
          <w:rFonts w:ascii="仿宋" w:eastAsia="仿宋" w:hAnsi="仿宋" w:hint="eastAsia"/>
          <w:color w:val="000000" w:themeColor="text1"/>
          <w:sz w:val="32"/>
          <w:szCs w:val="32"/>
        </w:rPr>
        <w:t>天持有期债券型证券投资基金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鹏华永宁</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鹏华浙华一年持有期混合型证券投资基金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鹏华创新增长一年持有期混合型证券投资基金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鹏华鑫华一年持有期混合型证券投资基金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鹏华深圳能源清洁能源封闭式基础设施证券投资基金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鹏华稳享一年持有期混合型证券投资基金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鹏华中证中药交易型开放式指数证券投资基金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鹏华新能源汽车主题混合型证券投资基金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鹏华永平</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鹏华增华混合型证券投资基金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鹏华兴鹏一年持有期混合型证券投资基金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鹏华丰启债券型证券投资基金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鹏华畅</w:t>
      </w:r>
      <w:r>
        <w:rPr>
          <w:rFonts w:ascii="仿宋" w:eastAsia="仿宋" w:hAnsi="仿宋" w:hint="eastAsia"/>
          <w:color w:val="000000" w:themeColor="text1"/>
          <w:sz w:val="32"/>
          <w:szCs w:val="32"/>
        </w:rPr>
        <w:t>享债券型证券投资基金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鹏华创兴增利债券型证券投资基金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鹏华稳福中短债债券型证券投资基金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鹏华永鑫一年定期开放债券型证券投资基金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鹏华中证中药交易型开放式指数证券投资基金联接基金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鹏华上证科创板</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成份增强策略交易型开放式指数证券投资基金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鹏华创业板</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1000</w:t>
      </w:r>
      <w:r>
        <w:rPr>
          <w:rFonts w:ascii="仿宋" w:eastAsia="仿宋" w:hAnsi="仿宋" w:hint="eastAsia"/>
          <w:color w:val="000000" w:themeColor="text1"/>
          <w:sz w:val="32"/>
          <w:szCs w:val="32"/>
        </w:rPr>
        <w:t>指数增强型证券投资基金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鹏华稳健增利债券型证券投资基金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鹏华稳健恒利债券型证券投资基金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鹏华养老目标日期</w:t>
      </w:r>
      <w:r>
        <w:rPr>
          <w:rFonts w:ascii="仿宋" w:eastAsia="仿宋" w:hAnsi="仿宋" w:hint="eastAsia"/>
          <w:color w:val="000000" w:themeColor="text1"/>
          <w:sz w:val="32"/>
          <w:szCs w:val="32"/>
        </w:rPr>
        <w:t>2040</w:t>
      </w:r>
      <w:r>
        <w:rPr>
          <w:rFonts w:ascii="仿宋" w:eastAsia="仿宋" w:hAnsi="仿宋" w:hint="eastAsia"/>
          <w:color w:val="000000" w:themeColor="text1"/>
          <w:sz w:val="32"/>
          <w:szCs w:val="32"/>
        </w:rPr>
        <w:t>五年持有期混合型发起式基金中基金（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鹏华睿进一年持有期混合型证券投资基金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w:t>
      </w:r>
      <w:r>
        <w:rPr>
          <w:rFonts w:ascii="仿宋" w:eastAsia="仿宋" w:hAnsi="仿宋" w:hint="eastAsia"/>
          <w:color w:val="000000" w:themeColor="text1"/>
          <w:sz w:val="32"/>
          <w:szCs w:val="32"/>
        </w:rPr>
        <w:t>2000</w:t>
      </w:r>
      <w:r>
        <w:rPr>
          <w:rFonts w:ascii="仿宋" w:eastAsia="仿宋" w:hAnsi="仿宋" w:hint="eastAsia"/>
          <w:color w:val="000000" w:themeColor="text1"/>
          <w:sz w:val="32"/>
          <w:szCs w:val="32"/>
        </w:rPr>
        <w:t>指数增强型证券投资基金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鹏华国证疫苗与生物科技交易型开放式指数证券投资基金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鹏华丰尊债券型证券投资基金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鹏华安锦一年持有期混合型证券投资基金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鹏华汽车产业混合型发起式证券投资基金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鹏华新材料混合型发起式证券投资基金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鹏华国证石油天然气交易型开放式指数证券投资基金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鹏华稳健添利债券型证券投资基金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鹏华悦享一年持有期混合型证券投资基金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鹏华碳中和主题混合型证券投资基金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鹏华中证港股通消费主题交易型开放式指数证券投资基金联接基金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鹏华芯片产业混合型发起式证券投资基金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鹏华丰顺债券型证券投资基金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w:t>
      </w:r>
      <w:r>
        <w:rPr>
          <w:rFonts w:ascii="仿宋" w:eastAsia="仿宋" w:hAnsi="仿宋" w:hint="eastAsia"/>
          <w:color w:val="000000" w:themeColor="text1"/>
          <w:sz w:val="32"/>
          <w:szCs w:val="32"/>
        </w:rPr>
        <w:t>华沪深</w:t>
      </w:r>
      <w:r>
        <w:rPr>
          <w:rFonts w:ascii="仿宋" w:eastAsia="仿宋" w:hAnsi="仿宋" w:hint="eastAsia"/>
          <w:color w:val="000000" w:themeColor="text1"/>
          <w:sz w:val="32"/>
          <w:szCs w:val="32"/>
        </w:rPr>
        <w:t>300</w:t>
      </w:r>
      <w:r>
        <w:rPr>
          <w:rFonts w:ascii="仿宋" w:eastAsia="仿宋" w:hAnsi="仿宋" w:hint="eastAsia"/>
          <w:color w:val="000000" w:themeColor="text1"/>
          <w:sz w:val="32"/>
          <w:szCs w:val="32"/>
        </w:rPr>
        <w:t>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鹏华睿见混合型证券投资基金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鹏华高端装备一年持有期混合型证券投资基金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鹏华国证粮食产业交易型开放式指数证券投资基金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鹏华创业板</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交易型开放式指数证券投资基金联接基金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鹏华信用债</w:t>
      </w:r>
      <w:r>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个月持有期债券型证券投资基金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w:t>
      </w:r>
      <w:r>
        <w:rPr>
          <w:rFonts w:ascii="仿宋" w:eastAsia="仿宋" w:hAnsi="仿宋" w:hint="eastAsia"/>
          <w:color w:val="000000" w:themeColor="text1"/>
          <w:sz w:val="32"/>
          <w:szCs w:val="32"/>
        </w:rPr>
        <w:t>1000</w:t>
      </w:r>
      <w:r>
        <w:rPr>
          <w:rFonts w:ascii="仿宋" w:eastAsia="仿宋" w:hAnsi="仿宋" w:hint="eastAsia"/>
          <w:color w:val="000000" w:themeColor="text1"/>
          <w:sz w:val="32"/>
          <w:szCs w:val="32"/>
        </w:rPr>
        <w:t>增强策略交易型开放式指数证券投资基金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鹏华上证科创板</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鹏华养老目标日期</w:t>
      </w:r>
      <w:r>
        <w:rPr>
          <w:rFonts w:ascii="仿宋" w:eastAsia="仿宋" w:hAnsi="仿宋" w:hint="eastAsia"/>
          <w:color w:val="000000" w:themeColor="text1"/>
          <w:sz w:val="32"/>
          <w:szCs w:val="32"/>
        </w:rPr>
        <w:t>2050</w:t>
      </w:r>
      <w:r>
        <w:rPr>
          <w:rFonts w:ascii="仿宋" w:eastAsia="仿宋" w:hAnsi="仿宋" w:hint="eastAsia"/>
          <w:color w:val="000000" w:themeColor="text1"/>
          <w:sz w:val="32"/>
          <w:szCs w:val="32"/>
        </w:rPr>
        <w:t>五年持有期混合型发起式基金中基金（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鹏华易诚积极</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个月持有期混合型基金中基金（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鹏华远见精选混合型发起式证券投资基金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鹏华上证科创板</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交易型开放式指数证券投资基金联接基金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鹏华易选积极</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个月持有期混合型基金中基金（</w:t>
      </w:r>
      <w:r>
        <w:rPr>
          <w:rFonts w:ascii="仿宋" w:eastAsia="仿宋" w:hAnsi="仿宋" w:hint="eastAsia"/>
          <w:color w:val="000000" w:themeColor="text1"/>
          <w:sz w:val="32"/>
          <w:szCs w:val="32"/>
        </w:rPr>
        <w:t>FOF</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鹏华丰景债券型证券投资基金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鹏华道琼斯工业平均交易型开放式指数证券投资基金（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鹏华智投</w:t>
      </w:r>
      <w:r>
        <w:rPr>
          <w:rFonts w:ascii="仿宋" w:eastAsia="仿宋" w:hAnsi="仿宋" w:hint="eastAsia"/>
          <w:color w:val="000000" w:themeColor="text1"/>
          <w:sz w:val="32"/>
          <w:szCs w:val="32"/>
        </w:rPr>
        <w:t>800</w:t>
      </w:r>
      <w:r>
        <w:rPr>
          <w:rFonts w:ascii="仿宋" w:eastAsia="仿宋" w:hAnsi="仿宋" w:hint="eastAsia"/>
          <w:color w:val="000000" w:themeColor="text1"/>
          <w:sz w:val="32"/>
          <w:szCs w:val="32"/>
        </w:rPr>
        <w:t>混合型证券投资基金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鹏华双季红</w:t>
      </w:r>
      <w:r>
        <w:rPr>
          <w:rFonts w:ascii="仿宋" w:eastAsia="仿宋" w:hAnsi="仿宋" w:hint="eastAsia"/>
          <w:color w:val="000000" w:themeColor="text1"/>
          <w:sz w:val="32"/>
          <w:szCs w:val="32"/>
        </w:rPr>
        <w:t>180</w:t>
      </w:r>
      <w:r>
        <w:rPr>
          <w:rFonts w:ascii="仿宋" w:eastAsia="仿宋" w:hAnsi="仿宋" w:hint="eastAsia"/>
          <w:color w:val="000000" w:themeColor="text1"/>
          <w:sz w:val="32"/>
          <w:szCs w:val="32"/>
        </w:rPr>
        <w:t>天持有期债券型证券投资基金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鹏华稳益</w:t>
      </w:r>
      <w:r>
        <w:rPr>
          <w:rFonts w:ascii="仿宋" w:eastAsia="仿宋" w:hAnsi="仿宋" w:hint="eastAsia"/>
          <w:color w:val="000000" w:themeColor="text1"/>
          <w:sz w:val="32"/>
          <w:szCs w:val="32"/>
        </w:rPr>
        <w:t>180</w:t>
      </w:r>
      <w:r>
        <w:rPr>
          <w:rFonts w:ascii="仿宋" w:eastAsia="仿宋" w:hAnsi="仿宋" w:hint="eastAsia"/>
          <w:color w:val="000000" w:themeColor="text1"/>
          <w:sz w:val="32"/>
          <w:szCs w:val="32"/>
        </w:rPr>
        <w:t>天持有期债券型证券投资基金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鹏华中证电信主题交易型开放式指数证券投资基金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鹏华中证车联网主题交易型开放式指数证券投资基金发起式联接基金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鹏华恒生中国央企交易型开放式指数证券投资基金（</w:t>
      </w:r>
      <w:r>
        <w:rPr>
          <w:rFonts w:ascii="仿宋" w:eastAsia="仿宋" w:hAnsi="仿宋" w:hint="eastAsia"/>
          <w:color w:val="000000" w:themeColor="text1"/>
          <w:sz w:val="32"/>
          <w:szCs w:val="32"/>
        </w:rPr>
        <w:t>QDII</w:t>
      </w:r>
      <w:r>
        <w:rPr>
          <w:rFonts w:ascii="仿宋" w:eastAsia="仿宋" w:hAnsi="仿宋" w:hint="eastAsia"/>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鹏华双季乐</w:t>
      </w:r>
      <w:r>
        <w:rPr>
          <w:rFonts w:ascii="仿宋" w:eastAsia="仿宋" w:hAnsi="仿宋" w:hint="eastAsia"/>
          <w:color w:val="000000" w:themeColor="text1"/>
          <w:sz w:val="32"/>
          <w:szCs w:val="32"/>
        </w:rPr>
        <w:t>180</w:t>
      </w:r>
      <w:r>
        <w:rPr>
          <w:rFonts w:ascii="仿宋" w:eastAsia="仿宋" w:hAnsi="仿宋" w:hint="eastAsia"/>
          <w:color w:val="000000" w:themeColor="text1"/>
          <w:sz w:val="32"/>
          <w:szCs w:val="32"/>
        </w:rPr>
        <w:t>天持有期债</w:t>
      </w:r>
      <w:r>
        <w:rPr>
          <w:rFonts w:ascii="仿宋" w:eastAsia="仿宋" w:hAnsi="仿宋" w:hint="eastAsia"/>
          <w:color w:val="000000" w:themeColor="text1"/>
          <w:sz w:val="32"/>
          <w:szCs w:val="32"/>
        </w:rPr>
        <w:t>券型证券投资基金</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202</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年中期</w:t>
      </w:r>
      <w:r>
        <w:rPr>
          <w:rFonts w:ascii="仿宋" w:eastAsia="仿宋" w:hAnsi="仿宋"/>
          <w:color w:val="000000" w:themeColor="text1"/>
          <w:sz w:val="32"/>
          <w:szCs w:val="32"/>
        </w:rPr>
        <w:t>报告全文</w:t>
      </w:r>
      <w:r>
        <w:rPr>
          <w:rFonts w:ascii="仿宋" w:eastAsia="仿宋" w:hAnsi="仿宋" w:hint="eastAsia"/>
          <w:color w:val="000000" w:themeColor="text1"/>
          <w:sz w:val="32"/>
          <w:szCs w:val="32"/>
        </w:rPr>
        <w:t>于</w:t>
      </w:r>
      <w:r>
        <w:rPr>
          <w:rFonts w:ascii="仿宋" w:eastAsia="仿宋" w:hAnsi="仿宋" w:hint="eastAsia"/>
          <w:color w:val="000000" w:themeColor="text1"/>
          <w:sz w:val="32"/>
          <w:szCs w:val="32"/>
        </w:rPr>
        <w:t>2</w:t>
      </w:r>
      <w:r>
        <w:rPr>
          <w:rFonts w:ascii="仿宋" w:eastAsia="仿宋" w:hAnsi="仿宋"/>
          <w:color w:val="000000" w:themeColor="text1"/>
          <w:sz w:val="32"/>
          <w:szCs w:val="32"/>
        </w:rPr>
        <w:t>02</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w:t>
      </w:r>
      <w:r>
        <w:rPr>
          <w:rFonts w:ascii="仿宋" w:eastAsia="仿宋" w:hAnsi="仿宋"/>
          <w:color w:val="000000" w:themeColor="text1"/>
          <w:sz w:val="32"/>
          <w:szCs w:val="32"/>
        </w:rPr>
        <w:t>8</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29</w:t>
      </w:r>
      <w:r>
        <w:rPr>
          <w:rFonts w:ascii="仿宋" w:eastAsia="仿宋" w:hAnsi="仿宋" w:hint="eastAsia"/>
          <w:color w:val="000000" w:themeColor="text1"/>
          <w:sz w:val="32"/>
          <w:szCs w:val="32"/>
        </w:rPr>
        <w:t>日在</w:t>
      </w:r>
      <w:r>
        <w:rPr>
          <w:rFonts w:ascii="仿宋" w:eastAsia="仿宋" w:hAnsi="仿宋"/>
          <w:color w:val="000000" w:themeColor="text1"/>
          <w:sz w:val="32"/>
          <w:szCs w:val="32"/>
        </w:rPr>
        <w:t>本公司网站</w:t>
      </w:r>
      <w:r>
        <w:rPr>
          <w:rFonts w:ascii="仿宋" w:eastAsia="仿宋" w:hAnsi="仿宋" w:hint="eastAsia"/>
          <w:color w:val="000000" w:themeColor="text1"/>
          <w:sz w:val="32"/>
          <w:szCs w:val="32"/>
        </w:rPr>
        <w:t>[</w:t>
      </w:r>
      <w:r>
        <w:rPr>
          <w:rFonts w:ascii="仿宋" w:eastAsia="仿宋" w:hAnsi="仿宋"/>
          <w:color w:val="000000" w:themeColor="text1"/>
          <w:sz w:val="32"/>
          <w:szCs w:val="32"/>
        </w:rPr>
        <w:t>http://www.phfund.com.cn</w:t>
      </w:r>
      <w:r>
        <w:rPr>
          <w:rFonts w:ascii="仿宋" w:eastAsia="仿宋" w:hAnsi="仿宋" w:hint="eastAsia"/>
          <w:color w:val="000000" w:themeColor="text1"/>
          <w:sz w:val="32"/>
          <w:szCs w:val="32"/>
        </w:rPr>
        <w:t>]</w:t>
      </w:r>
      <w:r>
        <w:rPr>
          <w:rFonts w:ascii="仿宋" w:eastAsia="仿宋" w:hAnsi="仿宋"/>
          <w:color w:val="000000" w:themeColor="text1"/>
          <w:sz w:val="32"/>
          <w:szCs w:val="32"/>
        </w:rPr>
        <w:t>和中国证监会</w:t>
      </w:r>
      <w:r>
        <w:rPr>
          <w:rFonts w:ascii="仿宋" w:eastAsia="仿宋" w:hAnsi="仿宋" w:hint="eastAsia"/>
          <w:color w:val="000000" w:themeColor="text1"/>
          <w:sz w:val="32"/>
          <w:szCs w:val="32"/>
        </w:rPr>
        <w:t>基金</w:t>
      </w:r>
      <w:r>
        <w:rPr>
          <w:rFonts w:ascii="仿宋" w:eastAsia="仿宋" w:hAnsi="仿宋"/>
          <w:color w:val="000000" w:themeColor="text1"/>
          <w:sz w:val="32"/>
          <w:szCs w:val="32"/>
        </w:rPr>
        <w:t>电子披露网站</w:t>
      </w:r>
      <w:r>
        <w:rPr>
          <w:rFonts w:ascii="仿宋" w:eastAsia="仿宋" w:hAnsi="仿宋" w:hint="eastAsia"/>
          <w:color w:val="000000" w:themeColor="text1"/>
          <w:sz w:val="32"/>
          <w:szCs w:val="32"/>
        </w:rPr>
        <w:t>（</w:t>
      </w:r>
      <w:hyperlink r:id="rId7" w:history="1">
        <w:r>
          <w:rPr>
            <w:rStyle w:val="a9"/>
            <w:rFonts w:ascii="仿宋" w:eastAsia="仿宋" w:hAnsi="仿宋" w:hint="eastAsia"/>
            <w:sz w:val="32"/>
            <w:szCs w:val="32"/>
          </w:rPr>
          <w:t>http://eid.csrc.gov.cn/fund</w:t>
        </w:r>
      </w:hyperlink>
      <w:r>
        <w:rPr>
          <w:rFonts w:ascii="仿宋" w:eastAsia="仿宋" w:hAnsi="仿宋" w:hint="eastAsia"/>
          <w:color w:val="000000" w:themeColor="text1"/>
          <w:sz w:val="32"/>
          <w:szCs w:val="32"/>
        </w:rPr>
        <w:t>）</w:t>
      </w:r>
      <w:r>
        <w:rPr>
          <w:rFonts w:ascii="仿宋" w:eastAsia="仿宋" w:hAnsi="仿宋"/>
          <w:color w:val="000000" w:themeColor="text1"/>
          <w:sz w:val="32"/>
          <w:szCs w:val="32"/>
        </w:rPr>
        <w:t>披露，供投资者查阅。</w:t>
      </w:r>
      <w:r>
        <w:rPr>
          <w:rFonts w:ascii="仿宋" w:eastAsia="仿宋" w:hAnsi="仿宋" w:hint="eastAsia"/>
          <w:color w:val="000000" w:themeColor="text1"/>
          <w:sz w:val="32"/>
          <w:szCs w:val="32"/>
        </w:rPr>
        <w:t>如有疑问可拨打本公司客服电话（</w:t>
      </w:r>
      <w:r>
        <w:rPr>
          <w:rFonts w:ascii="仿宋" w:eastAsia="仿宋" w:hAnsi="仿宋"/>
          <w:color w:val="000000" w:themeColor="text1"/>
          <w:sz w:val="32"/>
          <w:szCs w:val="32"/>
        </w:rPr>
        <w:t>400-6788-999</w:t>
      </w:r>
      <w:r>
        <w:rPr>
          <w:rFonts w:ascii="仿宋" w:eastAsia="仿宋" w:hAnsi="仿宋" w:hint="eastAsia"/>
          <w:color w:val="000000" w:themeColor="text1"/>
          <w:sz w:val="32"/>
          <w:szCs w:val="32"/>
        </w:rPr>
        <w:t>/</w:t>
      </w:r>
      <w:r>
        <w:t xml:space="preserve"> </w:t>
      </w:r>
      <w:r>
        <w:rPr>
          <w:rFonts w:ascii="仿宋" w:eastAsia="仿宋" w:hAnsi="仿宋"/>
          <w:color w:val="000000" w:themeColor="text1"/>
          <w:sz w:val="32"/>
          <w:szCs w:val="32"/>
        </w:rPr>
        <w:t>400-6788-533</w:t>
      </w:r>
      <w:r>
        <w:rPr>
          <w:rFonts w:ascii="仿宋" w:eastAsia="仿宋" w:hAnsi="仿宋" w:hint="eastAsia"/>
          <w:color w:val="000000" w:themeColor="text1"/>
          <w:sz w:val="32"/>
          <w:szCs w:val="32"/>
        </w:rPr>
        <w:t>）咨询</w:t>
      </w:r>
      <w:r>
        <w:rPr>
          <w:rFonts w:ascii="仿宋" w:eastAsia="仿宋" w:hAnsi="仿宋"/>
          <w:color w:val="000000" w:themeColor="text1"/>
          <w:sz w:val="32"/>
          <w:szCs w:val="32"/>
        </w:rPr>
        <w:t>。</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0C6492" w:rsidRDefault="00610450">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0C6492" w:rsidRDefault="000C6492">
      <w:pPr>
        <w:spacing w:line="540" w:lineRule="exact"/>
        <w:ind w:firstLineChars="200" w:firstLine="640"/>
        <w:rPr>
          <w:rFonts w:ascii="仿宋" w:eastAsia="仿宋" w:hAnsi="仿宋"/>
          <w:color w:val="000000" w:themeColor="text1"/>
          <w:sz w:val="32"/>
          <w:szCs w:val="32"/>
        </w:rPr>
      </w:pPr>
    </w:p>
    <w:p w:rsidR="000C6492" w:rsidRDefault="00610450">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鹏华基金管理有限</w:t>
      </w:r>
      <w:r>
        <w:rPr>
          <w:rFonts w:ascii="仿宋" w:eastAsia="仿宋" w:hAnsi="仿宋"/>
          <w:color w:val="000000" w:themeColor="text1"/>
          <w:sz w:val="32"/>
          <w:szCs w:val="32"/>
        </w:rPr>
        <w:t>公司</w:t>
      </w:r>
    </w:p>
    <w:p w:rsidR="000C6492" w:rsidRDefault="00610450">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20</w:t>
      </w:r>
      <w:r>
        <w:rPr>
          <w:rFonts w:ascii="仿宋" w:eastAsia="仿宋" w:hAnsi="仿宋"/>
          <w:color w:val="000000" w:themeColor="text1"/>
          <w:sz w:val="32"/>
          <w:szCs w:val="32"/>
        </w:rPr>
        <w:t>2</w:t>
      </w:r>
      <w:r>
        <w:rPr>
          <w:rFonts w:ascii="仿宋" w:eastAsia="仿宋" w:hAnsi="仿宋" w:hint="eastAsia"/>
          <w:color w:val="000000" w:themeColor="text1"/>
          <w:sz w:val="32"/>
          <w:szCs w:val="32"/>
        </w:rPr>
        <w:t>4</w:t>
      </w:r>
      <w:r>
        <w:rPr>
          <w:rFonts w:ascii="仿宋" w:eastAsia="仿宋" w:hAnsi="仿宋"/>
          <w:color w:val="000000" w:themeColor="text1"/>
          <w:sz w:val="32"/>
          <w:szCs w:val="32"/>
        </w:rPr>
        <w:t>年</w:t>
      </w:r>
      <w:r>
        <w:rPr>
          <w:rFonts w:ascii="仿宋" w:eastAsia="仿宋" w:hAnsi="仿宋"/>
          <w:color w:val="000000" w:themeColor="text1"/>
          <w:sz w:val="32"/>
          <w:szCs w:val="32"/>
        </w:rPr>
        <w:t>8</w:t>
      </w:r>
      <w:r>
        <w:rPr>
          <w:rFonts w:ascii="仿宋" w:eastAsia="仿宋" w:hAnsi="仿宋"/>
          <w:color w:val="000000" w:themeColor="text1"/>
          <w:sz w:val="32"/>
          <w:szCs w:val="32"/>
        </w:rPr>
        <w:t>月</w:t>
      </w:r>
      <w:r>
        <w:rPr>
          <w:rFonts w:ascii="仿宋" w:eastAsia="仿宋" w:hAnsi="仿宋" w:hint="eastAsia"/>
          <w:color w:val="000000" w:themeColor="text1"/>
          <w:sz w:val="32"/>
          <w:szCs w:val="32"/>
        </w:rPr>
        <w:t>29</w:t>
      </w:r>
      <w:r>
        <w:rPr>
          <w:rFonts w:ascii="仿宋" w:eastAsia="仿宋" w:hAnsi="仿宋"/>
          <w:color w:val="000000" w:themeColor="text1"/>
          <w:sz w:val="32"/>
          <w:szCs w:val="32"/>
        </w:rPr>
        <w:t>日</w:t>
      </w:r>
    </w:p>
    <w:sectPr w:rsidR="000C6492" w:rsidSect="000C6492">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492" w:rsidRDefault="000C6492" w:rsidP="000C6492">
      <w:r>
        <w:separator/>
      </w:r>
    </w:p>
  </w:endnote>
  <w:endnote w:type="continuationSeparator" w:id="0">
    <w:p w:rsidR="000C6492" w:rsidRDefault="000C6492" w:rsidP="000C64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AutoText"/>
      </w:docPartObj>
    </w:sdtPr>
    <w:sdtContent>
      <w:p w:rsidR="000C6492" w:rsidRDefault="000C6492">
        <w:pPr>
          <w:pStyle w:val="a5"/>
          <w:jc w:val="center"/>
        </w:pPr>
        <w:r>
          <w:fldChar w:fldCharType="begin"/>
        </w:r>
        <w:r w:rsidR="00610450">
          <w:instrText>PAGE   \* MERGEFORMAT</w:instrText>
        </w:r>
        <w:r>
          <w:fldChar w:fldCharType="separate"/>
        </w:r>
        <w:r w:rsidR="00610450">
          <w:rPr>
            <w:lang w:val="zh-CN"/>
          </w:rPr>
          <w:t>14</w:t>
        </w:r>
        <w:r>
          <w:fldChar w:fldCharType="end"/>
        </w:r>
      </w:p>
    </w:sdtContent>
  </w:sdt>
  <w:p w:rsidR="000C6492" w:rsidRDefault="000C649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AutoText"/>
      </w:docPartObj>
    </w:sdtPr>
    <w:sdtContent>
      <w:p w:rsidR="000C6492" w:rsidRDefault="000C6492">
        <w:pPr>
          <w:pStyle w:val="a5"/>
          <w:jc w:val="center"/>
        </w:pPr>
        <w:r>
          <w:fldChar w:fldCharType="begin"/>
        </w:r>
        <w:r w:rsidR="00610450">
          <w:instrText>PAGE   \* MERGEFORMAT</w:instrText>
        </w:r>
        <w:r>
          <w:fldChar w:fldCharType="separate"/>
        </w:r>
        <w:r w:rsidR="00610450" w:rsidRPr="00610450">
          <w:rPr>
            <w:noProof/>
            <w:lang w:val="zh-CN"/>
          </w:rPr>
          <w:t>1</w:t>
        </w:r>
        <w:r>
          <w:fldChar w:fldCharType="end"/>
        </w:r>
      </w:p>
    </w:sdtContent>
  </w:sdt>
  <w:p w:rsidR="000C6492" w:rsidRDefault="000C64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492" w:rsidRDefault="000C6492" w:rsidP="000C6492">
      <w:r>
        <w:separator/>
      </w:r>
    </w:p>
  </w:footnote>
  <w:footnote w:type="continuationSeparator" w:id="0">
    <w:p w:rsidR="000C6492" w:rsidRDefault="000C6492" w:rsidP="000C64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3B2F"/>
    <w:rsid w:val="00010044"/>
    <w:rsid w:val="00022ABD"/>
    <w:rsid w:val="00025D40"/>
    <w:rsid w:val="000300E5"/>
    <w:rsid w:val="0003246C"/>
    <w:rsid w:val="00033010"/>
    <w:rsid w:val="00033204"/>
    <w:rsid w:val="000475F0"/>
    <w:rsid w:val="000539F6"/>
    <w:rsid w:val="00056EE0"/>
    <w:rsid w:val="00057323"/>
    <w:rsid w:val="00067DEB"/>
    <w:rsid w:val="0008010F"/>
    <w:rsid w:val="00081ADE"/>
    <w:rsid w:val="00084E7D"/>
    <w:rsid w:val="00087988"/>
    <w:rsid w:val="0009227A"/>
    <w:rsid w:val="00093E55"/>
    <w:rsid w:val="00094F20"/>
    <w:rsid w:val="000A0272"/>
    <w:rsid w:val="000A0ECE"/>
    <w:rsid w:val="000A588E"/>
    <w:rsid w:val="000B53A5"/>
    <w:rsid w:val="000C06E1"/>
    <w:rsid w:val="000C1032"/>
    <w:rsid w:val="000C6492"/>
    <w:rsid w:val="000D18EF"/>
    <w:rsid w:val="000E13E9"/>
    <w:rsid w:val="000E7D66"/>
    <w:rsid w:val="000F07E6"/>
    <w:rsid w:val="000F407E"/>
    <w:rsid w:val="000F4301"/>
    <w:rsid w:val="000F6458"/>
    <w:rsid w:val="001039BC"/>
    <w:rsid w:val="001279BE"/>
    <w:rsid w:val="0013251E"/>
    <w:rsid w:val="001445A9"/>
    <w:rsid w:val="00146307"/>
    <w:rsid w:val="00146F2C"/>
    <w:rsid w:val="001533B2"/>
    <w:rsid w:val="001623CF"/>
    <w:rsid w:val="00165D5C"/>
    <w:rsid w:val="00166B15"/>
    <w:rsid w:val="00174C8C"/>
    <w:rsid w:val="0017571E"/>
    <w:rsid w:val="00175AED"/>
    <w:rsid w:val="00191702"/>
    <w:rsid w:val="00192262"/>
    <w:rsid w:val="001A593B"/>
    <w:rsid w:val="001C7C97"/>
    <w:rsid w:val="001D04AB"/>
    <w:rsid w:val="001D2521"/>
    <w:rsid w:val="001D74AE"/>
    <w:rsid w:val="001E17E9"/>
    <w:rsid w:val="001E7CAD"/>
    <w:rsid w:val="001F125D"/>
    <w:rsid w:val="001F15CB"/>
    <w:rsid w:val="001F533E"/>
    <w:rsid w:val="002116E3"/>
    <w:rsid w:val="0021172E"/>
    <w:rsid w:val="00221DE2"/>
    <w:rsid w:val="002323E6"/>
    <w:rsid w:val="00234298"/>
    <w:rsid w:val="002343BD"/>
    <w:rsid w:val="002471D4"/>
    <w:rsid w:val="00253326"/>
    <w:rsid w:val="00261CDE"/>
    <w:rsid w:val="0026276F"/>
    <w:rsid w:val="00264368"/>
    <w:rsid w:val="00276CA4"/>
    <w:rsid w:val="002823E9"/>
    <w:rsid w:val="00282A7F"/>
    <w:rsid w:val="00284E14"/>
    <w:rsid w:val="00290DEB"/>
    <w:rsid w:val="00292EFF"/>
    <w:rsid w:val="00293DE4"/>
    <w:rsid w:val="002941EC"/>
    <w:rsid w:val="00296096"/>
    <w:rsid w:val="00296303"/>
    <w:rsid w:val="002968AB"/>
    <w:rsid w:val="002970F7"/>
    <w:rsid w:val="002A1DA1"/>
    <w:rsid w:val="002A1F54"/>
    <w:rsid w:val="002A4FF0"/>
    <w:rsid w:val="002B144C"/>
    <w:rsid w:val="002B16F4"/>
    <w:rsid w:val="002B2DA0"/>
    <w:rsid w:val="002B7B4F"/>
    <w:rsid w:val="002C3EC0"/>
    <w:rsid w:val="002C5D36"/>
    <w:rsid w:val="002D2831"/>
    <w:rsid w:val="002E24D1"/>
    <w:rsid w:val="002E79D9"/>
    <w:rsid w:val="002E7B0A"/>
    <w:rsid w:val="002E7B95"/>
    <w:rsid w:val="002F2B53"/>
    <w:rsid w:val="00303860"/>
    <w:rsid w:val="00311075"/>
    <w:rsid w:val="003117E6"/>
    <w:rsid w:val="0031471A"/>
    <w:rsid w:val="00315B2A"/>
    <w:rsid w:val="003316CD"/>
    <w:rsid w:val="00332619"/>
    <w:rsid w:val="00333802"/>
    <w:rsid w:val="003467B5"/>
    <w:rsid w:val="00355B7C"/>
    <w:rsid w:val="00361065"/>
    <w:rsid w:val="0036236D"/>
    <w:rsid w:val="0036248F"/>
    <w:rsid w:val="0037647A"/>
    <w:rsid w:val="0038176C"/>
    <w:rsid w:val="00382BCB"/>
    <w:rsid w:val="00391944"/>
    <w:rsid w:val="00393949"/>
    <w:rsid w:val="003948AF"/>
    <w:rsid w:val="00394BBC"/>
    <w:rsid w:val="003A4AC6"/>
    <w:rsid w:val="003C2820"/>
    <w:rsid w:val="003C3CB5"/>
    <w:rsid w:val="003C5A1A"/>
    <w:rsid w:val="003D0424"/>
    <w:rsid w:val="003D32D7"/>
    <w:rsid w:val="003D5AA9"/>
    <w:rsid w:val="003F07BF"/>
    <w:rsid w:val="003F26B9"/>
    <w:rsid w:val="003F4E13"/>
    <w:rsid w:val="003F6960"/>
    <w:rsid w:val="0040020D"/>
    <w:rsid w:val="00405ADB"/>
    <w:rsid w:val="004254EE"/>
    <w:rsid w:val="00430D19"/>
    <w:rsid w:val="00433480"/>
    <w:rsid w:val="0043655D"/>
    <w:rsid w:val="00437D86"/>
    <w:rsid w:val="00441246"/>
    <w:rsid w:val="00441E0B"/>
    <w:rsid w:val="00452A46"/>
    <w:rsid w:val="00452DF0"/>
    <w:rsid w:val="00454581"/>
    <w:rsid w:val="00454978"/>
    <w:rsid w:val="00454994"/>
    <w:rsid w:val="00467E81"/>
    <w:rsid w:val="00471AE6"/>
    <w:rsid w:val="004744B6"/>
    <w:rsid w:val="004748B9"/>
    <w:rsid w:val="00477BA8"/>
    <w:rsid w:val="00477EB2"/>
    <w:rsid w:val="0048111A"/>
    <w:rsid w:val="004864B0"/>
    <w:rsid w:val="00487BF1"/>
    <w:rsid w:val="00491FCB"/>
    <w:rsid w:val="00497943"/>
    <w:rsid w:val="00497A8B"/>
    <w:rsid w:val="004A0E45"/>
    <w:rsid w:val="004A54A6"/>
    <w:rsid w:val="004B005C"/>
    <w:rsid w:val="004B1105"/>
    <w:rsid w:val="004B664C"/>
    <w:rsid w:val="004C3109"/>
    <w:rsid w:val="004C44C4"/>
    <w:rsid w:val="004C625A"/>
    <w:rsid w:val="004C6355"/>
    <w:rsid w:val="004E1D5E"/>
    <w:rsid w:val="004E540A"/>
    <w:rsid w:val="004E630B"/>
    <w:rsid w:val="004F7313"/>
    <w:rsid w:val="00513357"/>
    <w:rsid w:val="005158A6"/>
    <w:rsid w:val="0052094C"/>
    <w:rsid w:val="00534A41"/>
    <w:rsid w:val="0053650E"/>
    <w:rsid w:val="00542535"/>
    <w:rsid w:val="00544E6E"/>
    <w:rsid w:val="00547910"/>
    <w:rsid w:val="00551033"/>
    <w:rsid w:val="00560AC4"/>
    <w:rsid w:val="00563FE4"/>
    <w:rsid w:val="0056745C"/>
    <w:rsid w:val="00567A02"/>
    <w:rsid w:val="005711D9"/>
    <w:rsid w:val="005751C6"/>
    <w:rsid w:val="00582D8F"/>
    <w:rsid w:val="005837B0"/>
    <w:rsid w:val="00596AC1"/>
    <w:rsid w:val="005A408B"/>
    <w:rsid w:val="005A46AE"/>
    <w:rsid w:val="005A692A"/>
    <w:rsid w:val="005A77EA"/>
    <w:rsid w:val="005B5233"/>
    <w:rsid w:val="005B5746"/>
    <w:rsid w:val="005C00AF"/>
    <w:rsid w:val="005C7C95"/>
    <w:rsid w:val="005D2463"/>
    <w:rsid w:val="005D3C24"/>
    <w:rsid w:val="005D4528"/>
    <w:rsid w:val="005E088E"/>
    <w:rsid w:val="005E0F00"/>
    <w:rsid w:val="005E41EA"/>
    <w:rsid w:val="005F4D9C"/>
    <w:rsid w:val="005F7E5C"/>
    <w:rsid w:val="0060143D"/>
    <w:rsid w:val="00604996"/>
    <w:rsid w:val="00605B67"/>
    <w:rsid w:val="00610450"/>
    <w:rsid w:val="006163B1"/>
    <w:rsid w:val="00616874"/>
    <w:rsid w:val="0062589F"/>
    <w:rsid w:val="00626EA8"/>
    <w:rsid w:val="00630D56"/>
    <w:rsid w:val="00641CEA"/>
    <w:rsid w:val="00641E6E"/>
    <w:rsid w:val="0065080E"/>
    <w:rsid w:val="00655229"/>
    <w:rsid w:val="00656732"/>
    <w:rsid w:val="00656B0C"/>
    <w:rsid w:val="0066309A"/>
    <w:rsid w:val="0066627D"/>
    <w:rsid w:val="00682C0E"/>
    <w:rsid w:val="006832A2"/>
    <w:rsid w:val="00684A20"/>
    <w:rsid w:val="00690EC4"/>
    <w:rsid w:val="006962CB"/>
    <w:rsid w:val="006A0BB0"/>
    <w:rsid w:val="006A7F42"/>
    <w:rsid w:val="006B4697"/>
    <w:rsid w:val="006B563E"/>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26D87"/>
    <w:rsid w:val="0073075C"/>
    <w:rsid w:val="007315E0"/>
    <w:rsid w:val="0074144B"/>
    <w:rsid w:val="00741A3E"/>
    <w:rsid w:val="007443C2"/>
    <w:rsid w:val="00744489"/>
    <w:rsid w:val="00744A9B"/>
    <w:rsid w:val="00756CAD"/>
    <w:rsid w:val="007629BB"/>
    <w:rsid w:val="00762A82"/>
    <w:rsid w:val="007703B8"/>
    <w:rsid w:val="00771227"/>
    <w:rsid w:val="00772D42"/>
    <w:rsid w:val="00775751"/>
    <w:rsid w:val="00781015"/>
    <w:rsid w:val="00785418"/>
    <w:rsid w:val="00787132"/>
    <w:rsid w:val="007900FC"/>
    <w:rsid w:val="00794869"/>
    <w:rsid w:val="0079574B"/>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0176"/>
    <w:rsid w:val="008619E1"/>
    <w:rsid w:val="00866E5A"/>
    <w:rsid w:val="008721DF"/>
    <w:rsid w:val="008738A9"/>
    <w:rsid w:val="00876EC6"/>
    <w:rsid w:val="00881C77"/>
    <w:rsid w:val="00882FB0"/>
    <w:rsid w:val="008839E0"/>
    <w:rsid w:val="008843B4"/>
    <w:rsid w:val="00887017"/>
    <w:rsid w:val="00891007"/>
    <w:rsid w:val="008A1AFA"/>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26454"/>
    <w:rsid w:val="00933628"/>
    <w:rsid w:val="009465EA"/>
    <w:rsid w:val="009506DC"/>
    <w:rsid w:val="009566C4"/>
    <w:rsid w:val="00956DD9"/>
    <w:rsid w:val="009628AE"/>
    <w:rsid w:val="00967A04"/>
    <w:rsid w:val="00973509"/>
    <w:rsid w:val="00977BBE"/>
    <w:rsid w:val="00977E7B"/>
    <w:rsid w:val="00986792"/>
    <w:rsid w:val="009871EF"/>
    <w:rsid w:val="00991132"/>
    <w:rsid w:val="00991292"/>
    <w:rsid w:val="00991AEE"/>
    <w:rsid w:val="0099252E"/>
    <w:rsid w:val="00993CBF"/>
    <w:rsid w:val="00997D63"/>
    <w:rsid w:val="009A149B"/>
    <w:rsid w:val="009B33C8"/>
    <w:rsid w:val="009B5D57"/>
    <w:rsid w:val="009C15E2"/>
    <w:rsid w:val="009C33BF"/>
    <w:rsid w:val="009C3820"/>
    <w:rsid w:val="009E35EB"/>
    <w:rsid w:val="009E64F2"/>
    <w:rsid w:val="009E6F9E"/>
    <w:rsid w:val="009E7875"/>
    <w:rsid w:val="009F25BB"/>
    <w:rsid w:val="009F72D1"/>
    <w:rsid w:val="00A12B26"/>
    <w:rsid w:val="00A144A6"/>
    <w:rsid w:val="00A20685"/>
    <w:rsid w:val="00A21627"/>
    <w:rsid w:val="00A27A6E"/>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96435"/>
    <w:rsid w:val="00AB49A1"/>
    <w:rsid w:val="00AB7720"/>
    <w:rsid w:val="00AC1161"/>
    <w:rsid w:val="00AD18DD"/>
    <w:rsid w:val="00AD562B"/>
    <w:rsid w:val="00AE24A4"/>
    <w:rsid w:val="00AE3F47"/>
    <w:rsid w:val="00AE69BF"/>
    <w:rsid w:val="00AF7347"/>
    <w:rsid w:val="00B014DF"/>
    <w:rsid w:val="00B05BA4"/>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97A62"/>
    <w:rsid w:val="00BA0E21"/>
    <w:rsid w:val="00BA1434"/>
    <w:rsid w:val="00BA3915"/>
    <w:rsid w:val="00BA3AE4"/>
    <w:rsid w:val="00BA4805"/>
    <w:rsid w:val="00BB3501"/>
    <w:rsid w:val="00BB3A06"/>
    <w:rsid w:val="00BB7A7F"/>
    <w:rsid w:val="00BC3F72"/>
    <w:rsid w:val="00BC64B2"/>
    <w:rsid w:val="00BC662F"/>
    <w:rsid w:val="00BC6FFD"/>
    <w:rsid w:val="00BC778B"/>
    <w:rsid w:val="00BC7AFE"/>
    <w:rsid w:val="00BD1958"/>
    <w:rsid w:val="00BD3CFA"/>
    <w:rsid w:val="00BD4907"/>
    <w:rsid w:val="00BD7C42"/>
    <w:rsid w:val="00BE2CDD"/>
    <w:rsid w:val="00BE6EA1"/>
    <w:rsid w:val="00BF22CF"/>
    <w:rsid w:val="00BF234E"/>
    <w:rsid w:val="00BF2747"/>
    <w:rsid w:val="00BF2E3E"/>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3FC1"/>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86D"/>
    <w:rsid w:val="00CA6A56"/>
    <w:rsid w:val="00CB2CEE"/>
    <w:rsid w:val="00CB4DE3"/>
    <w:rsid w:val="00CC2F35"/>
    <w:rsid w:val="00CC40C3"/>
    <w:rsid w:val="00CC526A"/>
    <w:rsid w:val="00CD42C4"/>
    <w:rsid w:val="00CE43F8"/>
    <w:rsid w:val="00CE7C8B"/>
    <w:rsid w:val="00CF01CC"/>
    <w:rsid w:val="00CF2595"/>
    <w:rsid w:val="00CF6D5C"/>
    <w:rsid w:val="00D10B1F"/>
    <w:rsid w:val="00D11E1F"/>
    <w:rsid w:val="00D20C81"/>
    <w:rsid w:val="00D21E5E"/>
    <w:rsid w:val="00D220F0"/>
    <w:rsid w:val="00D3262F"/>
    <w:rsid w:val="00D361FE"/>
    <w:rsid w:val="00D36E74"/>
    <w:rsid w:val="00D42F13"/>
    <w:rsid w:val="00D43B3D"/>
    <w:rsid w:val="00D4428E"/>
    <w:rsid w:val="00D5035D"/>
    <w:rsid w:val="00D5213E"/>
    <w:rsid w:val="00D52A3F"/>
    <w:rsid w:val="00D535B2"/>
    <w:rsid w:val="00D56E0D"/>
    <w:rsid w:val="00D62A71"/>
    <w:rsid w:val="00D70A3B"/>
    <w:rsid w:val="00D72110"/>
    <w:rsid w:val="00D8051D"/>
    <w:rsid w:val="00D864D4"/>
    <w:rsid w:val="00D919AF"/>
    <w:rsid w:val="00D937BD"/>
    <w:rsid w:val="00DA2D7C"/>
    <w:rsid w:val="00DA7C0E"/>
    <w:rsid w:val="00DB6F0A"/>
    <w:rsid w:val="00DC28C4"/>
    <w:rsid w:val="00DD7BAA"/>
    <w:rsid w:val="00DE0FFA"/>
    <w:rsid w:val="00DE4122"/>
    <w:rsid w:val="00DE6A70"/>
    <w:rsid w:val="00DF3DF3"/>
    <w:rsid w:val="00DF5AA8"/>
    <w:rsid w:val="00E03D41"/>
    <w:rsid w:val="00E11D7D"/>
    <w:rsid w:val="00E1254C"/>
    <w:rsid w:val="00E16895"/>
    <w:rsid w:val="00E32601"/>
    <w:rsid w:val="00E32614"/>
    <w:rsid w:val="00E33250"/>
    <w:rsid w:val="00E3526B"/>
    <w:rsid w:val="00E41FBE"/>
    <w:rsid w:val="00E5059C"/>
    <w:rsid w:val="00E54C06"/>
    <w:rsid w:val="00E5664A"/>
    <w:rsid w:val="00E7265E"/>
    <w:rsid w:val="00E7407A"/>
    <w:rsid w:val="00E81A0A"/>
    <w:rsid w:val="00E84558"/>
    <w:rsid w:val="00E964F7"/>
    <w:rsid w:val="00EA6F84"/>
    <w:rsid w:val="00EB7931"/>
    <w:rsid w:val="00ED3A15"/>
    <w:rsid w:val="00ED548C"/>
    <w:rsid w:val="00ED7E8B"/>
    <w:rsid w:val="00ED7F3F"/>
    <w:rsid w:val="00EF043C"/>
    <w:rsid w:val="00EF29E3"/>
    <w:rsid w:val="00EF49B3"/>
    <w:rsid w:val="00EF56E1"/>
    <w:rsid w:val="00EF73FD"/>
    <w:rsid w:val="00F00561"/>
    <w:rsid w:val="00F01150"/>
    <w:rsid w:val="00F01E3D"/>
    <w:rsid w:val="00F04DC2"/>
    <w:rsid w:val="00F066D9"/>
    <w:rsid w:val="00F25F52"/>
    <w:rsid w:val="00F469D5"/>
    <w:rsid w:val="00F47FEE"/>
    <w:rsid w:val="00F50D09"/>
    <w:rsid w:val="00F5233B"/>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 w:val="00FE6D91"/>
    <w:rsid w:val="013075D8"/>
    <w:rsid w:val="731168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C6492"/>
    <w:pPr>
      <w:jc w:val="left"/>
    </w:pPr>
  </w:style>
  <w:style w:type="paragraph" w:styleId="a4">
    <w:name w:val="Balloon Text"/>
    <w:basedOn w:val="a"/>
    <w:link w:val="Char0"/>
    <w:uiPriority w:val="99"/>
    <w:semiHidden/>
    <w:unhideWhenUsed/>
    <w:rsid w:val="000C6492"/>
    <w:rPr>
      <w:sz w:val="18"/>
      <w:szCs w:val="18"/>
    </w:rPr>
  </w:style>
  <w:style w:type="paragraph" w:styleId="a5">
    <w:name w:val="footer"/>
    <w:basedOn w:val="a"/>
    <w:link w:val="Char1"/>
    <w:uiPriority w:val="99"/>
    <w:unhideWhenUsed/>
    <w:rsid w:val="000C6492"/>
    <w:pPr>
      <w:tabs>
        <w:tab w:val="center" w:pos="4153"/>
        <w:tab w:val="right" w:pos="8306"/>
      </w:tabs>
      <w:snapToGrid w:val="0"/>
      <w:jc w:val="left"/>
    </w:pPr>
    <w:rPr>
      <w:sz w:val="18"/>
      <w:szCs w:val="18"/>
    </w:rPr>
  </w:style>
  <w:style w:type="paragraph" w:styleId="a6">
    <w:name w:val="header"/>
    <w:basedOn w:val="a"/>
    <w:link w:val="Char2"/>
    <w:uiPriority w:val="99"/>
    <w:unhideWhenUsed/>
    <w:rsid w:val="000C6492"/>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0C6492"/>
    <w:pPr>
      <w:snapToGrid w:val="0"/>
      <w:jc w:val="left"/>
    </w:pPr>
    <w:rPr>
      <w:sz w:val="18"/>
      <w:szCs w:val="18"/>
    </w:rPr>
  </w:style>
  <w:style w:type="paragraph" w:styleId="a8">
    <w:name w:val="annotation subject"/>
    <w:basedOn w:val="a3"/>
    <w:next w:val="a3"/>
    <w:link w:val="Char4"/>
    <w:uiPriority w:val="99"/>
    <w:semiHidden/>
    <w:unhideWhenUsed/>
    <w:rsid w:val="000C6492"/>
    <w:rPr>
      <w:b/>
      <w:bCs/>
    </w:rPr>
  </w:style>
  <w:style w:type="character" w:styleId="a9">
    <w:name w:val="Hyperlink"/>
    <w:basedOn w:val="a0"/>
    <w:uiPriority w:val="99"/>
    <w:unhideWhenUsed/>
    <w:qFormat/>
    <w:rsid w:val="000C6492"/>
    <w:rPr>
      <w:color w:val="0000FF" w:themeColor="hyperlink"/>
      <w:u w:val="single"/>
    </w:rPr>
  </w:style>
  <w:style w:type="character" w:styleId="aa">
    <w:name w:val="annotation reference"/>
    <w:basedOn w:val="a0"/>
    <w:uiPriority w:val="99"/>
    <w:semiHidden/>
    <w:unhideWhenUsed/>
    <w:rsid w:val="000C6492"/>
    <w:rPr>
      <w:sz w:val="21"/>
      <w:szCs w:val="21"/>
    </w:rPr>
  </w:style>
  <w:style w:type="character" w:styleId="ab">
    <w:name w:val="footnote reference"/>
    <w:basedOn w:val="a0"/>
    <w:uiPriority w:val="99"/>
    <w:semiHidden/>
    <w:unhideWhenUsed/>
    <w:rsid w:val="000C6492"/>
    <w:rPr>
      <w:vertAlign w:val="superscript"/>
    </w:rPr>
  </w:style>
  <w:style w:type="character" w:customStyle="1" w:styleId="Char2">
    <w:name w:val="页眉 Char"/>
    <w:basedOn w:val="a0"/>
    <w:link w:val="a6"/>
    <w:uiPriority w:val="99"/>
    <w:rsid w:val="000C6492"/>
    <w:rPr>
      <w:sz w:val="18"/>
      <w:szCs w:val="18"/>
    </w:rPr>
  </w:style>
  <w:style w:type="character" w:customStyle="1" w:styleId="Char1">
    <w:name w:val="页脚 Char"/>
    <w:basedOn w:val="a0"/>
    <w:link w:val="a5"/>
    <w:uiPriority w:val="99"/>
    <w:rsid w:val="000C6492"/>
    <w:rPr>
      <w:sz w:val="18"/>
      <w:szCs w:val="18"/>
    </w:rPr>
  </w:style>
  <w:style w:type="paragraph" w:styleId="ac">
    <w:name w:val="List Paragraph"/>
    <w:basedOn w:val="a"/>
    <w:uiPriority w:val="34"/>
    <w:qFormat/>
    <w:rsid w:val="000C6492"/>
    <w:pPr>
      <w:ind w:firstLineChars="200" w:firstLine="420"/>
    </w:pPr>
  </w:style>
  <w:style w:type="character" w:customStyle="1" w:styleId="Char0">
    <w:name w:val="批注框文本 Char"/>
    <w:basedOn w:val="a0"/>
    <w:link w:val="a4"/>
    <w:uiPriority w:val="99"/>
    <w:semiHidden/>
    <w:rsid w:val="000C6492"/>
    <w:rPr>
      <w:sz w:val="18"/>
      <w:szCs w:val="18"/>
    </w:rPr>
  </w:style>
  <w:style w:type="character" w:customStyle="1" w:styleId="Char">
    <w:name w:val="批注文字 Char"/>
    <w:basedOn w:val="a0"/>
    <w:link w:val="a3"/>
    <w:uiPriority w:val="99"/>
    <w:semiHidden/>
    <w:qFormat/>
    <w:rsid w:val="000C6492"/>
  </w:style>
  <w:style w:type="character" w:customStyle="1" w:styleId="Char4">
    <w:name w:val="批注主题 Char"/>
    <w:basedOn w:val="Char"/>
    <w:link w:val="a8"/>
    <w:uiPriority w:val="99"/>
    <w:semiHidden/>
    <w:rsid w:val="000C6492"/>
    <w:rPr>
      <w:b/>
      <w:bCs/>
    </w:rPr>
  </w:style>
  <w:style w:type="character" w:customStyle="1" w:styleId="Char3">
    <w:name w:val="脚注文本 Char"/>
    <w:basedOn w:val="a0"/>
    <w:link w:val="a7"/>
    <w:uiPriority w:val="99"/>
    <w:semiHidden/>
    <w:qFormat/>
    <w:rsid w:val="000C649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d.csrc.gov.cn/fu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D4E7E-DD49-424F-8324-EC43E8F8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5672</Characters>
  <Application>Microsoft Office Word</Application>
  <DocSecurity>4</DocSecurity>
  <Lines>47</Lines>
  <Paragraphs>13</Paragraphs>
  <ScaleCrop>false</ScaleCrop>
  <Company>CNSTOCK</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2024-08-28T16:04:00Z</dcterms:created>
  <dcterms:modified xsi:type="dcterms:W3CDTF">2024-08-28T16:04:00Z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96E35538F3164FA38FD26357C85BA723</vt:lpwstr>
  </property>
</Properties>
</file>