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EF" w:rsidRDefault="009B37E2" w:rsidP="009B37E2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</w:pP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关于</w:t>
      </w:r>
      <w:r w:rsidRPr="009B37E2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嘉实全球互联网股票</w:t>
      </w:r>
    </w:p>
    <w:p w:rsidR="007A1599" w:rsidRDefault="00655B37" w:rsidP="004672C3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</w:pP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2024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年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9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月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2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日</w:t>
      </w:r>
    </w:p>
    <w:p w:rsidR="009B37E2" w:rsidRPr="009B37E2" w:rsidRDefault="009B37E2" w:rsidP="004672C3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spacing w:val="-20"/>
          <w:kern w:val="44"/>
          <w:sz w:val="30"/>
          <w:szCs w:val="30"/>
        </w:rPr>
      </w:pP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暂停</w:t>
      </w:r>
      <w:r w:rsidR="00A66E0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申购</w:t>
      </w:r>
      <w:r w:rsidR="004C10FC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、</w:t>
      </w:r>
      <w:r w:rsidR="00A66E0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赎回</w:t>
      </w:r>
      <w:r w:rsidR="007A56D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及</w:t>
      </w:r>
      <w:r w:rsidR="00EC62E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定期定额投资</w:t>
      </w: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业务的公告</w:t>
      </w:r>
    </w:p>
    <w:p w:rsidR="0009149F" w:rsidRPr="00572562" w:rsidRDefault="0009149F" w:rsidP="00EC5873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572562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655B37">
        <w:rPr>
          <w:rFonts w:asciiTheme="minorEastAsia" w:eastAsiaTheme="minorEastAsia" w:hAnsiTheme="minorEastAsia" w:cs="Arial"/>
          <w:color w:val="000000"/>
          <w:sz w:val="24"/>
        </w:rPr>
        <w:t>8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655B37">
        <w:rPr>
          <w:rFonts w:asciiTheme="minorEastAsia" w:eastAsiaTheme="minorEastAsia" w:hAnsiTheme="minorEastAsia" w:cs="Arial"/>
          <w:color w:val="000000"/>
          <w:sz w:val="24"/>
        </w:rPr>
        <w:t>29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09149F" w:rsidRPr="00572562" w:rsidRDefault="0009149F" w:rsidP="0009149F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395"/>
      <w:r w:rsidRPr="0057256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84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2563"/>
        <w:gridCol w:w="1472"/>
        <w:gridCol w:w="1559"/>
        <w:gridCol w:w="1457"/>
      </w:tblGrid>
      <w:tr w:rsidR="00F3445A" w:rsidRPr="00572562" w:rsidTr="006F7CA9">
        <w:trPr>
          <w:trHeight w:val="51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</w:p>
        </w:tc>
      </w:tr>
      <w:tr w:rsidR="00F3445A" w:rsidRPr="00572562" w:rsidTr="006F7CA9">
        <w:trPr>
          <w:trHeight w:val="52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7925B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7925B6" w:rsidP="001623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000988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7925B6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7925B6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的有关规定，以及纽约</w:t>
            </w:r>
            <w:r w:rsidR="00B25039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B25039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交易所、香港交易所的休市安排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655B3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2024年9月2日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655B3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2024年9月2日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655B3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2024年9月2日</w:t>
            </w:r>
          </w:p>
        </w:tc>
      </w:tr>
      <w:tr w:rsidR="00FA1238" w:rsidRPr="00A43486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A1238" w:rsidRPr="00572562" w:rsidRDefault="00FA1238" w:rsidP="00FA123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A1238" w:rsidRPr="007A1599" w:rsidRDefault="00655B37" w:rsidP="003F707B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2024年9月2日</w:t>
            </w:r>
            <w:r w:rsidR="00D7269F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纽约</w:t>
            </w:r>
            <w:r w:rsidR="00D7269F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D7269F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D7269F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D7269F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</w:t>
            </w:r>
            <w:r w:rsidR="00FA1238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休市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655B3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2024年9月3日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655B3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2024年9月3日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655B37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2024年9月3日</w:t>
            </w:r>
          </w:p>
        </w:tc>
      </w:tr>
      <w:tr w:rsidR="00FA1238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A1238" w:rsidRPr="00572562" w:rsidRDefault="00FA1238" w:rsidP="00FA123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A1238" w:rsidRPr="00572562" w:rsidRDefault="00655B37" w:rsidP="00FA1238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2024年9月3日</w:t>
            </w:r>
            <w:r w:rsidR="00FA1238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二</w:t>
            </w:r>
            <w:r w:rsidR="00FA1238" w:rsidRPr="007A1599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）</w:t>
            </w:r>
            <w:r w:rsidR="00FA1238" w:rsidRPr="00572562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为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纽约</w:t>
            </w:r>
            <w:r w:rsidR="00FA1238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FA1238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交易所、香港交易所</w:t>
            </w:r>
            <w:r w:rsidR="00FA1238" w:rsidRPr="00572562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交易日</w:t>
            </w:r>
          </w:p>
        </w:tc>
      </w:tr>
      <w:tr w:rsidR="00FA1238" w:rsidRPr="00572562" w:rsidTr="006F7CA9">
        <w:trPr>
          <w:trHeight w:val="54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下属分级基金的基金简称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人民币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美元现钞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美元现汇</w:t>
            </w:r>
          </w:p>
        </w:tc>
      </w:tr>
      <w:tr w:rsidR="00FA1238" w:rsidRPr="00572562" w:rsidTr="006F7CA9">
        <w:trPr>
          <w:trHeight w:val="52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下属分级基金的交易代码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000990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000989</w:t>
            </w:r>
          </w:p>
        </w:tc>
      </w:tr>
      <w:tr w:rsidR="00FA1238" w:rsidRPr="00572562" w:rsidTr="006F7CA9">
        <w:trPr>
          <w:trHeight w:val="78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该分级基金是否暂停/恢复申购（赎回、定期定额投资）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</w:tr>
    </w:tbl>
    <w:p w:rsidR="006A39DA" w:rsidRPr="00572562" w:rsidRDefault="006A39DA" w:rsidP="006A39D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396"/>
      <w:r w:rsidRPr="0057256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lastRenderedPageBreak/>
        <w:t xml:space="preserve">2 </w:t>
      </w:r>
      <w:r w:rsidRPr="00572562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1）</w:t>
      </w:r>
      <w:r w:rsidR="00655B37">
        <w:rPr>
          <w:rFonts w:asciiTheme="minorEastAsia" w:eastAsiaTheme="minorEastAsia" w:hAnsiTheme="minorEastAsia" w:cs="Arial" w:hint="eastAsia"/>
          <w:color w:val="000000"/>
          <w:sz w:val="24"/>
        </w:rPr>
        <w:t>2024年9月3日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起（含</w:t>
      </w:r>
      <w:r w:rsidR="00655B37">
        <w:rPr>
          <w:rFonts w:asciiTheme="minorEastAsia" w:eastAsiaTheme="minorEastAsia" w:hAnsiTheme="minorEastAsia" w:cs="Arial" w:hint="eastAsia"/>
          <w:color w:val="000000"/>
          <w:sz w:val="24"/>
        </w:rPr>
        <w:t>2024年9月3日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）恢复本基金的日常申购（含定期定额投资）、赎回业务，届时将不再另行公告。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2）本基金恢复申购（含定期定额投资）、赎回业务后，将仍然对本基金的大额申购（含定期定额投资）业务进行限制：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嘉实全球互联网股票人民币：单个开放日每个基金账户的累计申购（含定期定额投资）金额不得超过</w:t>
      </w:r>
      <w:r w:rsidR="00655B37">
        <w:rPr>
          <w:rFonts w:asciiTheme="minorEastAsia" w:eastAsiaTheme="minorEastAsia" w:hAnsiTheme="minorEastAsia" w:cs="Arial"/>
          <w:color w:val="000000"/>
          <w:sz w:val="24"/>
        </w:rPr>
        <w:t>1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万元</w:t>
      </w:r>
      <w:r w:rsidR="00655B37" w:rsidRPr="00F0213F">
        <w:rPr>
          <w:rFonts w:asciiTheme="minorEastAsia" w:eastAsiaTheme="minorEastAsia" w:hAnsiTheme="minorEastAsia" w:cs="Arial" w:hint="eastAsia"/>
          <w:color w:val="000000"/>
          <w:sz w:val="24"/>
        </w:rPr>
        <w:t>人民币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，如超过</w:t>
      </w:r>
      <w:r w:rsidR="00655B37">
        <w:rPr>
          <w:rFonts w:asciiTheme="minorEastAsia" w:eastAsiaTheme="minorEastAsia" w:hAnsiTheme="minorEastAsia" w:cs="Arial"/>
          <w:color w:val="000000"/>
          <w:sz w:val="24"/>
        </w:rPr>
        <w:t>1</w:t>
      </w:r>
      <w:r w:rsidR="00655B37" w:rsidRPr="00F0213F">
        <w:rPr>
          <w:rFonts w:asciiTheme="minorEastAsia" w:eastAsiaTheme="minorEastAsia" w:hAnsiTheme="minorEastAsia" w:cs="Arial" w:hint="eastAsia"/>
          <w:color w:val="000000"/>
          <w:sz w:val="24"/>
        </w:rPr>
        <w:t>万元人民币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，本基金管理人将有权拒绝；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嘉实全球互联网股票美元现钞和嘉实全球互联网股票美元现汇：单个开放日每个基金账户的累计申购（含定期定额投资）金额不得</w:t>
      </w:r>
      <w:bookmarkStart w:id="2" w:name="_GoBack"/>
      <w:bookmarkEnd w:id="2"/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超过</w:t>
      </w:r>
      <w:r w:rsidR="00655B37" w:rsidRPr="00655B37">
        <w:rPr>
          <w:rFonts w:asciiTheme="minorEastAsia" w:eastAsiaTheme="minorEastAsia" w:hAnsiTheme="minorEastAsia" w:cs="Arial" w:hint="eastAsia"/>
          <w:color w:val="000000"/>
          <w:sz w:val="24"/>
        </w:rPr>
        <w:t>1500美元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，如超过</w:t>
      </w:r>
      <w:r w:rsidR="00655B37" w:rsidRPr="00655B37">
        <w:rPr>
          <w:rFonts w:asciiTheme="minorEastAsia" w:eastAsiaTheme="minorEastAsia" w:hAnsiTheme="minorEastAsia" w:cs="Arial" w:hint="eastAsia"/>
          <w:color w:val="000000"/>
          <w:sz w:val="24"/>
        </w:rPr>
        <w:t>1500美元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，本基金管理人将有权拒绝。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投资者在基金合同约定之外的日期和时间提出申购（含定期定额投资）申请的，视为下一个开放日的申请。具体见本公司发布的相关公告。</w:t>
      </w:r>
    </w:p>
    <w:p w:rsidR="00453B0F" w:rsidRPr="00572562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3）投资者可拨打嘉实基金管理有限公司客户服务电话400-600-8800或登录网站www.jsfund.cn咨询、了解相关情况。</w:t>
      </w:r>
    </w:p>
    <w:bookmarkEnd w:id="1"/>
    <w:p w:rsidR="00F04919" w:rsidRPr="00572562" w:rsidRDefault="00F04919" w:rsidP="00EC5873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kern w:val="0"/>
          <w:sz w:val="24"/>
        </w:rPr>
      </w:pPr>
    </w:p>
    <w:sectPr w:rsidR="00F04919" w:rsidRPr="00572562" w:rsidSect="007A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6B" w:rsidRDefault="0066696B" w:rsidP="0009149F">
      <w:r>
        <w:separator/>
      </w:r>
    </w:p>
  </w:endnote>
  <w:endnote w:type="continuationSeparator" w:id="0">
    <w:p w:rsidR="0066696B" w:rsidRDefault="0066696B" w:rsidP="0009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6B" w:rsidRDefault="0066696B" w:rsidP="0009149F">
      <w:r>
        <w:separator/>
      </w:r>
    </w:p>
  </w:footnote>
  <w:footnote w:type="continuationSeparator" w:id="0">
    <w:p w:rsidR="0066696B" w:rsidRDefault="0066696B" w:rsidP="00091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2C57"/>
    <w:multiLevelType w:val="multilevel"/>
    <w:tmpl w:val="3898A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1687565"/>
    <w:multiLevelType w:val="hybridMultilevel"/>
    <w:tmpl w:val="937A1314"/>
    <w:lvl w:ilvl="0" w:tplc="DB061616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2">
    <w:nsid w:val="7A137B93"/>
    <w:multiLevelType w:val="multilevel"/>
    <w:tmpl w:val="1658A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9F"/>
    <w:rsid w:val="00001AF9"/>
    <w:rsid w:val="00001C9F"/>
    <w:rsid w:val="0000677F"/>
    <w:rsid w:val="000206F1"/>
    <w:rsid w:val="00021651"/>
    <w:rsid w:val="00044031"/>
    <w:rsid w:val="000440BF"/>
    <w:rsid w:val="00044731"/>
    <w:rsid w:val="00050B02"/>
    <w:rsid w:val="0005626E"/>
    <w:rsid w:val="0006075D"/>
    <w:rsid w:val="00064057"/>
    <w:rsid w:val="0009149F"/>
    <w:rsid w:val="00092538"/>
    <w:rsid w:val="00095866"/>
    <w:rsid w:val="000A06B7"/>
    <w:rsid w:val="000A5B22"/>
    <w:rsid w:val="000A5EB5"/>
    <w:rsid w:val="000B09CE"/>
    <w:rsid w:val="000B3FF6"/>
    <w:rsid w:val="000C0F03"/>
    <w:rsid w:val="000C2634"/>
    <w:rsid w:val="000C76E1"/>
    <w:rsid w:val="000D4938"/>
    <w:rsid w:val="00105FA7"/>
    <w:rsid w:val="00114099"/>
    <w:rsid w:val="00125D67"/>
    <w:rsid w:val="0012722E"/>
    <w:rsid w:val="00134817"/>
    <w:rsid w:val="001352AD"/>
    <w:rsid w:val="001421E9"/>
    <w:rsid w:val="00143C99"/>
    <w:rsid w:val="00144E1C"/>
    <w:rsid w:val="00153D92"/>
    <w:rsid w:val="00162327"/>
    <w:rsid w:val="001709EC"/>
    <w:rsid w:val="001715FD"/>
    <w:rsid w:val="0018189C"/>
    <w:rsid w:val="001829F8"/>
    <w:rsid w:val="00183CB5"/>
    <w:rsid w:val="001902B5"/>
    <w:rsid w:val="00191161"/>
    <w:rsid w:val="001A004A"/>
    <w:rsid w:val="001A690D"/>
    <w:rsid w:val="001B2D62"/>
    <w:rsid w:val="001B364D"/>
    <w:rsid w:val="001D2946"/>
    <w:rsid w:val="001E18C6"/>
    <w:rsid w:val="001E5E7E"/>
    <w:rsid w:val="001F413C"/>
    <w:rsid w:val="00200A16"/>
    <w:rsid w:val="00217BB3"/>
    <w:rsid w:val="00223864"/>
    <w:rsid w:val="00225B75"/>
    <w:rsid w:val="00226D95"/>
    <w:rsid w:val="00234B9D"/>
    <w:rsid w:val="00241177"/>
    <w:rsid w:val="00256E3F"/>
    <w:rsid w:val="002662DB"/>
    <w:rsid w:val="002718CB"/>
    <w:rsid w:val="0027255C"/>
    <w:rsid w:val="00291699"/>
    <w:rsid w:val="0029526A"/>
    <w:rsid w:val="002A1C54"/>
    <w:rsid w:val="002A2DE5"/>
    <w:rsid w:val="002A4C33"/>
    <w:rsid w:val="002B2C07"/>
    <w:rsid w:val="002B74CD"/>
    <w:rsid w:val="002C40D8"/>
    <w:rsid w:val="002D1FE1"/>
    <w:rsid w:val="002E0176"/>
    <w:rsid w:val="002E2F55"/>
    <w:rsid w:val="002E6A03"/>
    <w:rsid w:val="002E71BF"/>
    <w:rsid w:val="002F094C"/>
    <w:rsid w:val="00302776"/>
    <w:rsid w:val="00302B59"/>
    <w:rsid w:val="00304C0F"/>
    <w:rsid w:val="00313F81"/>
    <w:rsid w:val="003229A9"/>
    <w:rsid w:val="0032350A"/>
    <w:rsid w:val="0032680E"/>
    <w:rsid w:val="00332E6D"/>
    <w:rsid w:val="003365D1"/>
    <w:rsid w:val="00347E0F"/>
    <w:rsid w:val="00352226"/>
    <w:rsid w:val="003532AB"/>
    <w:rsid w:val="0035333C"/>
    <w:rsid w:val="00353643"/>
    <w:rsid w:val="00363B1E"/>
    <w:rsid w:val="00367149"/>
    <w:rsid w:val="003729A0"/>
    <w:rsid w:val="00381D11"/>
    <w:rsid w:val="00382BA6"/>
    <w:rsid w:val="003843E2"/>
    <w:rsid w:val="0038669D"/>
    <w:rsid w:val="00387803"/>
    <w:rsid w:val="003953EE"/>
    <w:rsid w:val="003A16F0"/>
    <w:rsid w:val="003A3E19"/>
    <w:rsid w:val="003B3766"/>
    <w:rsid w:val="003B48E9"/>
    <w:rsid w:val="003B4E08"/>
    <w:rsid w:val="003B68D2"/>
    <w:rsid w:val="003C13A2"/>
    <w:rsid w:val="003C4686"/>
    <w:rsid w:val="003D2F07"/>
    <w:rsid w:val="003D7421"/>
    <w:rsid w:val="003E7457"/>
    <w:rsid w:val="003F0254"/>
    <w:rsid w:val="003F707B"/>
    <w:rsid w:val="00402CA5"/>
    <w:rsid w:val="00404929"/>
    <w:rsid w:val="00412FE7"/>
    <w:rsid w:val="00416A8B"/>
    <w:rsid w:val="00433057"/>
    <w:rsid w:val="004379D4"/>
    <w:rsid w:val="00450000"/>
    <w:rsid w:val="00453B0F"/>
    <w:rsid w:val="004672C3"/>
    <w:rsid w:val="00471083"/>
    <w:rsid w:val="00487542"/>
    <w:rsid w:val="004932CC"/>
    <w:rsid w:val="00494ECA"/>
    <w:rsid w:val="00495B2C"/>
    <w:rsid w:val="004967BF"/>
    <w:rsid w:val="004B3E61"/>
    <w:rsid w:val="004B525F"/>
    <w:rsid w:val="004C10FC"/>
    <w:rsid w:val="004C2566"/>
    <w:rsid w:val="004C7C4D"/>
    <w:rsid w:val="004D4811"/>
    <w:rsid w:val="004E3BA7"/>
    <w:rsid w:val="004E3F0F"/>
    <w:rsid w:val="004F1E3C"/>
    <w:rsid w:val="004F2FB6"/>
    <w:rsid w:val="004F39E7"/>
    <w:rsid w:val="0050739B"/>
    <w:rsid w:val="005200F8"/>
    <w:rsid w:val="00525187"/>
    <w:rsid w:val="00532E7D"/>
    <w:rsid w:val="0054499A"/>
    <w:rsid w:val="00545EA0"/>
    <w:rsid w:val="00564E44"/>
    <w:rsid w:val="00566DEA"/>
    <w:rsid w:val="00572377"/>
    <w:rsid w:val="00572562"/>
    <w:rsid w:val="0059545C"/>
    <w:rsid w:val="0059680F"/>
    <w:rsid w:val="005A6BD7"/>
    <w:rsid w:val="005C22A0"/>
    <w:rsid w:val="005C7CE9"/>
    <w:rsid w:val="005D0CB6"/>
    <w:rsid w:val="005D2D19"/>
    <w:rsid w:val="005E4D4C"/>
    <w:rsid w:val="005E5B2F"/>
    <w:rsid w:val="005F15A1"/>
    <w:rsid w:val="005F2617"/>
    <w:rsid w:val="005F43FE"/>
    <w:rsid w:val="00605129"/>
    <w:rsid w:val="00611DAC"/>
    <w:rsid w:val="00611F39"/>
    <w:rsid w:val="006237BF"/>
    <w:rsid w:val="0062773D"/>
    <w:rsid w:val="00632023"/>
    <w:rsid w:val="00634826"/>
    <w:rsid w:val="00644AC6"/>
    <w:rsid w:val="00645B09"/>
    <w:rsid w:val="006543C3"/>
    <w:rsid w:val="006547D6"/>
    <w:rsid w:val="006554DA"/>
    <w:rsid w:val="00655B37"/>
    <w:rsid w:val="00657562"/>
    <w:rsid w:val="00657575"/>
    <w:rsid w:val="0066696B"/>
    <w:rsid w:val="00673604"/>
    <w:rsid w:val="006851DE"/>
    <w:rsid w:val="00686E3A"/>
    <w:rsid w:val="00687009"/>
    <w:rsid w:val="006A39DA"/>
    <w:rsid w:val="006A70CA"/>
    <w:rsid w:val="006B4AEC"/>
    <w:rsid w:val="006C41C7"/>
    <w:rsid w:val="006C5E7E"/>
    <w:rsid w:val="006C7AE0"/>
    <w:rsid w:val="006C7FCD"/>
    <w:rsid w:val="006E1652"/>
    <w:rsid w:val="006E49AC"/>
    <w:rsid w:val="006F30DC"/>
    <w:rsid w:val="006F7CA9"/>
    <w:rsid w:val="00715959"/>
    <w:rsid w:val="007172FB"/>
    <w:rsid w:val="007173AB"/>
    <w:rsid w:val="0072429E"/>
    <w:rsid w:val="00732725"/>
    <w:rsid w:val="00736396"/>
    <w:rsid w:val="00736F7D"/>
    <w:rsid w:val="0075042C"/>
    <w:rsid w:val="00755506"/>
    <w:rsid w:val="00756DA6"/>
    <w:rsid w:val="0075782B"/>
    <w:rsid w:val="007728F0"/>
    <w:rsid w:val="00782C1E"/>
    <w:rsid w:val="00792104"/>
    <w:rsid w:val="007925B6"/>
    <w:rsid w:val="00793170"/>
    <w:rsid w:val="007933BF"/>
    <w:rsid w:val="007947AD"/>
    <w:rsid w:val="00795330"/>
    <w:rsid w:val="00795822"/>
    <w:rsid w:val="007A1599"/>
    <w:rsid w:val="007A26A7"/>
    <w:rsid w:val="007A3DAA"/>
    <w:rsid w:val="007A56DD"/>
    <w:rsid w:val="007A5A10"/>
    <w:rsid w:val="007B14FF"/>
    <w:rsid w:val="007B4274"/>
    <w:rsid w:val="007B5E8B"/>
    <w:rsid w:val="007C3D5E"/>
    <w:rsid w:val="007D31BD"/>
    <w:rsid w:val="007F0099"/>
    <w:rsid w:val="007F3978"/>
    <w:rsid w:val="008005F2"/>
    <w:rsid w:val="00806D9C"/>
    <w:rsid w:val="00807112"/>
    <w:rsid w:val="00812C75"/>
    <w:rsid w:val="00831DD3"/>
    <w:rsid w:val="00840133"/>
    <w:rsid w:val="00841F4B"/>
    <w:rsid w:val="008513F5"/>
    <w:rsid w:val="00851ED8"/>
    <w:rsid w:val="00854145"/>
    <w:rsid w:val="008544B6"/>
    <w:rsid w:val="0085454D"/>
    <w:rsid w:val="00854570"/>
    <w:rsid w:val="00857E8C"/>
    <w:rsid w:val="0087135C"/>
    <w:rsid w:val="008866D2"/>
    <w:rsid w:val="008A5033"/>
    <w:rsid w:val="008A5BBD"/>
    <w:rsid w:val="008A624B"/>
    <w:rsid w:val="008A719E"/>
    <w:rsid w:val="008C26F8"/>
    <w:rsid w:val="008C4A17"/>
    <w:rsid w:val="008E6794"/>
    <w:rsid w:val="008F1A4E"/>
    <w:rsid w:val="009029F0"/>
    <w:rsid w:val="00905007"/>
    <w:rsid w:val="00906A4D"/>
    <w:rsid w:val="00917C31"/>
    <w:rsid w:val="009269AA"/>
    <w:rsid w:val="009410FC"/>
    <w:rsid w:val="00942C25"/>
    <w:rsid w:val="00952C6F"/>
    <w:rsid w:val="00961A4B"/>
    <w:rsid w:val="00961AE9"/>
    <w:rsid w:val="009632DD"/>
    <w:rsid w:val="00967AC8"/>
    <w:rsid w:val="009744F6"/>
    <w:rsid w:val="009753B5"/>
    <w:rsid w:val="00985279"/>
    <w:rsid w:val="0099595C"/>
    <w:rsid w:val="009970A5"/>
    <w:rsid w:val="009A1827"/>
    <w:rsid w:val="009A5481"/>
    <w:rsid w:val="009B37E2"/>
    <w:rsid w:val="009C252F"/>
    <w:rsid w:val="009F007E"/>
    <w:rsid w:val="009F12EB"/>
    <w:rsid w:val="009F20D2"/>
    <w:rsid w:val="009F27D6"/>
    <w:rsid w:val="009F6920"/>
    <w:rsid w:val="00A015FB"/>
    <w:rsid w:val="00A11969"/>
    <w:rsid w:val="00A249B4"/>
    <w:rsid w:val="00A27550"/>
    <w:rsid w:val="00A4123C"/>
    <w:rsid w:val="00A42714"/>
    <w:rsid w:val="00A43486"/>
    <w:rsid w:val="00A45A0E"/>
    <w:rsid w:val="00A66E0D"/>
    <w:rsid w:val="00A803A5"/>
    <w:rsid w:val="00A80DFA"/>
    <w:rsid w:val="00A93736"/>
    <w:rsid w:val="00A95F69"/>
    <w:rsid w:val="00A96DD1"/>
    <w:rsid w:val="00AA79C5"/>
    <w:rsid w:val="00AC1F23"/>
    <w:rsid w:val="00AC5AF8"/>
    <w:rsid w:val="00AC73DC"/>
    <w:rsid w:val="00AD1808"/>
    <w:rsid w:val="00AD65A6"/>
    <w:rsid w:val="00AD6F07"/>
    <w:rsid w:val="00AE56E3"/>
    <w:rsid w:val="00AF201A"/>
    <w:rsid w:val="00AF274D"/>
    <w:rsid w:val="00AF3A81"/>
    <w:rsid w:val="00B0434C"/>
    <w:rsid w:val="00B14C3C"/>
    <w:rsid w:val="00B16BAD"/>
    <w:rsid w:val="00B25039"/>
    <w:rsid w:val="00B44105"/>
    <w:rsid w:val="00B475EF"/>
    <w:rsid w:val="00B51251"/>
    <w:rsid w:val="00B545BC"/>
    <w:rsid w:val="00B55C32"/>
    <w:rsid w:val="00B601FF"/>
    <w:rsid w:val="00B60733"/>
    <w:rsid w:val="00B7143F"/>
    <w:rsid w:val="00B71E70"/>
    <w:rsid w:val="00B740C7"/>
    <w:rsid w:val="00B81586"/>
    <w:rsid w:val="00BA1A8C"/>
    <w:rsid w:val="00BA31BA"/>
    <w:rsid w:val="00BA39DB"/>
    <w:rsid w:val="00BA5D33"/>
    <w:rsid w:val="00BC29BE"/>
    <w:rsid w:val="00BC3A1F"/>
    <w:rsid w:val="00BC3BA8"/>
    <w:rsid w:val="00BD3FF6"/>
    <w:rsid w:val="00BE1599"/>
    <w:rsid w:val="00BF7B44"/>
    <w:rsid w:val="00C01FF5"/>
    <w:rsid w:val="00C03178"/>
    <w:rsid w:val="00C17834"/>
    <w:rsid w:val="00C44675"/>
    <w:rsid w:val="00C46727"/>
    <w:rsid w:val="00C548A3"/>
    <w:rsid w:val="00C576E5"/>
    <w:rsid w:val="00C644F7"/>
    <w:rsid w:val="00C645D9"/>
    <w:rsid w:val="00C72419"/>
    <w:rsid w:val="00C7262D"/>
    <w:rsid w:val="00C81F43"/>
    <w:rsid w:val="00C83FB9"/>
    <w:rsid w:val="00C93ACA"/>
    <w:rsid w:val="00C97366"/>
    <w:rsid w:val="00CA0590"/>
    <w:rsid w:val="00CA6149"/>
    <w:rsid w:val="00CB2CE4"/>
    <w:rsid w:val="00CB3C95"/>
    <w:rsid w:val="00CB4020"/>
    <w:rsid w:val="00CC1F22"/>
    <w:rsid w:val="00CC35BC"/>
    <w:rsid w:val="00CC677F"/>
    <w:rsid w:val="00CC7359"/>
    <w:rsid w:val="00CD00E6"/>
    <w:rsid w:val="00CD0666"/>
    <w:rsid w:val="00CD1871"/>
    <w:rsid w:val="00CD239A"/>
    <w:rsid w:val="00CD61CC"/>
    <w:rsid w:val="00CE1ABD"/>
    <w:rsid w:val="00D06CC8"/>
    <w:rsid w:val="00D06EFB"/>
    <w:rsid w:val="00D12472"/>
    <w:rsid w:val="00D12D14"/>
    <w:rsid w:val="00D15467"/>
    <w:rsid w:val="00D15B44"/>
    <w:rsid w:val="00D26DFE"/>
    <w:rsid w:val="00D270FF"/>
    <w:rsid w:val="00D31FC6"/>
    <w:rsid w:val="00D3233B"/>
    <w:rsid w:val="00D56DB8"/>
    <w:rsid w:val="00D61C9F"/>
    <w:rsid w:val="00D64FAA"/>
    <w:rsid w:val="00D7269F"/>
    <w:rsid w:val="00D73467"/>
    <w:rsid w:val="00D74CB1"/>
    <w:rsid w:val="00D833DD"/>
    <w:rsid w:val="00D8723E"/>
    <w:rsid w:val="00DB1D4A"/>
    <w:rsid w:val="00DB308C"/>
    <w:rsid w:val="00DB79B2"/>
    <w:rsid w:val="00DC2CA1"/>
    <w:rsid w:val="00DC78ED"/>
    <w:rsid w:val="00DD41DA"/>
    <w:rsid w:val="00DE3764"/>
    <w:rsid w:val="00DE3B1A"/>
    <w:rsid w:val="00DF0527"/>
    <w:rsid w:val="00DF2B21"/>
    <w:rsid w:val="00DF2BD1"/>
    <w:rsid w:val="00DF67E2"/>
    <w:rsid w:val="00E06211"/>
    <w:rsid w:val="00E07623"/>
    <w:rsid w:val="00E10D7E"/>
    <w:rsid w:val="00E1610C"/>
    <w:rsid w:val="00E23529"/>
    <w:rsid w:val="00E40070"/>
    <w:rsid w:val="00E4469D"/>
    <w:rsid w:val="00E511D7"/>
    <w:rsid w:val="00E8011A"/>
    <w:rsid w:val="00E9771A"/>
    <w:rsid w:val="00EA1435"/>
    <w:rsid w:val="00EA6B91"/>
    <w:rsid w:val="00EA6C7F"/>
    <w:rsid w:val="00EB51CA"/>
    <w:rsid w:val="00EB6FE7"/>
    <w:rsid w:val="00EC46EB"/>
    <w:rsid w:val="00EC5873"/>
    <w:rsid w:val="00EC62E3"/>
    <w:rsid w:val="00ED1840"/>
    <w:rsid w:val="00ED2F10"/>
    <w:rsid w:val="00EE18C8"/>
    <w:rsid w:val="00EE2514"/>
    <w:rsid w:val="00EF1D86"/>
    <w:rsid w:val="00EF475B"/>
    <w:rsid w:val="00EF6163"/>
    <w:rsid w:val="00EF7859"/>
    <w:rsid w:val="00F0213F"/>
    <w:rsid w:val="00F04919"/>
    <w:rsid w:val="00F10DD1"/>
    <w:rsid w:val="00F1453E"/>
    <w:rsid w:val="00F16F08"/>
    <w:rsid w:val="00F212B3"/>
    <w:rsid w:val="00F261A1"/>
    <w:rsid w:val="00F315AA"/>
    <w:rsid w:val="00F3445A"/>
    <w:rsid w:val="00F36DD9"/>
    <w:rsid w:val="00F44596"/>
    <w:rsid w:val="00F53806"/>
    <w:rsid w:val="00F63686"/>
    <w:rsid w:val="00F6478D"/>
    <w:rsid w:val="00F72B8A"/>
    <w:rsid w:val="00F82E5B"/>
    <w:rsid w:val="00FA1238"/>
    <w:rsid w:val="00FA6372"/>
    <w:rsid w:val="00FA6A68"/>
    <w:rsid w:val="00FB160C"/>
    <w:rsid w:val="00FB3636"/>
    <w:rsid w:val="00FB4397"/>
    <w:rsid w:val="00FB4AB9"/>
    <w:rsid w:val="00FB56E2"/>
    <w:rsid w:val="00FB6856"/>
    <w:rsid w:val="00FC057D"/>
    <w:rsid w:val="00FD1468"/>
    <w:rsid w:val="00FE2342"/>
    <w:rsid w:val="00FF0DA0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9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B37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91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45B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9149F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9149F"/>
    <w:rPr>
      <w:vertAlign w:val="superscript"/>
    </w:rPr>
  </w:style>
  <w:style w:type="paragraph" w:styleId="a4">
    <w:name w:val="footnote text"/>
    <w:basedOn w:val="a"/>
    <w:link w:val="Char"/>
    <w:rsid w:val="0009149F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9149F"/>
    <w:rPr>
      <w:rFonts w:ascii="Times New Roman" w:eastAsia="宋体" w:hAnsi="Times New Roman" w:cs="Times New Roman"/>
      <w:sz w:val="18"/>
      <w:szCs w:val="20"/>
    </w:rPr>
  </w:style>
  <w:style w:type="paragraph" w:customStyle="1" w:styleId="Default">
    <w:name w:val="Default"/>
    <w:rsid w:val="00F16F0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16F0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F16F08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F16F08"/>
    <w:rPr>
      <w:rFonts w:ascii="Times New Roman" w:eastAsia="方正仿宋简体" w:hAnsi="Times New Roman" w:cs="Times New Roman"/>
      <w:sz w:val="32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16F0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F16F08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F16F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6F08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B5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B55C32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B5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B55C32"/>
    <w:rPr>
      <w:rFonts w:ascii="Times New Roman" w:eastAsia="方正仿宋简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93736"/>
    <w:pPr>
      <w:ind w:firstLineChars="200" w:firstLine="420"/>
    </w:pPr>
  </w:style>
  <w:style w:type="character" w:customStyle="1" w:styleId="7Char">
    <w:name w:val="标题 7 Char"/>
    <w:basedOn w:val="a0"/>
    <w:link w:val="7"/>
    <w:rsid w:val="00B545BC"/>
    <w:rPr>
      <w:rFonts w:ascii="Times New Roman" w:eastAsia="方正仿宋简体" w:hAnsi="Times New Roman" w:cs="Times New Roman"/>
      <w:b/>
      <w:bCs/>
      <w:sz w:val="24"/>
      <w:szCs w:val="24"/>
    </w:rPr>
  </w:style>
  <w:style w:type="paragraph" w:styleId="ac">
    <w:name w:val="Revision"/>
    <w:hidden/>
    <w:uiPriority w:val="99"/>
    <w:semiHidden/>
    <w:rsid w:val="00736396"/>
    <w:rPr>
      <w:rFonts w:ascii="Times New Roman" w:eastAsia="方正仿宋简体" w:hAnsi="Times New Roman" w:cs="Times New Roman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9B37E2"/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character" w:styleId="ad">
    <w:name w:val="Hyperlink"/>
    <w:basedOn w:val="a0"/>
    <w:rsid w:val="006A39D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4BD1-E34B-4895-834B-707C512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4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ZHONGM</cp:lastModifiedBy>
  <cp:revision>2</cp:revision>
  <cp:lastPrinted>2011-09-06T06:39:00Z</cp:lastPrinted>
  <dcterms:created xsi:type="dcterms:W3CDTF">2024-08-28T16:03:00Z</dcterms:created>
  <dcterms:modified xsi:type="dcterms:W3CDTF">2024-08-28T16:03:00Z</dcterms:modified>
</cp:coreProperties>
</file>