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BC" w:rsidRDefault="00A44AA8">
      <w:pPr>
        <w:jc w:val="both"/>
        <w:rPr>
          <w:lang w:eastAsia="zh-CN"/>
        </w:rPr>
      </w:pPr>
      <w:bookmarkStart w:id="0" w:name="_GoBack"/>
      <w:bookmarkEnd w:id="0"/>
      <w:r>
        <w:rPr>
          <w:rFonts w:eastAsia="Times New Roman"/>
          <w:lang w:eastAsia="zh-CN"/>
        </w:rPr>
        <w:t> </w:t>
      </w:r>
    </w:p>
    <w:p w:rsidR="007F0DBC" w:rsidRDefault="00A44AA8">
      <w:pPr>
        <w:jc w:val="both"/>
        <w:rPr>
          <w:lang w:eastAsia="zh-CN"/>
        </w:rPr>
      </w:pPr>
      <w:r>
        <w:rPr>
          <w:rFonts w:eastAsia="Times New Roman"/>
          <w:lang w:eastAsia="zh-CN"/>
        </w:rPr>
        <w:t> </w:t>
      </w:r>
    </w:p>
    <w:p w:rsidR="007F0DBC" w:rsidRDefault="00A44AA8">
      <w:pPr>
        <w:jc w:val="both"/>
        <w:rPr>
          <w:lang w:eastAsia="zh-CN"/>
        </w:rPr>
      </w:pPr>
      <w:r>
        <w:rPr>
          <w:rFonts w:eastAsia="Times New Roman"/>
          <w:lang w:eastAsia="zh-CN"/>
        </w:rPr>
        <w:t> </w:t>
      </w:r>
    </w:p>
    <w:p w:rsidR="007F0DBC" w:rsidRDefault="00A44AA8">
      <w:pPr>
        <w:jc w:val="both"/>
        <w:rPr>
          <w:lang w:eastAsia="zh-CN"/>
        </w:rPr>
      </w:pPr>
      <w:r>
        <w:rPr>
          <w:rFonts w:eastAsia="Times New Roman"/>
          <w:lang w:eastAsia="zh-CN"/>
        </w:rPr>
        <w:t> </w:t>
      </w:r>
    </w:p>
    <w:p w:rsidR="008B0D76" w:rsidRDefault="00A44AA8">
      <w:pPr>
        <w:jc w:val="center"/>
        <w:rPr>
          <w:rFonts w:ascii="宋体" w:eastAsia="宋体" w:hAnsi="宋体" w:cs="宋体"/>
          <w:b/>
          <w:bCs/>
          <w:sz w:val="48"/>
          <w:szCs w:val="48"/>
          <w:lang w:eastAsia="zh-CN"/>
        </w:rPr>
      </w:pPr>
      <w:r>
        <w:rPr>
          <w:rFonts w:ascii="宋体" w:eastAsia="宋体" w:hAnsi="宋体" w:cs="宋体"/>
          <w:b/>
          <w:bCs/>
          <w:sz w:val="48"/>
          <w:szCs w:val="48"/>
          <w:lang w:eastAsia="zh-CN"/>
        </w:rPr>
        <w:t>鹏华成长先锋混合型证券投资基金</w:t>
      </w:r>
    </w:p>
    <w:p w:rsidR="007F0DBC" w:rsidRDefault="00A44AA8">
      <w:pPr>
        <w:jc w:val="center"/>
        <w:rPr>
          <w:sz w:val="48"/>
          <w:szCs w:val="48"/>
        </w:rPr>
      </w:pPr>
      <w:r>
        <w:rPr>
          <w:rFonts w:ascii="宋体" w:eastAsia="宋体" w:hAnsi="宋体" w:cs="宋体"/>
          <w:b/>
          <w:bCs/>
          <w:sz w:val="48"/>
          <w:szCs w:val="48"/>
          <w:lang w:eastAsia="zh-CN"/>
        </w:rPr>
        <w:t>基金合同生</w:t>
      </w:r>
      <w:r>
        <w:rPr>
          <w:rFonts w:ascii="宋体" w:eastAsia="宋体" w:hAnsi="宋体" w:cs="宋体"/>
          <w:b/>
          <w:bCs/>
          <w:vanish/>
          <w:sz w:val="48"/>
          <w:szCs w:val="48"/>
          <w:lang w:eastAsia="zh-CN"/>
        </w:rPr>
        <w:t> </w:t>
      </w:r>
      <w:r>
        <w:rPr>
          <w:rFonts w:ascii="宋体" w:eastAsia="宋体" w:hAnsi="宋体" w:cs="宋体"/>
          <w:b/>
          <w:bCs/>
          <w:sz w:val="48"/>
          <w:szCs w:val="48"/>
          <w:lang w:eastAsia="zh-CN"/>
        </w:rPr>
        <w:t>效公告</w:t>
      </w:r>
    </w:p>
    <w:p w:rsidR="007F0DBC" w:rsidRDefault="00A44AA8">
      <w:pPr>
        <w:jc w:val="center"/>
        <w:rPr>
          <w:sz w:val="30"/>
          <w:szCs w:val="30"/>
        </w:rPr>
      </w:pPr>
      <w:r>
        <w:rPr>
          <w:rFonts w:eastAsia="Times New Roman"/>
          <w:sz w:val="30"/>
          <w:szCs w:val="30"/>
          <w:lang w:eastAsia="zh-CN"/>
        </w:rPr>
        <w:t> </w:t>
      </w:r>
    </w:p>
    <w:p w:rsidR="007F0DBC" w:rsidRDefault="00A44AA8">
      <w:pPr>
        <w:jc w:val="center"/>
        <w:rPr>
          <w:sz w:val="30"/>
          <w:szCs w:val="30"/>
        </w:rPr>
      </w:pPr>
      <w:r>
        <w:rPr>
          <w:rFonts w:eastAsia="Times New Roman"/>
          <w:sz w:val="30"/>
          <w:szCs w:val="30"/>
          <w:lang w:eastAsia="zh-CN"/>
        </w:rPr>
        <w:t> </w:t>
      </w:r>
    </w:p>
    <w:p w:rsidR="007F0DBC" w:rsidRDefault="00A44AA8">
      <w:pPr>
        <w:jc w:val="center"/>
        <w:rPr>
          <w:sz w:val="30"/>
          <w:szCs w:val="30"/>
        </w:rPr>
      </w:pPr>
      <w:r>
        <w:rPr>
          <w:rFonts w:eastAsia="Times New Roman"/>
          <w:sz w:val="30"/>
          <w:szCs w:val="30"/>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rPr>
          <w:rFonts w:eastAsia="Times New Roman"/>
          <w:lang w:eastAsia="zh-CN"/>
        </w:rPr>
      </w:pPr>
      <w:r>
        <w:rPr>
          <w:rFonts w:eastAsia="Times New Roman"/>
          <w:lang w:eastAsia="zh-CN"/>
        </w:rPr>
        <w:t> </w:t>
      </w:r>
    </w:p>
    <w:p w:rsidR="008B0D76" w:rsidRDefault="008B0D76">
      <w:pPr>
        <w:jc w:val="both"/>
        <w:rPr>
          <w:rFonts w:eastAsia="Times New Roman"/>
          <w:lang w:eastAsia="zh-CN"/>
        </w:rPr>
      </w:pPr>
    </w:p>
    <w:p w:rsidR="008B0D76" w:rsidRDefault="008B0D76">
      <w:pPr>
        <w:jc w:val="both"/>
        <w:rPr>
          <w:rFonts w:eastAsia="Times New Roman"/>
          <w:lang w:eastAsia="zh-CN"/>
        </w:rPr>
      </w:pPr>
    </w:p>
    <w:p w:rsidR="008B0D76" w:rsidRDefault="008B0D76">
      <w:pPr>
        <w:jc w:val="both"/>
        <w:rPr>
          <w:rFonts w:eastAsia="Times New Roman"/>
          <w:lang w:eastAsia="zh-CN"/>
        </w:rPr>
      </w:pPr>
    </w:p>
    <w:p w:rsidR="008B0D76" w:rsidRDefault="008B0D76">
      <w:pPr>
        <w:jc w:val="both"/>
      </w:pP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center"/>
        <w:rPr>
          <w:sz w:val="28"/>
          <w:szCs w:val="28"/>
        </w:rPr>
      </w:pPr>
      <w:r>
        <w:rPr>
          <w:rFonts w:ascii="宋体" w:eastAsia="宋体" w:hAnsi="宋体" w:cs="宋体"/>
          <w:b/>
          <w:bCs/>
          <w:sz w:val="28"/>
          <w:szCs w:val="28"/>
          <w:lang w:eastAsia="zh-CN"/>
        </w:rPr>
        <w:t>公告送出日期：2024年08月28日</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jc w:val="both"/>
      </w:pPr>
      <w:r>
        <w:rPr>
          <w:rFonts w:eastAsia="Times New Roman"/>
          <w:lang w:eastAsia="zh-CN"/>
        </w:rPr>
        <w:t> </w:t>
      </w:r>
    </w:p>
    <w:p w:rsidR="007F0DBC" w:rsidRDefault="00A44AA8">
      <w:pPr>
        <w:keepNext/>
        <w:spacing w:before="156" w:after="156"/>
      </w:pPr>
      <w:r>
        <w:rPr>
          <w:rFonts w:ascii="Cambria" w:eastAsia="Cambria" w:hAnsi="Cambria" w:cs="Cambria"/>
          <w:b/>
          <w:bCs/>
          <w:lang w:eastAsia="zh-CN"/>
        </w:rPr>
        <w:lastRenderedPageBreak/>
        <w:t>1.</w:t>
      </w:r>
      <w:r>
        <w:rPr>
          <w:b/>
          <w:bCs/>
          <w:sz w:val="14"/>
          <w:szCs w:val="14"/>
          <w:lang w:eastAsia="zh-CN"/>
        </w:rPr>
        <w:t xml:space="preserve">     </w:t>
      </w:r>
      <w:r>
        <w:rPr>
          <w:rFonts w:ascii="宋体" w:eastAsia="宋体" w:hAnsi="宋体" w:cs="宋体"/>
          <w:b/>
          <w:bCs/>
          <w:lang w:eastAsia="zh-CN"/>
        </w:rPr>
        <w:t>公告基本信息</w:t>
      </w:r>
    </w:p>
    <w:tbl>
      <w:tblPr>
        <w:tblW w:w="8290" w:type="dxa"/>
        <w:tblInd w:w="13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58"/>
        <w:gridCol w:w="2816"/>
        <w:gridCol w:w="2816"/>
      </w:tblGrid>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基金名称</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lang w:eastAsia="zh-CN"/>
              </w:rPr>
            </w:pPr>
            <w:r>
              <w:rPr>
                <w:rFonts w:ascii="宋体" w:eastAsia="宋体" w:hAnsi="宋体" w:cs="宋体"/>
                <w:sz w:val="21"/>
                <w:szCs w:val="21"/>
                <w:lang w:eastAsia="zh-CN"/>
              </w:rPr>
              <w:t>鹏华成长先锋混合型证券投资基金</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基金简称</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鹏华成长先锋混合</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基金主代码</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020884</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基金运作方式</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契约型开放式</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基金合同生效日</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2024年08月27日</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基金管理人名称</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lang w:eastAsia="zh-CN"/>
              </w:rPr>
            </w:pPr>
            <w:r>
              <w:rPr>
                <w:rFonts w:ascii="宋体" w:eastAsia="宋体" w:hAnsi="宋体" w:cs="宋体"/>
                <w:sz w:val="21"/>
                <w:szCs w:val="21"/>
                <w:lang w:eastAsia="zh-CN"/>
              </w:rPr>
              <w:t>鹏华基金管理有限公司</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基金托管人名称</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lang w:eastAsia="zh-CN"/>
              </w:rPr>
            </w:pPr>
            <w:r>
              <w:rPr>
                <w:rFonts w:ascii="宋体" w:eastAsia="宋体" w:hAnsi="宋体" w:cs="宋体"/>
                <w:sz w:val="21"/>
                <w:szCs w:val="21"/>
                <w:lang w:eastAsia="zh-CN"/>
              </w:rPr>
              <w:t>中国工商银行股份有限公司</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公告依据</w:t>
            </w:r>
          </w:p>
        </w:tc>
        <w:tc>
          <w:tcPr>
            <w:tcW w:w="4010"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lang w:eastAsia="zh-CN"/>
              </w:rPr>
            </w:pPr>
            <w:r>
              <w:rPr>
                <w:rFonts w:ascii="宋体" w:eastAsia="宋体" w:hAnsi="宋体" w:cs="宋体"/>
                <w:sz w:val="21"/>
                <w:szCs w:val="21"/>
                <w:lang w:eastAsia="zh-CN"/>
              </w:rPr>
              <w:t>《中华人民共和国证券投资基金法》、《公开募集证券投资基金运作管理办法》等相关法律、法规的规定以及《鹏华成长先锋混合型证券投资基金基金合同》、《鹏华成长先锋混合型证券投资基金招募说明书》</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lang w:eastAsia="zh-CN"/>
              </w:rPr>
            </w:pPr>
            <w:r>
              <w:rPr>
                <w:rFonts w:ascii="宋体" w:eastAsia="宋体" w:hAnsi="宋体" w:cs="宋体"/>
                <w:sz w:val="21"/>
                <w:szCs w:val="21"/>
                <w:lang w:eastAsia="zh-CN"/>
              </w:rPr>
              <w:t>下属基金份额类别的基金简称</w:t>
            </w:r>
          </w:p>
        </w:t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鹏华成长先锋混合A</w:t>
            </w:r>
          </w:p>
        </w:t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鹏华成长先锋混合C</w:t>
            </w:r>
          </w:p>
        </w:tc>
      </w:tr>
      <w:tr w:rsidR="007F0DB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lang w:eastAsia="zh-CN"/>
              </w:rPr>
            </w:pPr>
            <w:r>
              <w:rPr>
                <w:rFonts w:ascii="宋体" w:eastAsia="宋体" w:hAnsi="宋体" w:cs="宋体"/>
                <w:sz w:val="21"/>
                <w:szCs w:val="21"/>
                <w:lang w:eastAsia="zh-CN"/>
              </w:rPr>
              <w:t>下属基金份额类别的基金代码</w:t>
            </w:r>
          </w:p>
        </w:t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020884</w:t>
            </w:r>
          </w:p>
        </w:tc>
        <w:tc>
          <w:tcPr>
            <w:tcW w:w="401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hideMark/>
          </w:tcPr>
          <w:p w:rsidR="007F0DBC" w:rsidRDefault="00A44AA8" w:rsidP="008B0D76">
            <w:pPr>
              <w:jc w:val="both"/>
              <w:rPr>
                <w:rFonts w:ascii="宋体" w:eastAsia="宋体" w:hAnsi="宋体" w:cs="宋体"/>
                <w:sz w:val="21"/>
                <w:szCs w:val="21"/>
              </w:rPr>
            </w:pPr>
            <w:r>
              <w:rPr>
                <w:rFonts w:ascii="宋体" w:eastAsia="宋体" w:hAnsi="宋体" w:cs="宋体"/>
                <w:sz w:val="21"/>
                <w:szCs w:val="21"/>
                <w:lang w:eastAsia="zh-CN"/>
              </w:rPr>
              <w:t>020885</w:t>
            </w:r>
          </w:p>
        </w:tc>
      </w:tr>
    </w:tbl>
    <w:p w:rsidR="007F0DBC" w:rsidRDefault="00A44AA8">
      <w:pPr>
        <w:keepNext/>
        <w:spacing w:before="156" w:after="156"/>
      </w:pPr>
      <w:r>
        <w:rPr>
          <w:rFonts w:ascii="宋体" w:eastAsia="宋体" w:hAnsi="宋体" w:cs="宋体"/>
          <w:b/>
          <w:bCs/>
          <w:lang w:eastAsia="zh-CN"/>
        </w:rPr>
        <w:t>2.基金募集情况</w:t>
      </w:r>
    </w:p>
    <w:tbl>
      <w:tblPr>
        <w:tblW w:w="8637" w:type="dxa"/>
        <w:tblInd w:w="133"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738"/>
        <w:gridCol w:w="1737"/>
        <w:gridCol w:w="1760"/>
        <w:gridCol w:w="1701"/>
        <w:gridCol w:w="1701"/>
      </w:tblGrid>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基金募集申请获中国证监会核准的文号</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证监许可〔2024〕187号</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基金募集期间</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自2024年07月26日至2024年08月23日止</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验资机构名称</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毕马威华振会计师事务所（特殊普通合伙）</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募集资金划入基金托管专户的日期</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hint="eastAsia"/>
                <w:sz w:val="21"/>
                <w:szCs w:val="21"/>
                <w:lang w:eastAsia="zh-CN"/>
              </w:rPr>
              <w:t>2024年8月27日</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募集有效认购总户数（单位：户）</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hint="eastAsia"/>
                <w:sz w:val="21"/>
                <w:szCs w:val="21"/>
                <w:lang w:eastAsia="zh-CN"/>
              </w:rPr>
              <w:t>228</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份额级别</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鹏华成长先锋混合A</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鹏华成长先锋混合C</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合计</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募集期间净认购金额（单位：人民币元）</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hint="eastAsia"/>
                <w:sz w:val="21"/>
                <w:szCs w:val="21"/>
                <w:lang w:eastAsia="zh-CN"/>
              </w:rPr>
              <w:t>2,359,199.94</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hint="eastAsia"/>
                <w:sz w:val="21"/>
                <w:szCs w:val="21"/>
                <w:lang w:eastAsia="zh-CN"/>
              </w:rPr>
              <w:t>259,923,651.79</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hint="eastAsia"/>
                <w:sz w:val="21"/>
                <w:szCs w:val="21"/>
                <w:lang w:eastAsia="zh-CN"/>
              </w:rPr>
              <w:t>262,282,851.73</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认购资金在募集期间产生的利息（单位：人民币元）</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sz w:val="21"/>
                <w:szCs w:val="21"/>
                <w:lang w:eastAsia="zh-CN"/>
              </w:rPr>
              <w:t> </w:t>
            </w:r>
            <w:r>
              <w:rPr>
                <w:rFonts w:ascii="宋体" w:eastAsia="宋体" w:hAnsi="宋体" w:cs="宋体" w:hint="eastAsia"/>
                <w:sz w:val="21"/>
                <w:szCs w:val="21"/>
                <w:lang w:eastAsia="zh-CN"/>
              </w:rPr>
              <w:t>989.60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hint="eastAsia"/>
                <w:sz w:val="21"/>
                <w:szCs w:val="21"/>
                <w:lang w:eastAsia="zh-CN"/>
              </w:rPr>
              <w:t>185,184.64</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hint="eastAsia"/>
                <w:sz w:val="21"/>
                <w:szCs w:val="21"/>
                <w:lang w:eastAsia="zh-CN"/>
              </w:rPr>
              <w:t>186,174.24</w:t>
            </w:r>
          </w:p>
        </w:tc>
      </w:tr>
      <w:tr w:rsidR="00823E6C" w:rsidTr="00225F81">
        <w:tc>
          <w:tcPr>
            <w:tcW w:w="1738" w:type="dxa"/>
            <w:vMerge w:val="restart"/>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募集份额（单位：份）</w:t>
            </w: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有效认购份额</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2,359,199.94</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259,923,651.79</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262,282,851.73</w:t>
            </w:r>
          </w:p>
        </w:tc>
      </w:tr>
      <w:tr w:rsidR="00823E6C" w:rsidTr="00225F81">
        <w:tc>
          <w:tcPr>
            <w:tcW w:w="1738" w:type="dxa"/>
            <w:vMerge/>
            <w:tcBorders>
              <w:top w:val="single" w:sz="8" w:space="0" w:color="auto"/>
              <w:left w:val="single" w:sz="8" w:space="0" w:color="auto"/>
              <w:bottom w:val="single" w:sz="8" w:space="0" w:color="auto"/>
              <w:right w:val="single" w:sz="8" w:space="0" w:color="auto"/>
            </w:tcBorders>
            <w:vAlign w:val="center"/>
          </w:tcPr>
          <w:p w:rsidR="00823E6C" w:rsidRDefault="00823E6C" w:rsidP="00EF6F20">
            <w:pPr>
              <w:rPr>
                <w:rFonts w:ascii="宋体" w:eastAsia="宋体" w:hAnsi="宋体" w:cs="宋体"/>
                <w:sz w:val="21"/>
                <w:szCs w:val="21"/>
              </w:rPr>
            </w:pP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利息结转的份额</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sz w:val="21"/>
                <w:szCs w:val="21"/>
                <w:lang w:eastAsia="zh-CN"/>
              </w:rPr>
              <w:t> </w:t>
            </w:r>
            <w:r>
              <w:rPr>
                <w:rFonts w:ascii="宋体" w:eastAsia="宋体" w:hAnsi="宋体" w:cs="宋体" w:hint="eastAsia"/>
                <w:sz w:val="21"/>
                <w:szCs w:val="21"/>
                <w:lang w:eastAsia="zh-CN"/>
              </w:rPr>
              <w:t>989.60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185,184.64</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186,174.24</w:t>
            </w:r>
          </w:p>
        </w:tc>
      </w:tr>
      <w:tr w:rsidR="00823E6C" w:rsidTr="00225F81">
        <w:tc>
          <w:tcPr>
            <w:tcW w:w="1738" w:type="dxa"/>
            <w:vMerge/>
            <w:tcBorders>
              <w:top w:val="single" w:sz="8" w:space="0" w:color="auto"/>
              <w:left w:val="single" w:sz="8" w:space="0" w:color="auto"/>
              <w:bottom w:val="single" w:sz="8" w:space="0" w:color="auto"/>
              <w:right w:val="single" w:sz="8" w:space="0" w:color="auto"/>
            </w:tcBorders>
            <w:vAlign w:val="center"/>
          </w:tcPr>
          <w:p w:rsidR="00823E6C" w:rsidRDefault="00823E6C" w:rsidP="00EF6F20">
            <w:pPr>
              <w:rPr>
                <w:rFonts w:ascii="宋体" w:eastAsia="宋体" w:hAnsi="宋体" w:cs="宋体"/>
                <w:sz w:val="21"/>
                <w:szCs w:val="21"/>
              </w:rPr>
            </w:pP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合计</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2,360,189.54</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260,108,836.43</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hint="eastAsia"/>
                <w:sz w:val="21"/>
                <w:szCs w:val="21"/>
                <w:lang w:eastAsia="zh-CN"/>
              </w:rPr>
              <w:t>262,469,025.97</w:t>
            </w:r>
          </w:p>
        </w:tc>
      </w:tr>
      <w:tr w:rsidR="00823E6C" w:rsidTr="00225F81">
        <w:tc>
          <w:tcPr>
            <w:tcW w:w="1738" w:type="dxa"/>
            <w:vMerge w:val="restart"/>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募集期间基金管理人运用固有资金认购本基金情况</w:t>
            </w: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认购的基金份额（单位： 份）</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sz w:val="21"/>
                <w:szCs w:val="21"/>
                <w:lang w:eastAsia="zh-CN"/>
              </w:rPr>
              <w:t> </w:t>
            </w:r>
            <w:r>
              <w:rPr>
                <w:rFonts w:ascii="宋体" w:eastAsia="宋体" w:hAnsi="宋体" w:cs="宋体" w:hint="eastAsia"/>
                <w:sz w:val="21"/>
                <w:szCs w:val="21"/>
                <w:lang w:eastAsia="zh-CN"/>
              </w:rPr>
              <w:t>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sz w:val="21"/>
                <w:szCs w:val="21"/>
                <w:lang w:eastAsia="zh-CN"/>
              </w:rPr>
              <w:t> </w:t>
            </w:r>
            <w:r>
              <w:rPr>
                <w:rFonts w:ascii="宋体" w:eastAsia="宋体" w:hAnsi="宋体" w:cs="宋体" w:hint="eastAsia"/>
                <w:sz w:val="21"/>
                <w:szCs w:val="21"/>
                <w:lang w:eastAsia="zh-CN"/>
              </w:rPr>
              <w:t>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hint="eastAsia"/>
                <w:sz w:val="21"/>
                <w:szCs w:val="21"/>
                <w:lang w:eastAsia="zh-CN"/>
              </w:rPr>
              <w:t>0</w:t>
            </w:r>
          </w:p>
        </w:tc>
      </w:tr>
      <w:tr w:rsidR="00823E6C" w:rsidTr="00225F81">
        <w:tc>
          <w:tcPr>
            <w:tcW w:w="1738" w:type="dxa"/>
            <w:vMerge/>
            <w:tcBorders>
              <w:top w:val="single" w:sz="8" w:space="0" w:color="auto"/>
              <w:left w:val="single" w:sz="8" w:space="0" w:color="auto"/>
              <w:bottom w:val="single" w:sz="8" w:space="0" w:color="auto"/>
              <w:right w:val="single" w:sz="8" w:space="0" w:color="auto"/>
            </w:tcBorders>
            <w:vAlign w:val="center"/>
          </w:tcPr>
          <w:p w:rsidR="00823E6C" w:rsidRDefault="00823E6C" w:rsidP="00EF6F20">
            <w:pPr>
              <w:rPr>
                <w:rFonts w:ascii="宋体" w:eastAsia="宋体" w:hAnsi="宋体" w:cs="宋体"/>
                <w:sz w:val="21"/>
                <w:szCs w:val="21"/>
                <w:lang w:eastAsia="zh-CN"/>
              </w:rPr>
            </w:pP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占基金总份额比例</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sz w:val="21"/>
                <w:szCs w:val="21"/>
                <w:lang w:eastAsia="zh-CN"/>
              </w:rPr>
              <w:t> </w:t>
            </w:r>
            <w:r>
              <w:rPr>
                <w:rFonts w:ascii="宋体" w:eastAsia="宋体" w:hAnsi="宋体" w:cs="宋体" w:hint="eastAsia"/>
                <w:sz w:val="21"/>
                <w:szCs w:val="21"/>
                <w:lang w:eastAsia="zh-CN"/>
              </w:rPr>
              <w:t>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sz w:val="21"/>
                <w:szCs w:val="21"/>
                <w:lang w:eastAsia="zh-CN"/>
              </w:rPr>
              <w:t> </w:t>
            </w:r>
            <w:r>
              <w:rPr>
                <w:rFonts w:ascii="宋体" w:eastAsia="宋体" w:hAnsi="宋体" w:cs="宋体" w:hint="eastAsia"/>
                <w:sz w:val="21"/>
                <w:szCs w:val="21"/>
                <w:lang w:eastAsia="zh-CN"/>
              </w:rPr>
              <w:t>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sz w:val="21"/>
                <w:szCs w:val="21"/>
                <w:lang w:eastAsia="zh-CN"/>
              </w:rPr>
              <w:t> </w:t>
            </w:r>
            <w:r>
              <w:rPr>
                <w:rFonts w:ascii="宋体" w:eastAsia="宋体" w:hAnsi="宋体" w:cs="宋体" w:hint="eastAsia"/>
                <w:sz w:val="21"/>
                <w:szCs w:val="21"/>
                <w:lang w:eastAsia="zh-CN"/>
              </w:rPr>
              <w:t>0</w:t>
            </w:r>
          </w:p>
        </w:tc>
      </w:tr>
      <w:tr w:rsidR="00823E6C" w:rsidTr="00225F81">
        <w:tc>
          <w:tcPr>
            <w:tcW w:w="1738" w:type="dxa"/>
            <w:vMerge/>
            <w:tcBorders>
              <w:top w:val="single" w:sz="8" w:space="0" w:color="auto"/>
              <w:left w:val="single" w:sz="8" w:space="0" w:color="auto"/>
              <w:bottom w:val="single" w:sz="8" w:space="0" w:color="auto"/>
              <w:right w:val="single" w:sz="8" w:space="0" w:color="auto"/>
            </w:tcBorders>
            <w:vAlign w:val="center"/>
          </w:tcPr>
          <w:p w:rsidR="00823E6C" w:rsidRDefault="00823E6C" w:rsidP="00EF6F20">
            <w:pPr>
              <w:rPr>
                <w:rFonts w:ascii="宋体" w:eastAsia="宋体" w:hAnsi="宋体" w:cs="宋体"/>
                <w:sz w:val="21"/>
                <w:szCs w:val="21"/>
              </w:rPr>
            </w:pP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其他需要说明的事项</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sz w:val="21"/>
                <w:szCs w:val="21"/>
                <w:lang w:eastAsia="zh-CN"/>
              </w:rPr>
              <w:t> </w:t>
            </w:r>
            <w:r>
              <w:rPr>
                <w:rFonts w:ascii="宋体" w:eastAsia="宋体" w:hAnsi="宋体" w:cs="宋体" w:hint="eastAsia"/>
                <w:sz w:val="21"/>
                <w:szCs w:val="21"/>
                <w:lang w:eastAsia="zh-CN"/>
              </w:rPr>
              <w:t>无</w:t>
            </w:r>
          </w:p>
        </w:tc>
      </w:tr>
      <w:tr w:rsidR="00823E6C" w:rsidTr="00225F81">
        <w:tc>
          <w:tcPr>
            <w:tcW w:w="1738" w:type="dxa"/>
            <w:vMerge w:val="restart"/>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募集期间基金管理人的从业人员认购本基金情况</w:t>
            </w: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认购的基金份额（单位： 份）</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sz w:val="21"/>
                <w:szCs w:val="21"/>
                <w:lang w:eastAsia="zh-CN"/>
              </w:rPr>
              <w:t> </w:t>
            </w:r>
            <w:r>
              <w:rPr>
                <w:rFonts w:ascii="宋体" w:eastAsia="宋体" w:hAnsi="宋体" w:cs="宋体" w:hint="eastAsia"/>
                <w:sz w:val="21"/>
                <w:szCs w:val="21"/>
                <w:lang w:eastAsia="zh-CN"/>
              </w:rPr>
              <w:t>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sz w:val="21"/>
                <w:szCs w:val="21"/>
                <w:lang w:eastAsia="zh-CN"/>
              </w:rPr>
              <w:t> </w:t>
            </w:r>
            <w:r>
              <w:rPr>
                <w:rFonts w:ascii="宋体" w:eastAsia="宋体" w:hAnsi="宋体" w:cs="宋体" w:hint="eastAsia"/>
                <w:sz w:val="21"/>
                <w:szCs w:val="21"/>
                <w:lang w:eastAsia="zh-CN"/>
              </w:rPr>
              <w:t>10,006.77</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lang w:eastAsia="zh-CN"/>
              </w:rPr>
            </w:pPr>
            <w:r>
              <w:rPr>
                <w:rFonts w:ascii="宋体" w:eastAsia="宋体" w:hAnsi="宋体" w:cs="宋体"/>
                <w:sz w:val="21"/>
                <w:szCs w:val="21"/>
                <w:lang w:eastAsia="zh-CN"/>
              </w:rPr>
              <w:t> </w:t>
            </w:r>
            <w:r>
              <w:rPr>
                <w:rFonts w:ascii="宋体" w:eastAsia="宋体" w:hAnsi="宋体" w:cs="宋体" w:hint="eastAsia"/>
                <w:sz w:val="21"/>
                <w:szCs w:val="21"/>
                <w:lang w:eastAsia="zh-CN"/>
              </w:rPr>
              <w:t>10,006.77</w:t>
            </w:r>
          </w:p>
        </w:tc>
      </w:tr>
      <w:tr w:rsidR="00823E6C" w:rsidTr="00225F81">
        <w:tc>
          <w:tcPr>
            <w:tcW w:w="1738" w:type="dxa"/>
            <w:vMerge/>
            <w:tcBorders>
              <w:top w:val="single" w:sz="8" w:space="0" w:color="auto"/>
              <w:left w:val="single" w:sz="8" w:space="0" w:color="auto"/>
              <w:bottom w:val="single" w:sz="8" w:space="0" w:color="auto"/>
              <w:right w:val="single" w:sz="8" w:space="0" w:color="auto"/>
            </w:tcBorders>
            <w:vAlign w:val="center"/>
          </w:tcPr>
          <w:p w:rsidR="00823E6C" w:rsidRDefault="00823E6C" w:rsidP="00EF6F20">
            <w:pPr>
              <w:rPr>
                <w:rFonts w:ascii="宋体" w:eastAsia="宋体" w:hAnsi="宋体" w:cs="宋体"/>
                <w:sz w:val="21"/>
                <w:szCs w:val="21"/>
                <w:lang w:eastAsia="zh-CN"/>
              </w:rPr>
            </w:pPr>
          </w:p>
        </w:tc>
        <w:tc>
          <w:tcPr>
            <w:tcW w:w="1737"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占基金总份额比例</w:t>
            </w:r>
          </w:p>
        </w:tc>
        <w:tc>
          <w:tcPr>
            <w:tcW w:w="17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rPr>
                <w:rFonts w:ascii="宋体" w:eastAsia="宋体" w:hAnsi="宋体" w:cs="宋体"/>
                <w:sz w:val="21"/>
                <w:szCs w:val="21"/>
              </w:rPr>
            </w:pPr>
            <w:r>
              <w:rPr>
                <w:rFonts w:ascii="宋体" w:eastAsia="宋体" w:hAnsi="宋体" w:cs="宋体"/>
                <w:sz w:val="21"/>
                <w:szCs w:val="21"/>
                <w:lang w:eastAsia="zh-CN"/>
              </w:rPr>
              <w:t> </w:t>
            </w:r>
            <w:r>
              <w:rPr>
                <w:rFonts w:ascii="宋体" w:eastAsia="宋体" w:hAnsi="宋体" w:cs="宋体" w:hint="eastAsia"/>
                <w:sz w:val="21"/>
                <w:szCs w:val="21"/>
                <w:lang w:eastAsia="zh-CN"/>
              </w:rPr>
              <w:t>0</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textAlignment w:val="center"/>
              <w:rPr>
                <w:rFonts w:ascii="宋体" w:eastAsia="宋体" w:hAnsi="宋体" w:cs="宋体"/>
                <w:sz w:val="21"/>
                <w:szCs w:val="21"/>
              </w:rPr>
            </w:pPr>
            <w:r>
              <w:rPr>
                <w:rFonts w:ascii="宋体" w:eastAsia="宋体" w:hAnsi="宋体" w:cs="宋体" w:hint="eastAsia"/>
                <w:color w:val="000000"/>
                <w:sz w:val="22"/>
                <w:szCs w:val="22"/>
                <w:lang w:eastAsia="zh-CN"/>
              </w:rPr>
              <w:t>0.0038%</w:t>
            </w:r>
          </w:p>
        </w:tc>
        <w:tc>
          <w:tcPr>
            <w:tcW w:w="1701"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tcPr>
          <w:p w:rsidR="00823E6C" w:rsidRDefault="00823E6C" w:rsidP="00EF6F20">
            <w:pPr>
              <w:jc w:val="right"/>
              <w:textAlignment w:val="center"/>
              <w:rPr>
                <w:rFonts w:ascii="宋体" w:eastAsia="宋体" w:hAnsi="宋体" w:cs="宋体"/>
                <w:sz w:val="21"/>
                <w:szCs w:val="21"/>
              </w:rPr>
            </w:pPr>
            <w:r>
              <w:rPr>
                <w:rFonts w:ascii="宋体" w:eastAsia="宋体" w:hAnsi="宋体" w:cs="宋体" w:hint="eastAsia"/>
                <w:color w:val="000000"/>
                <w:sz w:val="22"/>
                <w:szCs w:val="22"/>
                <w:lang w:eastAsia="zh-CN"/>
              </w:rPr>
              <w:t>0.0038%</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t>募集期限届满基金是否符合法律法规规定的办理基金备案手续的条件</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是</w:t>
            </w:r>
          </w:p>
        </w:tc>
      </w:tr>
      <w:tr w:rsidR="00823E6C" w:rsidTr="00225F81">
        <w:tc>
          <w:tcPr>
            <w:tcW w:w="3475" w:type="dxa"/>
            <w:gridSpan w:val="2"/>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lang w:eastAsia="zh-CN"/>
              </w:rPr>
            </w:pPr>
            <w:r>
              <w:rPr>
                <w:rFonts w:ascii="宋体" w:eastAsia="宋体" w:hAnsi="宋体" w:cs="宋体"/>
                <w:sz w:val="21"/>
                <w:szCs w:val="21"/>
                <w:lang w:eastAsia="zh-CN"/>
              </w:rPr>
              <w:lastRenderedPageBreak/>
              <w:t>向中国证监会办理基金备案手续获得书面确认的日期</w:t>
            </w:r>
          </w:p>
        </w:tc>
        <w:tc>
          <w:tcPr>
            <w:tcW w:w="5162" w:type="dxa"/>
            <w:gridSpan w:val="3"/>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tcPr>
          <w:p w:rsidR="00823E6C" w:rsidRDefault="00823E6C" w:rsidP="00EF6F20">
            <w:pPr>
              <w:jc w:val="both"/>
              <w:rPr>
                <w:rFonts w:ascii="宋体" w:eastAsia="宋体" w:hAnsi="宋体" w:cs="宋体"/>
                <w:sz w:val="21"/>
                <w:szCs w:val="21"/>
              </w:rPr>
            </w:pPr>
            <w:r>
              <w:rPr>
                <w:rFonts w:ascii="宋体" w:eastAsia="宋体" w:hAnsi="宋体" w:cs="宋体"/>
                <w:sz w:val="21"/>
                <w:szCs w:val="21"/>
                <w:lang w:eastAsia="zh-CN"/>
              </w:rPr>
              <w:t>2024年08月27日</w:t>
            </w:r>
          </w:p>
        </w:tc>
      </w:tr>
    </w:tbl>
    <w:p w:rsidR="007F0DBC" w:rsidRDefault="00A44AA8">
      <w:pPr>
        <w:spacing w:line="360" w:lineRule="auto"/>
        <w:jc w:val="both"/>
        <w:rPr>
          <w:sz w:val="21"/>
          <w:szCs w:val="21"/>
          <w:lang w:eastAsia="zh-CN"/>
        </w:rPr>
      </w:pPr>
      <w:r>
        <w:rPr>
          <w:rFonts w:ascii="宋体" w:eastAsia="宋体" w:hAnsi="宋体" w:cs="宋体"/>
          <w:sz w:val="21"/>
          <w:szCs w:val="21"/>
          <w:lang w:eastAsia="zh-CN"/>
        </w:rPr>
        <w:t>注：(1)按照有关法律规定，本次基金募集期间所发生的律师费、会计师费、信息披露费等费用由基金管理人承担，不从基金财产中列支。</w:t>
      </w:r>
    </w:p>
    <w:p w:rsidR="007F0DBC" w:rsidRPr="00823E6C" w:rsidRDefault="00A44AA8">
      <w:pPr>
        <w:spacing w:line="360" w:lineRule="auto"/>
        <w:jc w:val="both"/>
        <w:rPr>
          <w:sz w:val="21"/>
          <w:szCs w:val="21"/>
          <w:lang w:eastAsia="zh-CN"/>
        </w:rPr>
      </w:pPr>
      <w:r w:rsidRPr="00823E6C">
        <w:rPr>
          <w:rFonts w:ascii="宋体" w:eastAsia="宋体" w:hAnsi="宋体" w:cs="宋体"/>
          <w:sz w:val="21"/>
          <w:szCs w:val="21"/>
          <w:lang w:eastAsia="zh-CN"/>
        </w:rPr>
        <w:t>(2)本公司高级管理人员、基金投资和研究部门负责人持有本基金基金份额总量的数量区间为</w:t>
      </w:r>
      <w:r w:rsidR="00823E6C" w:rsidRPr="00823E6C">
        <w:rPr>
          <w:rFonts w:ascii="宋体" w:eastAsia="宋体" w:hAnsi="宋体" w:cs="宋体" w:hint="eastAsia"/>
          <w:sz w:val="21"/>
          <w:szCs w:val="21"/>
          <w:lang w:eastAsia="zh-CN"/>
        </w:rPr>
        <w:t>0</w:t>
      </w:r>
      <w:r w:rsidRPr="00823E6C">
        <w:rPr>
          <w:rFonts w:ascii="宋体" w:eastAsia="宋体" w:hAnsi="宋体" w:cs="宋体"/>
          <w:sz w:val="21"/>
          <w:szCs w:val="21"/>
          <w:lang w:eastAsia="zh-CN"/>
        </w:rPr>
        <w:t>。</w:t>
      </w:r>
    </w:p>
    <w:p w:rsidR="007F0DBC" w:rsidRDefault="00A44AA8">
      <w:pPr>
        <w:spacing w:line="360" w:lineRule="auto"/>
        <w:jc w:val="both"/>
        <w:rPr>
          <w:sz w:val="21"/>
          <w:szCs w:val="21"/>
          <w:lang w:eastAsia="zh-CN"/>
        </w:rPr>
      </w:pPr>
      <w:r w:rsidRPr="00823E6C">
        <w:rPr>
          <w:rFonts w:ascii="宋体" w:eastAsia="宋体" w:hAnsi="宋体" w:cs="宋体"/>
          <w:sz w:val="21"/>
          <w:szCs w:val="21"/>
          <w:lang w:eastAsia="zh-CN"/>
        </w:rPr>
        <w:t>(3)本基金基金经理持有本基金基金份额总量的数量区间为</w:t>
      </w:r>
      <w:r w:rsidR="00823E6C" w:rsidRPr="00823E6C">
        <w:rPr>
          <w:rFonts w:ascii="宋体" w:eastAsia="宋体" w:hAnsi="宋体" w:cs="宋体" w:hint="eastAsia"/>
          <w:sz w:val="21"/>
          <w:szCs w:val="21"/>
          <w:lang w:eastAsia="zh-CN"/>
        </w:rPr>
        <w:t>0</w:t>
      </w:r>
      <w:r w:rsidRPr="00823E6C">
        <w:rPr>
          <w:rFonts w:ascii="宋体" w:eastAsia="宋体" w:hAnsi="宋体" w:cs="宋体"/>
          <w:sz w:val="21"/>
          <w:szCs w:val="21"/>
          <w:lang w:eastAsia="zh-CN"/>
        </w:rPr>
        <w:t>。</w:t>
      </w:r>
    </w:p>
    <w:p w:rsidR="007F0DBC" w:rsidRDefault="00A44AA8">
      <w:pPr>
        <w:spacing w:line="360" w:lineRule="auto"/>
        <w:ind w:left="454" w:hanging="454"/>
        <w:rPr>
          <w:rFonts w:ascii="宋体" w:eastAsia="宋体" w:hAnsi="宋体" w:cs="宋体"/>
          <w:lang w:eastAsia="zh-CN"/>
        </w:rPr>
      </w:pPr>
      <w:r>
        <w:rPr>
          <w:rFonts w:ascii="Cambria" w:eastAsia="Cambria" w:hAnsi="Cambria" w:cs="Cambria"/>
          <w:b/>
          <w:bCs/>
          <w:lang w:eastAsia="zh-CN"/>
        </w:rPr>
        <w:t>3.</w:t>
      </w:r>
      <w:r>
        <w:rPr>
          <w:b/>
          <w:bCs/>
          <w:sz w:val="14"/>
          <w:szCs w:val="14"/>
          <w:lang w:eastAsia="zh-CN"/>
        </w:rPr>
        <w:t>        </w:t>
      </w:r>
      <w:r>
        <w:rPr>
          <w:rFonts w:ascii="宋体" w:eastAsia="宋体" w:hAnsi="宋体" w:cs="宋体"/>
          <w:b/>
          <w:bCs/>
          <w:lang w:eastAsia="zh-CN"/>
        </w:rPr>
        <w:t>其他需要提示的事项</w:t>
      </w:r>
    </w:p>
    <w:p w:rsidR="007F0DBC" w:rsidRDefault="00A44AA8">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销售机构受理投资人认购申请并不代表该申请一定成功，申请的成功与否须以本基金基金份额登记机构的确认结果为准。基金份额持有人应当在本基金基金合同生效之日起2个工作日之后，及时到销售机构的网点进行交易确认的查询，也可以通过本基金管理人的客户服务电话400-6788-533和网站（www.phfund.com.cn）查询交易确认状况。</w:t>
      </w:r>
    </w:p>
    <w:p w:rsidR="007F0DBC" w:rsidRDefault="00A44AA8">
      <w:pPr>
        <w:pStyle w:val="MsoNormal0"/>
        <w:spacing w:line="360" w:lineRule="auto"/>
        <w:ind w:firstLine="420"/>
        <w:jc w:val="both"/>
        <w:rPr>
          <w:rFonts w:ascii="宋体" w:eastAsia="宋体" w:hAnsi="宋体" w:cs="宋体"/>
          <w:lang w:eastAsia="zh-CN"/>
        </w:rPr>
      </w:pPr>
      <w:r>
        <w:rPr>
          <w:rFonts w:ascii="宋体" w:eastAsia="宋体" w:hAnsi="宋体" w:cs="宋体"/>
          <w:sz w:val="21"/>
          <w:szCs w:val="21"/>
          <w:lang w:eastAsia="zh-CN"/>
        </w:rPr>
        <w:t>根据《公开募集证券投资基金运作管理办法》的规定以及基金合同和招募说明书的约定，基金管理人可以根据实际情况依法决定本基金开始办理申购的具体日期，自本基金基金合同生效之日起不超过3个月开始办理本基金的赎回业务，具体业务办理时间在相关公告中规定。在确定申购开始与赎回开始时间后，基金管理人应依照《公开募集证券投资基金信息披露管理办法》的有关规定在中国证监会规定媒介上公告申购与赎回的开始时间。 </w:t>
      </w:r>
      <w:r>
        <w:rPr>
          <w:rFonts w:ascii="宋体" w:eastAsia="宋体" w:hAnsi="宋体" w:cs="宋体"/>
          <w:lang w:eastAsia="zh-CN"/>
        </w:rPr>
        <w:t xml:space="preserve"> </w:t>
      </w:r>
    </w:p>
    <w:p w:rsidR="007F0DBC" w:rsidRDefault="00A44AA8">
      <w:pPr>
        <w:spacing w:line="360" w:lineRule="auto"/>
        <w:ind w:firstLine="420"/>
        <w:jc w:val="both"/>
        <w:rPr>
          <w:sz w:val="21"/>
          <w:szCs w:val="21"/>
          <w:lang w:eastAsia="zh-CN"/>
        </w:rPr>
      </w:pPr>
      <w:r>
        <w:rPr>
          <w:rFonts w:eastAsia="Times New Roman"/>
          <w:sz w:val="21"/>
          <w:szCs w:val="21"/>
          <w:lang w:eastAsia="zh-CN"/>
        </w:rPr>
        <w:t> </w:t>
      </w:r>
    </w:p>
    <w:p w:rsidR="007F0DBC" w:rsidRDefault="00A44AA8">
      <w:pPr>
        <w:spacing w:line="360" w:lineRule="auto"/>
        <w:ind w:firstLine="420"/>
        <w:jc w:val="both"/>
        <w:rPr>
          <w:sz w:val="21"/>
          <w:szCs w:val="21"/>
          <w:lang w:eastAsia="zh-CN"/>
        </w:rPr>
      </w:pPr>
      <w:r>
        <w:rPr>
          <w:rFonts w:ascii="宋体" w:eastAsia="宋体" w:hAnsi="宋体" w:cs="宋体"/>
          <w:sz w:val="21"/>
          <w:szCs w:val="21"/>
          <w:lang w:eastAsia="zh-CN"/>
        </w:rPr>
        <w:t>风险提示：</w:t>
      </w:r>
    </w:p>
    <w:p w:rsidR="007F0DBC" w:rsidRDefault="00A44AA8">
      <w:pPr>
        <w:spacing w:line="360" w:lineRule="auto"/>
        <w:ind w:firstLine="420"/>
        <w:jc w:val="both"/>
        <w:rPr>
          <w:sz w:val="21"/>
          <w:szCs w:val="21"/>
          <w:lang w:eastAsia="zh-CN"/>
        </w:rPr>
      </w:pPr>
      <w:r>
        <w:rPr>
          <w:rFonts w:ascii="宋体" w:eastAsia="宋体" w:hAnsi="宋体" w:cs="宋体"/>
          <w:sz w:val="21"/>
          <w:szCs w:val="21"/>
          <w:lang w:eastAsia="zh-CN"/>
        </w:rPr>
        <w:t>本基金管理人承诺以诚实信用、勤勉尽责的原则管理和运用基金资产，但不保证基金一定盈利，也不保证最低收益。敬请投资人注意投资风险。投资者投资于本基金前应认真阅读本基金的《基金合同》、《招募说明书》、基金产品资料概要等法律文件。</w:t>
      </w:r>
    </w:p>
    <w:p w:rsidR="007F0DBC" w:rsidRDefault="00A44AA8">
      <w:pPr>
        <w:spacing w:line="360" w:lineRule="auto"/>
        <w:ind w:firstLine="420"/>
        <w:jc w:val="both"/>
        <w:rPr>
          <w:sz w:val="21"/>
          <w:szCs w:val="21"/>
          <w:lang w:eastAsia="zh-CN"/>
        </w:rPr>
      </w:pPr>
      <w:r>
        <w:rPr>
          <w:rFonts w:eastAsia="Times New Roman"/>
          <w:sz w:val="21"/>
          <w:szCs w:val="21"/>
          <w:lang w:eastAsia="zh-CN"/>
        </w:rPr>
        <w:t> </w:t>
      </w:r>
    </w:p>
    <w:p w:rsidR="007F0DBC" w:rsidRDefault="00A44AA8">
      <w:pPr>
        <w:spacing w:line="360" w:lineRule="auto"/>
        <w:jc w:val="both"/>
        <w:rPr>
          <w:sz w:val="21"/>
          <w:szCs w:val="21"/>
          <w:lang w:eastAsia="zh-CN"/>
        </w:rPr>
      </w:pPr>
      <w:r>
        <w:rPr>
          <w:rFonts w:eastAsia="Times New Roman"/>
          <w:sz w:val="21"/>
          <w:szCs w:val="21"/>
          <w:lang w:eastAsia="zh-CN"/>
        </w:rPr>
        <w:t> </w:t>
      </w:r>
    </w:p>
    <w:p w:rsidR="007F0DBC" w:rsidRPr="009A203C" w:rsidRDefault="00A44AA8">
      <w:pPr>
        <w:spacing w:line="360" w:lineRule="auto"/>
        <w:jc w:val="both"/>
        <w:rPr>
          <w:sz w:val="21"/>
          <w:szCs w:val="21"/>
          <w:lang w:eastAsia="zh-CN"/>
        </w:rPr>
      </w:pPr>
      <w:r>
        <w:rPr>
          <w:rFonts w:eastAsia="Times New Roman"/>
          <w:sz w:val="21"/>
          <w:szCs w:val="21"/>
          <w:lang w:eastAsia="zh-CN"/>
        </w:rPr>
        <w:t> </w:t>
      </w:r>
    </w:p>
    <w:p w:rsidR="007F0DBC" w:rsidRPr="009A203C" w:rsidRDefault="00A44AA8">
      <w:pPr>
        <w:spacing w:line="360" w:lineRule="auto"/>
        <w:jc w:val="right"/>
        <w:rPr>
          <w:sz w:val="21"/>
          <w:szCs w:val="21"/>
          <w:lang w:eastAsia="zh-CN"/>
        </w:rPr>
      </w:pPr>
      <w:r w:rsidRPr="009A203C">
        <w:rPr>
          <w:rFonts w:ascii="宋体" w:eastAsia="宋体" w:hAnsi="宋体" w:cs="宋体"/>
          <w:sz w:val="21"/>
          <w:szCs w:val="21"/>
          <w:lang w:eastAsia="zh-CN"/>
        </w:rPr>
        <w:t>鹏华基金管理有限公司</w:t>
      </w:r>
    </w:p>
    <w:p w:rsidR="007F0DBC" w:rsidRPr="009A203C" w:rsidRDefault="00A44AA8">
      <w:pPr>
        <w:spacing w:line="360" w:lineRule="auto"/>
        <w:jc w:val="right"/>
        <w:rPr>
          <w:sz w:val="21"/>
          <w:szCs w:val="21"/>
          <w:lang w:eastAsia="zh-CN"/>
        </w:rPr>
      </w:pPr>
      <w:r w:rsidRPr="009A203C">
        <w:rPr>
          <w:rFonts w:ascii="宋体" w:eastAsia="宋体" w:hAnsi="宋体" w:cs="宋体"/>
          <w:sz w:val="21"/>
          <w:szCs w:val="21"/>
          <w:lang w:eastAsia="zh-CN"/>
        </w:rPr>
        <w:t>2024年08月28日</w:t>
      </w:r>
    </w:p>
    <w:p w:rsidR="00A77B3E" w:rsidRDefault="00A77B3E">
      <w:pPr>
        <w:rPr>
          <w:lang w:eastAsia="zh-CN"/>
        </w:rPr>
      </w:pPr>
    </w:p>
    <w:sectPr w:rsidR="00A77B3E" w:rsidSect="00D87A74">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D6" w:rsidRDefault="00475AD6">
      <w:r>
        <w:separator/>
      </w:r>
    </w:p>
  </w:endnote>
  <w:endnote w:type="continuationSeparator" w:id="0">
    <w:p w:rsidR="00475AD6" w:rsidRDefault="0047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BC" w:rsidRDefault="00D87A74">
    <w:pPr>
      <w:jc w:val="center"/>
    </w:pPr>
    <w:r>
      <w:rPr>
        <w:rFonts w:ascii="宋体" w:eastAsia="宋体" w:hAnsi="宋体" w:cs="宋体"/>
        <w:sz w:val="18"/>
      </w:rPr>
      <w:fldChar w:fldCharType="begin"/>
    </w:r>
    <w:r w:rsidR="00A44AA8">
      <w:rPr>
        <w:rFonts w:ascii="宋体" w:eastAsia="宋体" w:hAnsi="宋体" w:cs="宋体"/>
        <w:sz w:val="18"/>
        <w:lang w:eastAsia="zh-CN"/>
      </w:rPr>
      <w:instrText xml:space="preserve"> PAGE </w:instrText>
    </w:r>
    <w:r>
      <w:rPr>
        <w:rFonts w:ascii="宋体" w:eastAsia="宋体" w:hAnsi="宋体" w:cs="宋体"/>
        <w:sz w:val="18"/>
      </w:rPr>
      <w:fldChar w:fldCharType="separate"/>
    </w:r>
    <w:r w:rsidR="001336A2">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D6" w:rsidRDefault="00475AD6">
      <w:r>
        <w:separator/>
      </w:r>
    </w:p>
  </w:footnote>
  <w:footnote w:type="continuationSeparator" w:id="0">
    <w:p w:rsidR="00475AD6" w:rsidRDefault="00475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F65BE"/>
    <w:rsid w:val="001336A2"/>
    <w:rsid w:val="001F1823"/>
    <w:rsid w:val="00225F81"/>
    <w:rsid w:val="0043251D"/>
    <w:rsid w:val="00475AD6"/>
    <w:rsid w:val="007F0DBC"/>
    <w:rsid w:val="00823E6C"/>
    <w:rsid w:val="008B0D76"/>
    <w:rsid w:val="0091428F"/>
    <w:rsid w:val="009A203C"/>
    <w:rsid w:val="009D7A0F"/>
    <w:rsid w:val="00A44AA8"/>
    <w:rsid w:val="00A77B3E"/>
    <w:rsid w:val="00CA2A55"/>
    <w:rsid w:val="00D87A74"/>
    <w:rsid w:val="00E819D3"/>
    <w:rsid w:val="00F04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0"/>
    <w:basedOn w:val="a"/>
    <w:rsid w:val="00D87A74"/>
  </w:style>
  <w:style w:type="paragraph" w:styleId="1">
    <w:name w:val="toc 1"/>
    <w:basedOn w:val="a"/>
    <w:next w:val="a"/>
    <w:autoRedefine/>
    <w:rsid w:val="00805BCE"/>
    <w:pPr>
      <w:spacing w:line="360" w:lineRule="auto"/>
    </w:pPr>
    <w:rPr>
      <w:rFonts w:ascii="宋体" w:eastAsia="宋体" w:hAnsi="宋体" w:cs="宋体"/>
      <w:b/>
      <w:sz w:val="21"/>
    </w:rPr>
  </w:style>
  <w:style w:type="paragraph" w:styleId="a3">
    <w:name w:val="header"/>
    <w:basedOn w:val="a"/>
    <w:link w:val="Char"/>
    <w:unhideWhenUsed/>
    <w:rsid w:val="00823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3E6C"/>
    <w:rPr>
      <w:sz w:val="18"/>
      <w:szCs w:val="18"/>
    </w:rPr>
  </w:style>
  <w:style w:type="paragraph" w:styleId="a4">
    <w:name w:val="footer"/>
    <w:basedOn w:val="a"/>
    <w:link w:val="Char0"/>
    <w:unhideWhenUsed/>
    <w:rsid w:val="00823E6C"/>
    <w:pPr>
      <w:tabs>
        <w:tab w:val="center" w:pos="4153"/>
        <w:tab w:val="right" w:pos="8306"/>
      </w:tabs>
      <w:snapToGrid w:val="0"/>
    </w:pPr>
    <w:rPr>
      <w:sz w:val="18"/>
      <w:szCs w:val="18"/>
    </w:rPr>
  </w:style>
  <w:style w:type="character" w:customStyle="1" w:styleId="Char0">
    <w:name w:val="页脚 Char"/>
    <w:basedOn w:val="a0"/>
    <w:link w:val="a4"/>
    <w:rsid w:val="00823E6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缪莉芳</dc:creator>
  <cp:lastModifiedBy>ZHONGM</cp:lastModifiedBy>
  <cp:revision>2</cp:revision>
  <cp:lastPrinted>2024-08-27T07:37:00Z</cp:lastPrinted>
  <dcterms:created xsi:type="dcterms:W3CDTF">2024-08-27T16:03:00Z</dcterms:created>
  <dcterms:modified xsi:type="dcterms:W3CDTF">2024-08-27T16:03:00Z</dcterms:modified>
</cp:coreProperties>
</file>