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9C051F">
      <w:pPr>
        <w:spacing w:line="360" w:lineRule="auto"/>
        <w:jc w:val="center"/>
        <w:outlineLvl w:val="0"/>
        <w:rPr>
          <w:rFonts w:ascii="Times New Roman" w:eastAsia="宋体" w:hAnsi="Times New Roman" w:cs="Times New Roman"/>
          <w:b/>
          <w:bCs/>
          <w:color w:val="000000"/>
          <w:sz w:val="36"/>
          <w:szCs w:val="36"/>
        </w:rPr>
      </w:pPr>
      <w:r>
        <w:rPr>
          <w:rFonts w:ascii="Times New Roman" w:eastAsia="宋体" w:hAnsi="Times New Roman" w:cs="Times New Roman" w:hint="eastAsia"/>
          <w:b/>
          <w:bCs/>
          <w:color w:val="000000"/>
          <w:sz w:val="36"/>
          <w:szCs w:val="36"/>
        </w:rPr>
        <w:t>山西证券裕桓一年持有期混合型发起式</w:t>
      </w:r>
    </w:p>
    <w:p w:rsidR="001F4BA9" w:rsidRDefault="009C051F">
      <w:pPr>
        <w:spacing w:line="360" w:lineRule="auto"/>
        <w:jc w:val="center"/>
        <w:outlineLvl w:val="0"/>
        <w:rPr>
          <w:rFonts w:ascii="Times New Roman" w:eastAsia="宋体" w:hAnsi="Times New Roman" w:cs="Times New Roman"/>
          <w:b/>
          <w:bCs/>
          <w:color w:val="000000"/>
          <w:sz w:val="36"/>
          <w:szCs w:val="36"/>
        </w:rPr>
      </w:pPr>
      <w:r>
        <w:rPr>
          <w:rFonts w:ascii="Times New Roman" w:eastAsia="宋体" w:hAnsi="Times New Roman" w:cs="Times New Roman" w:hint="eastAsia"/>
          <w:b/>
          <w:bCs/>
          <w:color w:val="000000"/>
          <w:sz w:val="36"/>
          <w:szCs w:val="36"/>
        </w:rPr>
        <w:t>证券投资基金清算报告</w:t>
      </w: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1F4BA9">
      <w:pPr>
        <w:spacing w:line="360" w:lineRule="auto"/>
        <w:jc w:val="center"/>
        <w:outlineLvl w:val="0"/>
        <w:rPr>
          <w:rFonts w:ascii="Times New Roman" w:eastAsia="宋体" w:hAnsi="Times New Roman" w:cs="Times New Roman"/>
          <w:b/>
          <w:bCs/>
          <w:color w:val="000000"/>
          <w:sz w:val="36"/>
          <w:szCs w:val="36"/>
        </w:rPr>
      </w:pPr>
    </w:p>
    <w:p w:rsidR="001F4BA9" w:rsidRDefault="009C051F">
      <w:pPr>
        <w:spacing w:line="360" w:lineRule="auto"/>
        <w:ind w:firstLineChars="900" w:firstLine="2168"/>
        <w:rPr>
          <w:b/>
          <w:sz w:val="24"/>
        </w:rPr>
      </w:pPr>
      <w:r>
        <w:rPr>
          <w:rFonts w:hint="eastAsia"/>
          <w:b/>
          <w:sz w:val="24"/>
        </w:rPr>
        <w:t>基金管理人：山西证券股份有限公司</w:t>
      </w:r>
    </w:p>
    <w:p w:rsidR="001F4BA9" w:rsidRDefault="009C051F">
      <w:pPr>
        <w:spacing w:line="360" w:lineRule="auto"/>
        <w:ind w:firstLineChars="900" w:firstLine="2168"/>
        <w:rPr>
          <w:b/>
          <w:sz w:val="24"/>
        </w:rPr>
      </w:pPr>
      <w:r>
        <w:rPr>
          <w:rFonts w:hint="eastAsia"/>
          <w:b/>
          <w:sz w:val="24"/>
        </w:rPr>
        <w:t>基金托管人：中国民生银行股份有限公司</w:t>
      </w:r>
    </w:p>
    <w:p w:rsidR="001F4BA9" w:rsidRDefault="009C051F">
      <w:pPr>
        <w:spacing w:line="360" w:lineRule="auto"/>
        <w:ind w:firstLineChars="900" w:firstLine="2168"/>
        <w:rPr>
          <w:b/>
          <w:sz w:val="24"/>
        </w:rPr>
      </w:pPr>
      <w:r>
        <w:rPr>
          <w:rFonts w:ascii="宋体" w:cs="宋体" w:hint="eastAsia"/>
          <w:b/>
          <w:color w:val="000000"/>
          <w:kern w:val="0"/>
          <w:sz w:val="24"/>
        </w:rPr>
        <w:t>清算报告公告日期：</w:t>
      </w:r>
      <w:r>
        <w:rPr>
          <w:rFonts w:hint="eastAsia"/>
          <w:b/>
          <w:sz w:val="24"/>
        </w:rPr>
        <w:t>2024</w:t>
      </w:r>
      <w:r>
        <w:rPr>
          <w:rFonts w:hint="eastAsia"/>
          <w:b/>
          <w:sz w:val="24"/>
        </w:rPr>
        <w:t>年</w:t>
      </w:r>
      <w:r>
        <w:rPr>
          <w:rFonts w:hint="eastAsia"/>
          <w:b/>
          <w:sz w:val="24"/>
        </w:rPr>
        <w:t>8</w:t>
      </w:r>
      <w:r>
        <w:rPr>
          <w:rFonts w:hint="eastAsia"/>
          <w:b/>
          <w:sz w:val="24"/>
        </w:rPr>
        <w:t>月</w:t>
      </w:r>
      <w:r>
        <w:rPr>
          <w:rFonts w:hint="eastAsia"/>
          <w:b/>
          <w:sz w:val="24"/>
        </w:rPr>
        <w:t>27</w:t>
      </w:r>
      <w:r>
        <w:rPr>
          <w:rFonts w:hint="eastAsia"/>
          <w:b/>
          <w:sz w:val="24"/>
        </w:rPr>
        <w:t>日</w:t>
      </w:r>
    </w:p>
    <w:p w:rsidR="001F4BA9" w:rsidRDefault="001F4BA9">
      <w:pPr>
        <w:widowControl/>
        <w:shd w:val="clear" w:color="auto" w:fill="FFFFFF"/>
        <w:spacing w:before="240" w:after="240"/>
        <w:jc w:val="center"/>
        <w:outlineLvl w:val="2"/>
        <w:rPr>
          <w:rFonts w:ascii="微软雅黑" w:eastAsia="微软雅黑" w:hAnsi="微软雅黑" w:cs="宋体"/>
          <w:b/>
          <w:bCs/>
          <w:color w:val="333333"/>
          <w:kern w:val="0"/>
          <w:sz w:val="30"/>
          <w:szCs w:val="30"/>
        </w:rPr>
      </w:pPr>
    </w:p>
    <w:p w:rsidR="001F4BA9" w:rsidRDefault="001F4BA9">
      <w:pPr>
        <w:widowControl/>
        <w:shd w:val="clear" w:color="auto" w:fill="FFFFFF"/>
        <w:spacing w:before="240" w:after="240"/>
        <w:jc w:val="center"/>
        <w:outlineLvl w:val="2"/>
        <w:rPr>
          <w:rFonts w:ascii="微软雅黑" w:eastAsia="微软雅黑" w:hAnsi="微软雅黑" w:cs="宋体"/>
          <w:b/>
          <w:bCs/>
          <w:color w:val="333333"/>
          <w:kern w:val="0"/>
          <w:sz w:val="30"/>
          <w:szCs w:val="30"/>
        </w:rPr>
      </w:pPr>
    </w:p>
    <w:p w:rsidR="001F4BA9" w:rsidRDefault="009C051F">
      <w:pPr>
        <w:widowControl/>
        <w:shd w:val="clear" w:color="auto" w:fill="FFFFFF"/>
        <w:spacing w:before="240" w:after="240"/>
        <w:jc w:val="center"/>
        <w:outlineLvl w:val="2"/>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lastRenderedPageBreak/>
        <w:t>一、重要提示</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宋体"/>
          <w:sz w:val="24"/>
          <w:szCs w:val="24"/>
        </w:rPr>
        <w:t>山西证券裕桓一年持有期混合型发起式证券投资基金</w:t>
      </w:r>
      <w:r>
        <w:rPr>
          <w:rFonts w:ascii="宋体" w:eastAsia="宋体" w:hAnsi="宋体" w:cs="Times New Roman" w:hint="eastAsia"/>
          <w:bCs/>
          <w:color w:val="000000"/>
          <w:sz w:val="24"/>
          <w:szCs w:val="24"/>
        </w:rPr>
        <w:t>（以下简称</w:t>
      </w:r>
      <w:r>
        <w:rPr>
          <w:rFonts w:ascii="宋体" w:eastAsia="宋体" w:hAnsi="宋体" w:cs="Times New Roman" w:hint="eastAsia"/>
          <w:bCs/>
          <w:color w:val="000000"/>
          <w:sz w:val="24"/>
          <w:szCs w:val="24"/>
        </w:rPr>
        <w:t>“本基金”</w:t>
      </w:r>
      <w:r>
        <w:rPr>
          <w:rFonts w:ascii="宋体" w:eastAsia="宋体" w:hAnsi="宋体" w:cs="Times New Roman" w:hint="eastAsia"/>
          <w:bCs/>
          <w:color w:val="000000"/>
          <w:sz w:val="24"/>
          <w:szCs w:val="24"/>
        </w:rPr>
        <w:t>）</w:t>
      </w:r>
      <w:r>
        <w:rPr>
          <w:rFonts w:ascii="宋体" w:eastAsia="宋体" w:hAnsi="宋体" w:cs="宋体"/>
          <w:sz w:val="24"/>
          <w:szCs w:val="24"/>
        </w:rPr>
        <w:t>由山西证券裕盛一年定期开放灵活配置混合型发起式证券投资基金变更而来。山西证券裕盛一年定期开放灵活配置混合型发起式证券投资基金由山西证券股份有限公司依照有关法律法规及约定发起，经中国证券监督管理委员会</w:t>
      </w:r>
      <w:r>
        <w:rPr>
          <w:rFonts w:ascii="宋体" w:eastAsia="宋体" w:hAnsi="宋体" w:cs="宋体"/>
          <w:sz w:val="24"/>
          <w:szCs w:val="24"/>
        </w:rPr>
        <w:t>2019</w:t>
      </w:r>
      <w:r>
        <w:rPr>
          <w:rFonts w:ascii="宋体" w:eastAsia="宋体" w:hAnsi="宋体" w:cs="宋体"/>
          <w:sz w:val="24"/>
          <w:szCs w:val="24"/>
        </w:rPr>
        <w:t>年</w:t>
      </w:r>
      <w:r>
        <w:rPr>
          <w:rFonts w:ascii="宋体" w:eastAsia="宋体" w:hAnsi="宋体" w:cs="宋体"/>
          <w:sz w:val="24"/>
          <w:szCs w:val="24"/>
        </w:rPr>
        <w:t>12</w:t>
      </w:r>
      <w:r>
        <w:rPr>
          <w:rFonts w:ascii="宋体" w:eastAsia="宋体" w:hAnsi="宋体" w:cs="宋体"/>
          <w:sz w:val="24"/>
          <w:szCs w:val="24"/>
        </w:rPr>
        <w:t>月</w:t>
      </w:r>
      <w:r>
        <w:rPr>
          <w:rFonts w:ascii="宋体" w:eastAsia="宋体" w:hAnsi="宋体" w:cs="宋体"/>
          <w:sz w:val="24"/>
          <w:szCs w:val="24"/>
        </w:rPr>
        <w:t>2</w:t>
      </w:r>
      <w:r>
        <w:rPr>
          <w:rFonts w:ascii="宋体" w:eastAsia="宋体" w:hAnsi="宋体" w:cs="宋体"/>
          <w:sz w:val="24"/>
          <w:szCs w:val="24"/>
        </w:rPr>
        <w:t>日证监许可</w:t>
      </w:r>
      <w:r>
        <w:rPr>
          <w:rFonts w:ascii="宋体" w:eastAsia="宋体" w:hAnsi="宋体" w:cs="宋体"/>
          <w:sz w:val="24"/>
          <w:szCs w:val="24"/>
        </w:rPr>
        <w:t>[2019]2634</w:t>
      </w:r>
      <w:r>
        <w:rPr>
          <w:rFonts w:ascii="宋体" w:eastAsia="宋体" w:hAnsi="宋体" w:cs="宋体"/>
          <w:sz w:val="24"/>
          <w:szCs w:val="24"/>
        </w:rPr>
        <w:t>号文准予注册，并经中国证券监督管理委员会</w:t>
      </w:r>
      <w:r>
        <w:rPr>
          <w:rFonts w:ascii="宋体" w:eastAsia="宋体" w:hAnsi="宋体" w:cs="宋体"/>
          <w:sz w:val="24"/>
          <w:szCs w:val="24"/>
        </w:rPr>
        <w:t>2022</w:t>
      </w:r>
      <w:r>
        <w:rPr>
          <w:rFonts w:ascii="宋体" w:eastAsia="宋体" w:hAnsi="宋体" w:cs="宋体"/>
          <w:sz w:val="24"/>
          <w:szCs w:val="24"/>
        </w:rPr>
        <w:t>年</w:t>
      </w:r>
      <w:r>
        <w:rPr>
          <w:rFonts w:ascii="宋体" w:eastAsia="宋体" w:hAnsi="宋体" w:cs="宋体"/>
          <w:sz w:val="24"/>
          <w:szCs w:val="24"/>
        </w:rPr>
        <w:t>5</w:t>
      </w:r>
      <w:r>
        <w:rPr>
          <w:rFonts w:ascii="宋体" w:eastAsia="宋体" w:hAnsi="宋体" w:cs="宋体"/>
          <w:sz w:val="24"/>
          <w:szCs w:val="24"/>
        </w:rPr>
        <w:t>月</w:t>
      </w:r>
      <w:r>
        <w:rPr>
          <w:rFonts w:ascii="宋体" w:eastAsia="宋体" w:hAnsi="宋体" w:cs="宋体"/>
          <w:sz w:val="24"/>
          <w:szCs w:val="24"/>
        </w:rPr>
        <w:t>20</w:t>
      </w:r>
      <w:r>
        <w:rPr>
          <w:rFonts w:ascii="宋体" w:eastAsia="宋体" w:hAnsi="宋体" w:cs="宋体"/>
          <w:sz w:val="24"/>
          <w:szCs w:val="24"/>
        </w:rPr>
        <w:t>日证监许可</w:t>
      </w:r>
      <w:r>
        <w:rPr>
          <w:rFonts w:ascii="宋体" w:eastAsia="宋体" w:hAnsi="宋体" w:cs="宋体"/>
          <w:sz w:val="24"/>
          <w:szCs w:val="24"/>
        </w:rPr>
        <w:t>[2022]1052</w:t>
      </w:r>
      <w:r>
        <w:rPr>
          <w:rFonts w:ascii="宋体" w:eastAsia="宋体" w:hAnsi="宋体" w:cs="宋体"/>
          <w:sz w:val="24"/>
          <w:szCs w:val="24"/>
        </w:rPr>
        <w:t>号文准予变更注册</w:t>
      </w:r>
      <w:r>
        <w:rPr>
          <w:rFonts w:ascii="宋体" w:eastAsia="宋体" w:hAnsi="宋体" w:cs="宋体" w:hint="eastAsia"/>
          <w:sz w:val="24"/>
          <w:szCs w:val="24"/>
        </w:rPr>
        <w:t>。《</w:t>
      </w:r>
      <w:r>
        <w:rPr>
          <w:rFonts w:ascii="宋体" w:eastAsia="宋体" w:hAnsi="宋体" w:cs="宋体"/>
          <w:sz w:val="24"/>
          <w:szCs w:val="24"/>
        </w:rPr>
        <w:t>山西证券裕桓一年持有期混合型发起式证券投资基金</w:t>
      </w:r>
      <w:r>
        <w:rPr>
          <w:rFonts w:ascii="宋体" w:eastAsia="宋体" w:hAnsi="宋体" w:cs="宋体" w:hint="eastAsia"/>
          <w:sz w:val="24"/>
          <w:szCs w:val="24"/>
        </w:rPr>
        <w:t>基金合同</w:t>
      </w:r>
      <w:r>
        <w:rPr>
          <w:rFonts w:ascii="宋体" w:eastAsia="宋体" w:hAnsi="宋体" w:cs="宋体" w:hint="eastAsia"/>
          <w:sz w:val="24"/>
          <w:szCs w:val="24"/>
        </w:rPr>
        <w:t>》</w:t>
      </w:r>
      <w:r>
        <w:rPr>
          <w:rFonts w:ascii="宋体" w:eastAsia="宋体" w:hAnsi="宋体" w:cs="Times New Roman" w:hint="eastAsia"/>
          <w:bCs/>
          <w:color w:val="000000"/>
          <w:sz w:val="24"/>
          <w:szCs w:val="24"/>
        </w:rPr>
        <w:t>（以下简称“基金</w:t>
      </w:r>
      <w:r>
        <w:rPr>
          <w:rFonts w:ascii="宋体" w:eastAsia="宋体" w:hAnsi="宋体" w:cs="Times New Roman" w:hint="eastAsia"/>
          <w:bCs/>
          <w:color w:val="000000"/>
          <w:sz w:val="24"/>
          <w:szCs w:val="24"/>
        </w:rPr>
        <w:t>合同</w:t>
      </w:r>
      <w:r>
        <w:rPr>
          <w:rFonts w:ascii="宋体" w:eastAsia="宋体" w:hAnsi="宋体" w:cs="Times New Roman" w:hint="eastAsia"/>
          <w:bCs/>
          <w:color w:val="000000"/>
          <w:sz w:val="24"/>
          <w:szCs w:val="24"/>
        </w:rPr>
        <w:t>”）于</w:t>
      </w:r>
      <w:r>
        <w:rPr>
          <w:rFonts w:ascii="宋体" w:eastAsia="宋体" w:hAnsi="宋体" w:cs="Times New Roman" w:hint="eastAsia"/>
          <w:bCs/>
          <w:color w:val="000000"/>
          <w:sz w:val="24"/>
          <w:szCs w:val="24"/>
        </w:rPr>
        <w:t>2022</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24</w:t>
      </w:r>
      <w:r>
        <w:rPr>
          <w:rFonts w:ascii="宋体" w:eastAsia="宋体" w:hAnsi="宋体" w:cs="Times New Roman" w:hint="eastAsia"/>
          <w:bCs/>
          <w:color w:val="000000"/>
          <w:sz w:val="24"/>
          <w:szCs w:val="24"/>
        </w:rPr>
        <w:t>日起正式生效</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本基金的基金管理人</w:t>
      </w:r>
      <w:r>
        <w:rPr>
          <w:rFonts w:ascii="宋体" w:eastAsia="宋体" w:hAnsi="宋体" w:cs="Times New Roman" w:hint="eastAsia"/>
          <w:bCs/>
          <w:color w:val="000000"/>
          <w:sz w:val="24"/>
          <w:szCs w:val="24"/>
        </w:rPr>
        <w:t>为山西证券股份</w:t>
      </w:r>
      <w:r>
        <w:rPr>
          <w:rFonts w:ascii="宋体" w:eastAsia="宋体" w:hAnsi="宋体" w:cs="Times New Roman"/>
          <w:bCs/>
          <w:color w:val="000000"/>
          <w:sz w:val="24"/>
          <w:szCs w:val="24"/>
        </w:rPr>
        <w:t>有限公司</w:t>
      </w:r>
      <w:r>
        <w:rPr>
          <w:rFonts w:ascii="宋体" w:eastAsia="宋体" w:hAnsi="宋体" w:cs="Times New Roman" w:hint="eastAsia"/>
          <w:bCs/>
          <w:color w:val="000000"/>
          <w:sz w:val="24"/>
          <w:szCs w:val="24"/>
        </w:rPr>
        <w:t>（以</w:t>
      </w:r>
      <w:r>
        <w:rPr>
          <w:rFonts w:ascii="宋体" w:eastAsia="宋体" w:hAnsi="宋体" w:cs="Times New Roman" w:hint="eastAsia"/>
          <w:bCs/>
          <w:color w:val="000000"/>
          <w:sz w:val="24"/>
          <w:szCs w:val="24"/>
        </w:rPr>
        <w:t>下简称“基金管理人”），</w:t>
      </w:r>
      <w:r>
        <w:rPr>
          <w:rFonts w:ascii="宋体" w:eastAsia="宋体" w:hAnsi="宋体" w:cs="Times New Roman"/>
          <w:bCs/>
          <w:color w:val="000000"/>
          <w:sz w:val="24"/>
          <w:szCs w:val="24"/>
        </w:rPr>
        <w:t>基金托管人为</w:t>
      </w:r>
      <w:r>
        <w:rPr>
          <w:rFonts w:ascii="宋体" w:eastAsia="宋体" w:hAnsi="宋体" w:cs="Times New Roman" w:hint="eastAsia"/>
          <w:bCs/>
          <w:color w:val="000000"/>
          <w:sz w:val="24"/>
          <w:szCs w:val="24"/>
        </w:rPr>
        <w:t>中国民生银行股份有限公司（以下简称“基金托管人”）</w:t>
      </w:r>
      <w:r>
        <w:rPr>
          <w:rFonts w:ascii="宋体" w:eastAsia="宋体" w:hAnsi="宋体" w:cs="Times New Roman"/>
          <w:bCs/>
          <w:color w:val="000000"/>
          <w:sz w:val="24"/>
          <w:szCs w:val="24"/>
        </w:rPr>
        <w:t>。</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根据《中华人民共和国证券投资基金法》、《公开募集证券投资基金运作管理办法》等法律法规的规定和《基金合同》的有关约定，基金管理人于</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6</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27</w:t>
      </w:r>
      <w:r>
        <w:rPr>
          <w:rFonts w:ascii="宋体" w:eastAsia="宋体" w:hAnsi="宋体" w:cs="Times New Roman" w:hint="eastAsia"/>
          <w:bCs/>
          <w:color w:val="000000"/>
          <w:sz w:val="24"/>
          <w:szCs w:val="24"/>
        </w:rPr>
        <w:t>日发布《关于以通讯方式召开</w:t>
      </w:r>
      <w:r>
        <w:rPr>
          <w:rFonts w:ascii="宋体" w:eastAsia="宋体" w:hAnsi="宋体" w:cs="宋体"/>
          <w:sz w:val="24"/>
          <w:szCs w:val="24"/>
        </w:rPr>
        <w:t>山西证券裕桓一年持有期混合型发起式证券投资基金</w:t>
      </w:r>
      <w:r>
        <w:rPr>
          <w:rFonts w:ascii="宋体" w:eastAsia="宋体" w:hAnsi="宋体" w:cs="Times New Roman" w:hint="eastAsia"/>
          <w:bCs/>
          <w:color w:val="000000"/>
          <w:sz w:val="24"/>
          <w:szCs w:val="24"/>
        </w:rPr>
        <w:t>基金份额持有人大会的公告》，审议《</w:t>
      </w:r>
      <w:r>
        <w:rPr>
          <w:rFonts w:ascii="宋体" w:eastAsia="宋体" w:hAnsi="宋体" w:cs="宋体"/>
          <w:sz w:val="24"/>
          <w:szCs w:val="24"/>
        </w:rPr>
        <w:t>关于终止山西证券裕桓一年持有期混合型发起式证券投资基金基金合同有关事项的议案</w:t>
      </w:r>
      <w:r>
        <w:rPr>
          <w:rFonts w:ascii="宋体" w:eastAsia="宋体" w:hAnsi="宋体" w:cs="Times New Roman" w:hint="eastAsia"/>
          <w:bCs/>
          <w:color w:val="000000"/>
          <w:sz w:val="24"/>
          <w:szCs w:val="24"/>
        </w:rPr>
        <w:t>》。本次基金份额持有人大会于</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1</w:t>
      </w:r>
      <w:r>
        <w:rPr>
          <w:rFonts w:ascii="宋体" w:eastAsia="宋体" w:hAnsi="宋体" w:cs="Times New Roman" w:hint="eastAsia"/>
          <w:bCs/>
          <w:color w:val="000000"/>
          <w:sz w:val="24"/>
          <w:szCs w:val="24"/>
        </w:rPr>
        <w:t>日计票表决通过了《</w:t>
      </w:r>
      <w:r>
        <w:rPr>
          <w:rFonts w:ascii="宋体" w:eastAsia="宋体" w:hAnsi="宋体" w:cs="宋体"/>
          <w:sz w:val="24"/>
          <w:szCs w:val="24"/>
        </w:rPr>
        <w:t>关于终止山西证券裕桓一年持有期混</w:t>
      </w:r>
      <w:r>
        <w:rPr>
          <w:rFonts w:ascii="宋体" w:eastAsia="宋体" w:hAnsi="宋体" w:cs="宋体"/>
          <w:sz w:val="24"/>
          <w:szCs w:val="24"/>
        </w:rPr>
        <w:t>合型发起式证券投资基金基金合同有关事项的议案</w:t>
      </w:r>
      <w:r>
        <w:rPr>
          <w:rFonts w:ascii="宋体" w:eastAsia="宋体" w:hAnsi="宋体" w:cs="Times New Roman" w:hint="eastAsia"/>
          <w:bCs/>
          <w:color w:val="000000"/>
          <w:sz w:val="24"/>
          <w:szCs w:val="24"/>
        </w:rPr>
        <w:t>》，决议自该日起生效。基金管理人按照《基金合同》约定，组织成立基金财产清算小组履行基金财产清算程序。本基金的最后运作日定为</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日，并于</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9</w:t>
      </w:r>
      <w:r>
        <w:rPr>
          <w:rFonts w:ascii="宋体" w:eastAsia="宋体" w:hAnsi="宋体" w:cs="Times New Roman" w:hint="eastAsia"/>
          <w:bCs/>
          <w:color w:val="000000"/>
          <w:sz w:val="24"/>
          <w:szCs w:val="24"/>
        </w:rPr>
        <w:t>日进入清算程序。</w:t>
      </w:r>
    </w:p>
    <w:p w:rsidR="001F4BA9" w:rsidRDefault="009C051F">
      <w:pPr>
        <w:spacing w:before="100" w:line="360" w:lineRule="auto"/>
        <w:ind w:firstLineChars="200" w:firstLine="480"/>
        <w:rPr>
          <w:rFonts w:ascii="微软雅黑" w:eastAsia="微软雅黑" w:hAnsi="微软雅黑" w:cs="宋体"/>
          <w:b/>
          <w:bCs/>
          <w:color w:val="333333"/>
          <w:kern w:val="0"/>
          <w:sz w:val="30"/>
          <w:szCs w:val="30"/>
        </w:rPr>
      </w:pPr>
      <w:r>
        <w:rPr>
          <w:rFonts w:ascii="宋体" w:eastAsia="宋体" w:hAnsi="宋体" w:cs="Times New Roman"/>
          <w:bCs/>
          <w:color w:val="000000"/>
          <w:sz w:val="24"/>
          <w:szCs w:val="24"/>
        </w:rPr>
        <w:t>本基金基金财产清算小组由基金管理人</w:t>
      </w:r>
      <w:r>
        <w:rPr>
          <w:rFonts w:ascii="宋体" w:eastAsia="宋体" w:hAnsi="宋体" w:cs="Times New Roman" w:hint="eastAsia"/>
          <w:bCs/>
          <w:color w:val="000000"/>
          <w:sz w:val="24"/>
          <w:szCs w:val="24"/>
        </w:rPr>
        <w:t>山西证券股份有限公司</w:t>
      </w:r>
      <w:r>
        <w:rPr>
          <w:rFonts w:ascii="宋体" w:eastAsia="宋体" w:hAnsi="宋体" w:cs="Times New Roman"/>
          <w:bCs/>
          <w:color w:val="000000"/>
          <w:sz w:val="24"/>
          <w:szCs w:val="24"/>
        </w:rPr>
        <w:t>、基金托管人</w:t>
      </w:r>
      <w:r>
        <w:rPr>
          <w:rFonts w:ascii="宋体" w:eastAsia="宋体" w:hAnsi="宋体" w:cs="Times New Roman" w:hint="eastAsia"/>
          <w:bCs/>
          <w:color w:val="000000"/>
          <w:sz w:val="24"/>
          <w:szCs w:val="24"/>
        </w:rPr>
        <w:t>中国民生银行股份有限公司</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中喜会计师事务所（特殊普通合伙）</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上海源泰律师事务所</w:t>
      </w:r>
      <w:r>
        <w:rPr>
          <w:rFonts w:ascii="宋体" w:eastAsia="宋体" w:hAnsi="宋体" w:cs="Times New Roman"/>
          <w:bCs/>
          <w:color w:val="000000"/>
          <w:sz w:val="24"/>
          <w:szCs w:val="24"/>
        </w:rPr>
        <w:t>组成</w:t>
      </w:r>
      <w:r>
        <w:rPr>
          <w:rFonts w:ascii="宋体" w:eastAsia="宋体" w:hAnsi="宋体" w:cs="Times New Roman" w:hint="eastAsia"/>
          <w:bCs/>
          <w:color w:val="000000"/>
          <w:sz w:val="24"/>
          <w:szCs w:val="24"/>
        </w:rPr>
        <w:t>，并由中喜会计师事务所（特殊普通合伙）对清算报告进行审计，上海源泰律师事务所对清算报告出具法律意见。</w:t>
      </w:r>
    </w:p>
    <w:p w:rsidR="001F4BA9" w:rsidRDefault="001F4BA9">
      <w:pPr>
        <w:widowControl/>
        <w:shd w:val="clear" w:color="auto" w:fill="FFFFFF"/>
        <w:spacing w:before="240" w:after="240"/>
        <w:jc w:val="center"/>
        <w:outlineLvl w:val="2"/>
        <w:rPr>
          <w:rFonts w:ascii="微软雅黑" w:eastAsia="微软雅黑" w:hAnsi="微软雅黑" w:cs="宋体"/>
          <w:b/>
          <w:bCs/>
          <w:color w:val="333333"/>
          <w:kern w:val="0"/>
          <w:sz w:val="30"/>
          <w:szCs w:val="30"/>
        </w:rPr>
      </w:pPr>
    </w:p>
    <w:p w:rsidR="001F4BA9" w:rsidRDefault="009C051F">
      <w:pPr>
        <w:widowControl/>
        <w:shd w:val="clear" w:color="auto" w:fill="FFFFFF"/>
        <w:spacing w:before="240" w:after="240"/>
        <w:jc w:val="center"/>
        <w:outlineLvl w:val="2"/>
        <w:rPr>
          <w:rFonts w:ascii="宋体" w:hAnsi="宋体" w:cs="宋体"/>
          <w:kern w:val="0"/>
          <w:sz w:val="24"/>
          <w:szCs w:val="24"/>
        </w:rPr>
      </w:pPr>
      <w:r>
        <w:rPr>
          <w:rFonts w:ascii="微软雅黑" w:eastAsia="微软雅黑" w:hAnsi="微软雅黑" w:cs="宋体" w:hint="eastAsia"/>
          <w:b/>
          <w:bCs/>
          <w:color w:val="333333"/>
          <w:kern w:val="0"/>
          <w:sz w:val="30"/>
          <w:szCs w:val="30"/>
        </w:rPr>
        <w:lastRenderedPageBreak/>
        <w:t>二、基金概况</w:t>
      </w:r>
    </w:p>
    <w:tbl>
      <w:tblPr>
        <w:tblW w:w="0" w:type="auto"/>
        <w:tblInd w:w="108" w:type="dxa"/>
        <w:tblLook w:val="04A0"/>
      </w:tblPr>
      <w:tblGrid>
        <w:gridCol w:w="2421"/>
        <w:gridCol w:w="5993"/>
      </w:tblGrid>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t>基金名称</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cs="Times New Roman" w:hint="eastAsia"/>
                <w:bCs/>
                <w:color w:val="000000"/>
              </w:rPr>
              <w:t>山西证券裕桓一年持有期混合型发起式证券投资基金</w:t>
            </w:r>
          </w:p>
        </w:tc>
      </w:tr>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基金简称</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Ansi="Calibri" w:hint="eastAsia"/>
                <w:color w:val="000000"/>
              </w:rPr>
              <w:t>山西证券裕桓一年持有</w:t>
            </w:r>
          </w:p>
        </w:tc>
      </w:tr>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基金主代码</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009595</w:t>
            </w:r>
          </w:p>
        </w:tc>
      </w:tr>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基金运作方式</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契约型开放式</w:t>
            </w:r>
          </w:p>
        </w:tc>
      </w:tr>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基金合同生效日</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Ansi="Calibri" w:hint="eastAsia"/>
                <w:color w:val="000000"/>
              </w:rPr>
              <w:t>2022</w:t>
            </w:r>
            <w:r>
              <w:rPr>
                <w:rFonts w:hAnsi="Calibri" w:hint="eastAsia"/>
                <w:color w:val="000000"/>
              </w:rPr>
              <w:t>年</w:t>
            </w:r>
            <w:r>
              <w:rPr>
                <w:rFonts w:hAnsi="Calibri" w:hint="eastAsia"/>
                <w:color w:val="000000"/>
              </w:rPr>
              <w:t>08</w:t>
            </w:r>
            <w:r>
              <w:rPr>
                <w:rFonts w:hAnsi="Calibri" w:hint="eastAsia"/>
                <w:color w:val="000000"/>
              </w:rPr>
              <w:t>月</w:t>
            </w:r>
            <w:r>
              <w:rPr>
                <w:rFonts w:hAnsi="Calibri" w:hint="eastAsia"/>
                <w:color w:val="000000"/>
              </w:rPr>
              <w:t>24</w:t>
            </w:r>
            <w:r>
              <w:rPr>
                <w:rFonts w:hAnsi="Calibri" w:hint="eastAsia"/>
                <w:color w:val="000000"/>
              </w:rPr>
              <w:t>日</w:t>
            </w:r>
          </w:p>
        </w:tc>
      </w:tr>
      <w:tr w:rsidR="001F4BA9">
        <w:tc>
          <w:tcPr>
            <w:tcW w:w="2421"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基金管理人</w:t>
            </w:r>
          </w:p>
        </w:tc>
        <w:tc>
          <w:tcPr>
            <w:tcW w:w="5993" w:type="dxa"/>
            <w:tcBorders>
              <w:top w:val="single" w:sz="8" w:space="0" w:color="000000"/>
              <w:left w:val="single" w:sz="8" w:space="0" w:color="000000"/>
              <w:bottom w:val="single" w:sz="6" w:space="0" w:color="000000"/>
              <w:right w:val="single" w:sz="8" w:space="0" w:color="000000"/>
            </w:tcBorders>
            <w:vAlign w:val="center"/>
          </w:tcPr>
          <w:p w:rsidR="001F4BA9" w:rsidRDefault="009C051F">
            <w:pPr>
              <w:pStyle w:val="biaogeleft"/>
              <w:wordWrap w:val="0"/>
            </w:pPr>
            <w:r>
              <w:rPr>
                <w:rFonts w:hint="eastAsia"/>
              </w:rPr>
              <w:t>山西证券股份有限公司</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int="eastAsia"/>
              </w:rPr>
              <w:t>基金托管人</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int="eastAsia"/>
              </w:rPr>
              <w:t>中国民生银行股份有限公司</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widowControl/>
              <w:jc w:val="left"/>
              <w:rPr>
                <w:sz w:val="24"/>
                <w:szCs w:val="24"/>
              </w:rPr>
            </w:pPr>
            <w:r>
              <w:rPr>
                <w:rFonts w:ascii="宋体" w:eastAsia="宋体" w:hAnsi="宋体" w:cs="宋体" w:hint="eastAsia"/>
                <w:color w:val="000000"/>
                <w:kern w:val="0"/>
                <w:sz w:val="24"/>
                <w:szCs w:val="24"/>
                <w:lang/>
              </w:rPr>
              <w:t>最后运作日基金份额总额</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t>11,647,065.69</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t>基金合同存续期</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int="eastAsia"/>
              </w:rPr>
              <w:t>不定期</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Ansi="Calibri" w:hint="eastAsia"/>
                <w:color w:val="000000"/>
              </w:rPr>
              <w:t>投资目标</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wenzishuom"/>
              <w:wordWrap w:val="0"/>
              <w:spacing w:before="0"/>
              <w:ind w:left="0" w:firstLine="432"/>
              <w:rPr>
                <w:rFonts w:hAnsi="Calibri"/>
                <w:color w:val="000000"/>
                <w:sz w:val="24"/>
                <w:szCs w:val="24"/>
              </w:rPr>
            </w:pPr>
            <w:r>
              <w:rPr>
                <w:rFonts w:hAnsi="Calibri" w:hint="eastAsia"/>
                <w:color w:val="000000"/>
                <w:sz w:val="24"/>
                <w:szCs w:val="24"/>
              </w:rPr>
              <w:t>在严格控制风险并保持资产流动性的前提下，充分利用量化投资策略，力争为投资者提供持续、稳定的回报。</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Ansi="Calibri" w:hint="eastAsia"/>
                <w:color w:val="000000"/>
              </w:rPr>
              <w:t>主要投资策略</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wenzishuom"/>
              <w:wordWrap w:val="0"/>
              <w:spacing w:before="0"/>
              <w:ind w:left="0" w:firstLine="432"/>
              <w:rPr>
                <w:rFonts w:hAnsi="Calibri"/>
                <w:color w:val="000000"/>
                <w:sz w:val="24"/>
                <w:szCs w:val="24"/>
              </w:rPr>
            </w:pPr>
            <w:r>
              <w:rPr>
                <w:rFonts w:hAnsi="Calibri" w:hint="eastAsia"/>
                <w:color w:val="000000"/>
                <w:sz w:val="24"/>
                <w:szCs w:val="24"/>
              </w:rPr>
              <w:t>本基金的投资策略分为两个层面：首先，依据基金管理人的大类资产配置策略动态调整基金资产在各大类资产间的分配比例；而后，进行各大类资产中的个股、个券精选。具体由大类资产配置策略、股票投资策略、债券投资策略、存托凭证投资策略、金融衍生品投资策略、资产支持证券投资策略和参与融资业务投资策略组成。</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Ansi="Calibri" w:hint="eastAsia"/>
                <w:color w:val="000000"/>
              </w:rPr>
              <w:t>业绩比较基准</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wenzishuom"/>
              <w:wordWrap w:val="0"/>
              <w:spacing w:before="0"/>
              <w:ind w:left="0" w:firstLine="432"/>
              <w:rPr>
                <w:rFonts w:hAnsi="Calibri"/>
                <w:color w:val="000000"/>
                <w:sz w:val="24"/>
                <w:szCs w:val="24"/>
              </w:rPr>
            </w:pPr>
            <w:r>
              <w:rPr>
                <w:rFonts w:hAnsi="Calibri" w:hint="eastAsia"/>
                <w:color w:val="000000"/>
                <w:sz w:val="24"/>
                <w:szCs w:val="24"/>
              </w:rPr>
              <w:t>中证</w:t>
            </w:r>
            <w:r>
              <w:rPr>
                <w:rFonts w:hAnsi="Calibri" w:hint="eastAsia"/>
                <w:color w:val="000000"/>
                <w:sz w:val="24"/>
                <w:szCs w:val="24"/>
              </w:rPr>
              <w:t>500</w:t>
            </w:r>
            <w:r>
              <w:rPr>
                <w:rFonts w:hAnsi="Calibri" w:hint="eastAsia"/>
                <w:color w:val="000000"/>
                <w:sz w:val="24"/>
                <w:szCs w:val="24"/>
              </w:rPr>
              <w:t>指数收益率</w:t>
            </w:r>
            <w:r>
              <w:rPr>
                <w:rFonts w:hAnsi="Calibri" w:hint="eastAsia"/>
                <w:color w:val="000000"/>
                <w:sz w:val="24"/>
                <w:szCs w:val="24"/>
              </w:rPr>
              <w:t>*80%+</w:t>
            </w:r>
            <w:r>
              <w:rPr>
                <w:rFonts w:hAnsi="Calibri" w:hint="eastAsia"/>
                <w:color w:val="000000"/>
                <w:sz w:val="24"/>
                <w:szCs w:val="24"/>
              </w:rPr>
              <w:t>中证全债指数收益率</w:t>
            </w:r>
            <w:r>
              <w:rPr>
                <w:rFonts w:hAnsi="Calibri" w:hint="eastAsia"/>
                <w:color w:val="000000"/>
                <w:sz w:val="24"/>
                <w:szCs w:val="24"/>
              </w:rPr>
              <w:t>*20%</w:t>
            </w:r>
          </w:p>
        </w:tc>
      </w:tr>
      <w:tr w:rsidR="001F4BA9">
        <w:tc>
          <w:tcPr>
            <w:tcW w:w="2421"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biaogeleft"/>
              <w:wordWrap w:val="0"/>
            </w:pPr>
            <w:r>
              <w:rPr>
                <w:rFonts w:hAnsi="Calibri" w:hint="eastAsia"/>
                <w:color w:val="000000"/>
              </w:rPr>
              <w:t>风险收益特征</w:t>
            </w:r>
          </w:p>
        </w:tc>
        <w:tc>
          <w:tcPr>
            <w:tcW w:w="5993" w:type="dxa"/>
            <w:tcBorders>
              <w:top w:val="single" w:sz="8" w:space="0" w:color="000000"/>
              <w:left w:val="single" w:sz="8" w:space="0" w:color="000000"/>
              <w:bottom w:val="single" w:sz="8" w:space="0" w:color="000000"/>
              <w:right w:val="single" w:sz="8" w:space="0" w:color="000000"/>
            </w:tcBorders>
            <w:vAlign w:val="center"/>
          </w:tcPr>
          <w:p w:rsidR="001F4BA9" w:rsidRDefault="009C051F">
            <w:pPr>
              <w:pStyle w:val="wenzishuom"/>
              <w:wordWrap w:val="0"/>
              <w:spacing w:before="0"/>
              <w:ind w:left="0" w:firstLine="432"/>
              <w:rPr>
                <w:rFonts w:hAnsi="Calibri"/>
                <w:color w:val="000000"/>
                <w:sz w:val="24"/>
                <w:szCs w:val="24"/>
              </w:rPr>
            </w:pPr>
            <w:r>
              <w:rPr>
                <w:rFonts w:hAnsi="Calibri" w:hint="eastAsia"/>
                <w:color w:val="000000"/>
                <w:sz w:val="24"/>
                <w:szCs w:val="24"/>
              </w:rPr>
              <w:t>本基金为混合型基金，其预期收益及预期风险水平低于股票型基金，高于债券型基金及货币市场基金。</w:t>
            </w:r>
          </w:p>
        </w:tc>
      </w:tr>
    </w:tbl>
    <w:p w:rsidR="001F4BA9" w:rsidRDefault="001F4BA9">
      <w:pPr>
        <w:widowControl/>
        <w:shd w:val="clear" w:color="auto" w:fill="FFFFFF"/>
        <w:rPr>
          <w:rFonts w:ascii="微软雅黑" w:eastAsia="微软雅黑" w:hAnsi="微软雅黑" w:cs="宋体"/>
          <w:b/>
          <w:bCs/>
          <w:color w:val="333333"/>
          <w:kern w:val="0"/>
          <w:sz w:val="30"/>
          <w:szCs w:val="30"/>
        </w:rPr>
      </w:pPr>
    </w:p>
    <w:p w:rsidR="001F4BA9" w:rsidRDefault="009C051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三、财务报告</w:t>
      </w:r>
    </w:p>
    <w:p w:rsidR="001F4BA9" w:rsidRDefault="009C051F">
      <w:pPr>
        <w:widowControl/>
        <w:shd w:val="clear" w:color="auto" w:fill="FFFFFF"/>
        <w:spacing w:before="150" w:after="150"/>
        <w:jc w:val="left"/>
        <w:outlineLvl w:val="3"/>
        <w:rPr>
          <w:rFonts w:ascii="宋体" w:eastAsia="宋体" w:hAnsi="宋体" w:cs="宋体"/>
          <w:color w:val="333333"/>
          <w:kern w:val="0"/>
          <w:sz w:val="24"/>
          <w:szCs w:val="24"/>
        </w:rPr>
      </w:pPr>
      <w:r>
        <w:rPr>
          <w:rFonts w:ascii="宋体" w:eastAsia="宋体" w:hAnsi="宋体" w:cs="宋体" w:hint="eastAsia"/>
          <w:color w:val="333333"/>
          <w:kern w:val="0"/>
          <w:sz w:val="24"/>
          <w:szCs w:val="24"/>
        </w:rPr>
        <w:t>基金最后运作日资产负债表（已经审计）</w:t>
      </w:r>
    </w:p>
    <w:p w:rsidR="001F4BA9" w:rsidRDefault="009C051F">
      <w:pPr>
        <w:spacing w:before="100" w:line="360" w:lineRule="auto"/>
        <w:rPr>
          <w:rFonts w:ascii="宋体" w:eastAsia="宋体" w:hAnsi="宋体" w:cs="宋体"/>
          <w:sz w:val="24"/>
          <w:szCs w:val="24"/>
        </w:rPr>
      </w:pPr>
      <w:r>
        <w:rPr>
          <w:rFonts w:ascii="宋体" w:eastAsia="宋体" w:hAnsi="宋体" w:cs="Times New Roman" w:hint="eastAsia"/>
          <w:bCs/>
          <w:color w:val="000000"/>
          <w:sz w:val="24"/>
          <w:szCs w:val="24"/>
        </w:rPr>
        <w:t>会计主体：</w:t>
      </w:r>
      <w:r>
        <w:rPr>
          <w:rFonts w:ascii="宋体" w:eastAsia="宋体" w:hAnsi="宋体" w:cs="宋体"/>
          <w:sz w:val="24"/>
          <w:szCs w:val="24"/>
        </w:rPr>
        <w:t>山西证券裕桓一年持有期混合型发起式证券投资基金</w:t>
      </w:r>
    </w:p>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hint="eastAsia"/>
          <w:bCs/>
          <w:color w:val="000000"/>
          <w:sz w:val="24"/>
          <w:szCs w:val="24"/>
        </w:rPr>
        <w:t>报告截止日：</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日（基金最后运作日）</w:t>
      </w:r>
    </w:p>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hint="eastAsia"/>
          <w:bCs/>
          <w:color w:val="000000"/>
          <w:sz w:val="24"/>
          <w:szCs w:val="24"/>
        </w:rPr>
        <w:t>单位：人民币元</w:t>
      </w:r>
    </w:p>
    <w:tbl>
      <w:tblPr>
        <w:tblW w:w="4999"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3332"/>
        <w:gridCol w:w="5032"/>
      </w:tblGrid>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资</w:t>
            </w:r>
            <w:r>
              <w:rPr>
                <w:rFonts w:ascii="宋体" w:eastAsia="宋体" w:hAnsi="宋体" w:cs="Times New Roman"/>
                <w:b/>
                <w:color w:val="000000"/>
                <w:sz w:val="24"/>
                <w:szCs w:val="24"/>
              </w:rPr>
              <w:t xml:space="preserve"> </w:t>
            </w:r>
            <w:r>
              <w:rPr>
                <w:rFonts w:ascii="宋体" w:eastAsia="宋体" w:hAnsi="宋体" w:cs="Times New Roman"/>
                <w:b/>
                <w:color w:val="000000"/>
                <w:sz w:val="24"/>
                <w:szCs w:val="24"/>
              </w:rPr>
              <w:t>产</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最后运作日</w:t>
            </w:r>
          </w:p>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202</w:t>
            </w:r>
            <w:r>
              <w:rPr>
                <w:rFonts w:ascii="宋体" w:eastAsia="宋体" w:hAnsi="宋体" w:cs="Times New Roman" w:hint="eastAsia"/>
                <w:b/>
                <w:color w:val="000000"/>
                <w:sz w:val="24"/>
                <w:szCs w:val="24"/>
              </w:rPr>
              <w:t>4</w:t>
            </w:r>
            <w:r>
              <w:rPr>
                <w:rFonts w:ascii="宋体" w:eastAsia="宋体" w:hAnsi="宋体" w:cs="Times New Roman"/>
                <w:b/>
                <w:color w:val="000000"/>
                <w:sz w:val="24"/>
                <w:szCs w:val="24"/>
              </w:rPr>
              <w:t>年</w:t>
            </w:r>
            <w:r>
              <w:rPr>
                <w:rFonts w:ascii="宋体" w:eastAsia="宋体" w:hAnsi="宋体" w:cs="Times New Roman" w:hint="eastAsia"/>
                <w:b/>
                <w:color w:val="000000"/>
                <w:sz w:val="24"/>
                <w:szCs w:val="24"/>
              </w:rPr>
              <w:t>8</w:t>
            </w:r>
            <w:r>
              <w:rPr>
                <w:rFonts w:ascii="宋体" w:eastAsia="宋体" w:hAnsi="宋体" w:cs="Times New Roman"/>
                <w:b/>
                <w:color w:val="000000"/>
                <w:sz w:val="24"/>
                <w:szCs w:val="24"/>
              </w:rPr>
              <w:t>月</w:t>
            </w:r>
            <w:r>
              <w:rPr>
                <w:rFonts w:ascii="宋体" w:eastAsia="宋体" w:hAnsi="宋体" w:cs="Times New Roman" w:hint="eastAsia"/>
                <w:b/>
                <w:color w:val="000000"/>
                <w:sz w:val="24"/>
                <w:szCs w:val="24"/>
              </w:rPr>
              <w:t>8</w:t>
            </w:r>
            <w:r>
              <w:rPr>
                <w:rFonts w:ascii="宋体" w:eastAsia="宋体" w:hAnsi="宋体" w:cs="Times New Roman"/>
                <w:b/>
                <w:color w:val="000000"/>
                <w:sz w:val="24"/>
                <w:szCs w:val="24"/>
              </w:rPr>
              <w:t>日</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
                <w:color w:val="000000"/>
                <w:sz w:val="24"/>
                <w:szCs w:val="24"/>
              </w:rPr>
            </w:pPr>
            <w:r>
              <w:rPr>
                <w:rFonts w:ascii="宋体" w:eastAsia="宋体" w:hAnsi="宋体" w:cs="Times New Roman"/>
                <w:b/>
                <w:color w:val="000000"/>
                <w:sz w:val="24"/>
                <w:szCs w:val="24"/>
              </w:rPr>
              <w:t>资</w:t>
            </w:r>
            <w:r>
              <w:rPr>
                <w:rFonts w:ascii="宋体" w:eastAsia="宋体" w:hAnsi="宋体" w:cs="Times New Roman"/>
                <w:b/>
                <w:color w:val="000000"/>
                <w:sz w:val="24"/>
                <w:szCs w:val="24"/>
              </w:rPr>
              <w:t xml:space="preserve"> </w:t>
            </w:r>
            <w:r>
              <w:rPr>
                <w:rFonts w:ascii="宋体" w:eastAsia="宋体" w:hAnsi="宋体" w:cs="Times New Roman"/>
                <w:b/>
                <w:color w:val="000000"/>
                <w:sz w:val="24"/>
                <w:szCs w:val="24"/>
              </w:rPr>
              <w:t>产：</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1F4BA9">
            <w:pPr>
              <w:spacing w:before="100" w:line="360" w:lineRule="auto"/>
              <w:rPr>
                <w:rFonts w:ascii="宋体" w:eastAsia="宋体" w:hAnsi="宋体" w:cs="Times New Roman"/>
                <w:bCs/>
                <w:color w:val="000000"/>
                <w:sz w:val="24"/>
                <w:szCs w:val="24"/>
              </w:rPr>
            </w:pP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货币资金</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1,382,817.45</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结算备付金</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33,168.11</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存出保证金</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2,764.19</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交易性金融资产</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6,463,129.00</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其中：股票投资</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6,463,129.00</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资产总计</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7,881,878.75</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负债和净资产</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最后运作日</w:t>
            </w:r>
          </w:p>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202</w:t>
            </w:r>
            <w:r>
              <w:rPr>
                <w:rFonts w:ascii="宋体" w:eastAsia="宋体" w:hAnsi="宋体" w:cs="Times New Roman" w:hint="eastAsia"/>
                <w:b/>
                <w:color w:val="000000"/>
                <w:sz w:val="24"/>
                <w:szCs w:val="24"/>
              </w:rPr>
              <w:t>4</w:t>
            </w:r>
            <w:r>
              <w:rPr>
                <w:rFonts w:ascii="宋体" w:eastAsia="宋体" w:hAnsi="宋体" w:cs="Times New Roman"/>
                <w:b/>
                <w:color w:val="000000"/>
                <w:sz w:val="24"/>
                <w:szCs w:val="24"/>
              </w:rPr>
              <w:t>年</w:t>
            </w:r>
            <w:r>
              <w:rPr>
                <w:rFonts w:ascii="宋体" w:eastAsia="宋体" w:hAnsi="宋体" w:cs="Times New Roman" w:hint="eastAsia"/>
                <w:b/>
                <w:color w:val="000000"/>
                <w:sz w:val="24"/>
                <w:szCs w:val="24"/>
              </w:rPr>
              <w:t>8</w:t>
            </w:r>
            <w:r>
              <w:rPr>
                <w:rFonts w:ascii="宋体" w:eastAsia="宋体" w:hAnsi="宋体" w:cs="Times New Roman"/>
                <w:b/>
                <w:color w:val="000000"/>
                <w:sz w:val="24"/>
                <w:szCs w:val="24"/>
              </w:rPr>
              <w:t>月</w:t>
            </w:r>
            <w:r>
              <w:rPr>
                <w:rFonts w:ascii="宋体" w:eastAsia="宋体" w:hAnsi="宋体" w:cs="Times New Roman" w:hint="eastAsia"/>
                <w:b/>
                <w:color w:val="000000"/>
                <w:sz w:val="24"/>
                <w:szCs w:val="24"/>
              </w:rPr>
              <w:t>8</w:t>
            </w:r>
            <w:r>
              <w:rPr>
                <w:rFonts w:ascii="宋体" w:eastAsia="宋体" w:hAnsi="宋体" w:cs="Times New Roman"/>
                <w:b/>
                <w:color w:val="000000"/>
                <w:sz w:val="24"/>
                <w:szCs w:val="24"/>
              </w:rPr>
              <w:t>日</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
                <w:color w:val="000000"/>
                <w:sz w:val="24"/>
                <w:szCs w:val="24"/>
              </w:rPr>
            </w:pPr>
            <w:r>
              <w:rPr>
                <w:rFonts w:ascii="宋体" w:eastAsia="宋体" w:hAnsi="宋体" w:cs="Times New Roman"/>
                <w:b/>
                <w:color w:val="000000"/>
                <w:sz w:val="24"/>
                <w:szCs w:val="24"/>
              </w:rPr>
              <w:t>负</w:t>
            </w:r>
            <w:r>
              <w:rPr>
                <w:rFonts w:ascii="宋体" w:eastAsia="宋体" w:hAnsi="宋体" w:cs="Times New Roman"/>
                <w:b/>
                <w:color w:val="000000"/>
                <w:sz w:val="24"/>
                <w:szCs w:val="24"/>
              </w:rPr>
              <w:t xml:space="preserve"> </w:t>
            </w:r>
            <w:r>
              <w:rPr>
                <w:rFonts w:ascii="宋体" w:eastAsia="宋体" w:hAnsi="宋体" w:cs="Times New Roman"/>
                <w:b/>
                <w:color w:val="000000"/>
                <w:sz w:val="24"/>
                <w:szCs w:val="24"/>
              </w:rPr>
              <w:t>债：</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1F4BA9">
            <w:pPr>
              <w:spacing w:before="100" w:line="360" w:lineRule="auto"/>
              <w:rPr>
                <w:rFonts w:ascii="宋体" w:eastAsia="宋体" w:hAnsi="宋体" w:cs="Times New Roman"/>
                <w:bCs/>
                <w:color w:val="000000"/>
                <w:sz w:val="24"/>
                <w:szCs w:val="24"/>
              </w:rPr>
            </w:pP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应付管理人报酬</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2,094.46</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应付托管费</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174.54</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hint="eastAsia"/>
                <w:bCs/>
                <w:color w:val="000000"/>
                <w:sz w:val="24"/>
                <w:szCs w:val="24"/>
              </w:rPr>
              <w:t>应付交易费用</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9,777.89</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其他负债</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15,000.00</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应付清算款</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0.07</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负债合计</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27,046.96</w:t>
            </w:r>
          </w:p>
        </w:tc>
      </w:tr>
      <w:tr w:rsidR="001F4BA9">
        <w:trPr>
          <w:trHeight w:val="523"/>
        </w:trPr>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
                <w:color w:val="000000"/>
                <w:sz w:val="24"/>
                <w:szCs w:val="24"/>
              </w:rPr>
            </w:pPr>
            <w:r>
              <w:rPr>
                <w:rFonts w:ascii="宋体" w:eastAsia="宋体" w:hAnsi="宋体" w:cs="Times New Roman"/>
                <w:b/>
                <w:color w:val="000000"/>
                <w:sz w:val="24"/>
                <w:szCs w:val="24"/>
              </w:rPr>
              <w:t>净资产：</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1F4BA9">
            <w:pPr>
              <w:spacing w:before="100" w:line="360" w:lineRule="auto"/>
              <w:rPr>
                <w:rFonts w:ascii="宋体" w:eastAsia="宋体" w:hAnsi="宋体" w:cs="Times New Roman"/>
                <w:bCs/>
                <w:color w:val="000000"/>
                <w:sz w:val="24"/>
                <w:szCs w:val="24"/>
              </w:rPr>
            </w:pP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实收基金</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11,647,065.69</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未分配利润</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-3,792,233.9</w:t>
            </w:r>
            <w:r>
              <w:rPr>
                <w:rFonts w:ascii="宋体" w:eastAsia="宋体" w:hAnsi="宋体" w:cs="Times New Roman" w:hint="eastAsia"/>
                <w:bCs/>
                <w:color w:val="000000"/>
                <w:sz w:val="24"/>
                <w:szCs w:val="24"/>
              </w:rPr>
              <w:t>0</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净资产合计</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7,854,831.79</w:t>
            </w:r>
          </w:p>
        </w:tc>
      </w:tr>
      <w:tr w:rsidR="001F4BA9">
        <w:tc>
          <w:tcPr>
            <w:tcW w:w="1992"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bCs/>
                <w:color w:val="000000"/>
                <w:sz w:val="24"/>
                <w:szCs w:val="24"/>
              </w:rPr>
              <w:t>负债和净资产总计</w:t>
            </w:r>
          </w:p>
        </w:tc>
        <w:tc>
          <w:tcPr>
            <w:tcW w:w="3007"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7,881,878.75</w:t>
            </w:r>
          </w:p>
        </w:tc>
      </w:tr>
    </w:tbl>
    <w:p w:rsidR="001F4BA9" w:rsidRDefault="009C051F">
      <w:pPr>
        <w:spacing w:before="100" w:line="360" w:lineRule="auto"/>
        <w:rPr>
          <w:rFonts w:ascii="宋体" w:eastAsia="宋体" w:hAnsi="宋体" w:cs="Times New Roman"/>
          <w:bCs/>
          <w:color w:val="000000"/>
          <w:sz w:val="24"/>
          <w:szCs w:val="24"/>
        </w:rPr>
      </w:pPr>
      <w:r>
        <w:rPr>
          <w:rFonts w:ascii="宋体" w:eastAsia="宋体" w:hAnsi="宋体" w:cs="Times New Roman" w:hint="eastAsia"/>
          <w:bCs/>
          <w:color w:val="000000"/>
          <w:sz w:val="24"/>
          <w:szCs w:val="24"/>
        </w:rPr>
        <w:t>注</w:t>
      </w:r>
      <w:r>
        <w:rPr>
          <w:rFonts w:ascii="宋体" w:eastAsia="宋体" w:hAnsi="宋体" w:cs="Times New Roman" w:hint="eastAsia"/>
          <w:bCs/>
          <w:color w:val="000000"/>
          <w:sz w:val="24"/>
          <w:szCs w:val="24"/>
        </w:rPr>
        <w:t>1</w:t>
      </w:r>
      <w:r>
        <w:rPr>
          <w:rFonts w:ascii="宋体" w:eastAsia="宋体" w:hAnsi="宋体" w:cs="Times New Roman" w:hint="eastAsia"/>
          <w:bCs/>
          <w:color w:val="000000"/>
          <w:sz w:val="24"/>
          <w:szCs w:val="24"/>
        </w:rPr>
        <w:t>：本基金最后运作日</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日，基金份额净值</w:t>
      </w:r>
      <w:r>
        <w:rPr>
          <w:rFonts w:ascii="宋体" w:eastAsia="宋体" w:hAnsi="宋体" w:cs="Times New Roman"/>
          <w:bCs/>
          <w:color w:val="000000"/>
          <w:sz w:val="24"/>
          <w:szCs w:val="24"/>
        </w:rPr>
        <w:t>0.6744</w:t>
      </w:r>
      <w:r>
        <w:rPr>
          <w:rFonts w:ascii="宋体" w:eastAsia="宋体" w:hAnsi="宋体" w:cs="Times New Roman" w:hint="eastAsia"/>
          <w:bCs/>
          <w:color w:val="000000"/>
          <w:sz w:val="24"/>
          <w:szCs w:val="24"/>
        </w:rPr>
        <w:t>元，基金份额总额</w:t>
      </w:r>
      <w:r>
        <w:rPr>
          <w:rFonts w:ascii="宋体" w:eastAsia="宋体" w:hAnsi="宋体" w:cs="Times New Roman"/>
          <w:bCs/>
          <w:color w:val="000000"/>
          <w:sz w:val="24"/>
          <w:szCs w:val="24"/>
        </w:rPr>
        <w:t>11,647,065.69</w:t>
      </w:r>
      <w:r>
        <w:rPr>
          <w:rFonts w:ascii="宋体" w:eastAsia="宋体" w:hAnsi="宋体" w:cs="Times New Roman" w:hint="eastAsia"/>
          <w:bCs/>
          <w:color w:val="000000"/>
          <w:sz w:val="24"/>
          <w:szCs w:val="24"/>
        </w:rPr>
        <w:t>份。</w:t>
      </w:r>
    </w:p>
    <w:p w:rsidR="001F4BA9" w:rsidRDefault="009C051F">
      <w:pPr>
        <w:widowControl/>
        <w:spacing w:before="100" w:line="360" w:lineRule="auto"/>
        <w:rPr>
          <w:rFonts w:ascii="宋体" w:eastAsia="宋体" w:hAnsi="宋体" w:cs="Times New Roman"/>
          <w:bCs/>
          <w:color w:val="000000"/>
          <w:sz w:val="24"/>
          <w:szCs w:val="24"/>
        </w:rPr>
      </w:pPr>
      <w:r>
        <w:rPr>
          <w:rFonts w:ascii="宋体" w:eastAsia="宋体" w:hAnsi="宋体" w:cs="Times New Roman" w:hint="eastAsia"/>
          <w:bCs/>
          <w:color w:val="000000"/>
          <w:sz w:val="24"/>
          <w:szCs w:val="24"/>
        </w:rPr>
        <w:t>注</w:t>
      </w:r>
      <w:r>
        <w:rPr>
          <w:rFonts w:ascii="宋体" w:eastAsia="宋体" w:hAnsi="宋体" w:cs="Times New Roman" w:hint="eastAsia"/>
          <w:bCs/>
          <w:color w:val="000000"/>
          <w:sz w:val="24"/>
          <w:szCs w:val="24"/>
        </w:rPr>
        <w:t>2</w:t>
      </w:r>
      <w:r>
        <w:rPr>
          <w:rFonts w:ascii="宋体" w:eastAsia="宋体" w:hAnsi="宋体" w:cs="Times New Roman" w:hint="eastAsia"/>
          <w:bCs/>
          <w:color w:val="000000"/>
          <w:sz w:val="24"/>
          <w:szCs w:val="24"/>
        </w:rPr>
        <w:t>：本基金的清算报告是在非持续经营的前提下按照</w:t>
      </w:r>
      <w:r>
        <w:rPr>
          <w:rFonts w:ascii="宋体" w:eastAsia="宋体" w:hAnsi="宋体" w:cs="宋体" w:hint="eastAsia"/>
          <w:color w:val="000000"/>
          <w:kern w:val="0"/>
          <w:sz w:val="24"/>
          <w:szCs w:val="24"/>
          <w:lang/>
        </w:rPr>
        <w:t>《企业会计准则》、</w:t>
      </w:r>
      <w:r>
        <w:rPr>
          <w:rFonts w:ascii="宋体" w:eastAsia="宋体" w:hAnsi="宋体" w:cs="Times New Roman" w:hint="eastAsia"/>
          <w:bCs/>
          <w:color w:val="000000"/>
          <w:sz w:val="24"/>
          <w:szCs w:val="24"/>
        </w:rPr>
        <w:t>《证券投资基金会计核算业务指引》、《</w:t>
      </w:r>
      <w:r>
        <w:rPr>
          <w:rFonts w:ascii="宋体" w:eastAsia="宋体" w:hAnsi="宋体" w:cs="宋体"/>
          <w:sz w:val="24"/>
          <w:szCs w:val="24"/>
        </w:rPr>
        <w:t>山西证券裕桓一年持有期混合型发起式证券投资基金</w:t>
      </w:r>
      <w:r>
        <w:rPr>
          <w:rFonts w:ascii="宋体" w:eastAsia="宋体" w:hAnsi="宋体" w:cs="Times New Roman" w:hint="eastAsia"/>
          <w:bCs/>
          <w:color w:val="000000"/>
          <w:sz w:val="24"/>
          <w:szCs w:val="24"/>
        </w:rPr>
        <w:t>》约定的资产估值和会计核算方法编制。</w:t>
      </w:r>
    </w:p>
    <w:p w:rsidR="001F4BA9" w:rsidRDefault="001F4BA9">
      <w:pPr>
        <w:spacing w:before="100" w:line="360" w:lineRule="auto"/>
        <w:rPr>
          <w:rFonts w:ascii="宋体" w:eastAsia="宋体" w:hAnsi="宋体" w:cs="Times New Roman"/>
          <w:bCs/>
          <w:color w:val="000000"/>
          <w:sz w:val="24"/>
          <w:szCs w:val="24"/>
        </w:rPr>
      </w:pPr>
    </w:p>
    <w:p w:rsidR="001F4BA9" w:rsidRDefault="009C051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四、清算事项说明</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本基金的清算期间为</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9</w:t>
      </w:r>
      <w:r>
        <w:rPr>
          <w:rFonts w:ascii="宋体" w:eastAsia="宋体" w:hAnsi="宋体" w:cs="Times New Roman" w:hint="eastAsia"/>
          <w:bCs/>
          <w:color w:val="000000"/>
          <w:sz w:val="24"/>
          <w:szCs w:val="24"/>
        </w:rPr>
        <w:t>日至</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20</w:t>
      </w:r>
      <w:r>
        <w:rPr>
          <w:rFonts w:ascii="宋体" w:eastAsia="宋体" w:hAnsi="宋体" w:cs="Times New Roman" w:hint="eastAsia"/>
          <w:bCs/>
          <w:color w:val="000000"/>
          <w:sz w:val="24"/>
          <w:szCs w:val="24"/>
        </w:rPr>
        <w:t>日止。基金财产清算小组对本基金的资产、负债进行清算，全部清算工作按清算原则和清算手续进行。具体清算情况如下：</w:t>
      </w:r>
    </w:p>
    <w:p w:rsidR="001F4BA9" w:rsidRDefault="009C051F">
      <w:pPr>
        <w:pStyle w:val="a6"/>
        <w:spacing w:before="100" w:line="360" w:lineRule="auto"/>
        <w:ind w:firstLineChars="0" w:firstLine="0"/>
        <w:jc w:val="left"/>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1</w:t>
      </w:r>
      <w:r>
        <w:rPr>
          <w:rFonts w:ascii="微软雅黑" w:eastAsia="微软雅黑" w:hAnsi="微软雅黑" w:cs="宋体" w:hint="eastAsia"/>
          <w:b/>
          <w:bCs/>
          <w:color w:val="333333"/>
          <w:kern w:val="0"/>
          <w:sz w:val="27"/>
          <w:szCs w:val="27"/>
        </w:rPr>
        <w:t>、</w:t>
      </w:r>
      <w:r>
        <w:rPr>
          <w:rFonts w:ascii="微软雅黑" w:eastAsia="微软雅黑" w:hAnsi="微软雅黑" w:cs="宋体" w:hint="eastAsia"/>
          <w:b/>
          <w:bCs/>
          <w:color w:val="333333"/>
          <w:kern w:val="0"/>
          <w:sz w:val="27"/>
          <w:szCs w:val="27"/>
        </w:rPr>
        <w:t>清算费用</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按照《基金合同》第十九部分</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基金合同的变更、终止与基金财产的清算</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的规定，清算费用是指基金财产清算小组在进行基金清算过程中发生的所有合理费用，清算费用由基金财产清算小组优先从基金财产中支付。</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2</w:t>
      </w:r>
      <w:r>
        <w:rPr>
          <w:rFonts w:ascii="微软雅黑" w:eastAsia="微软雅黑" w:hAnsi="微软雅黑" w:cs="宋体" w:hint="eastAsia"/>
          <w:b/>
          <w:bCs/>
          <w:color w:val="333333"/>
          <w:kern w:val="0"/>
          <w:sz w:val="27"/>
          <w:szCs w:val="27"/>
        </w:rPr>
        <w:t>、资产处置情况</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1</w:t>
      </w:r>
      <w:r>
        <w:rPr>
          <w:rFonts w:ascii="宋体" w:eastAsia="宋体" w:hAnsi="宋体" w:cs="Times New Roman" w:hint="eastAsia"/>
          <w:bCs/>
          <w:color w:val="000000"/>
          <w:sz w:val="24"/>
          <w:szCs w:val="24"/>
        </w:rPr>
        <w:t>）本基金最后运作日银行存款为人民币</w:t>
      </w:r>
      <w:r>
        <w:rPr>
          <w:rFonts w:ascii="宋体" w:eastAsia="宋体" w:hAnsi="宋体" w:cs="Times New Roman"/>
          <w:bCs/>
          <w:color w:val="000000"/>
          <w:sz w:val="24"/>
          <w:szCs w:val="24"/>
        </w:rPr>
        <w:t>1,382,817.45</w:t>
      </w:r>
      <w:r>
        <w:rPr>
          <w:rFonts w:ascii="宋体" w:eastAsia="宋体" w:hAnsi="宋体" w:cs="Times New Roman" w:hint="eastAsia"/>
          <w:bCs/>
          <w:color w:val="000000"/>
          <w:sz w:val="24"/>
          <w:szCs w:val="24"/>
        </w:rPr>
        <w:t>元，其</w:t>
      </w:r>
      <w:r>
        <w:rPr>
          <w:rFonts w:ascii="宋体" w:eastAsia="宋体" w:hAnsi="宋体" w:cs="Times New Roman"/>
          <w:bCs/>
          <w:color w:val="000000"/>
          <w:sz w:val="24"/>
          <w:szCs w:val="24"/>
        </w:rPr>
        <w:t>中活期存款本金为人民币</w:t>
      </w:r>
      <w:r>
        <w:rPr>
          <w:rFonts w:ascii="宋体" w:eastAsia="宋体" w:hAnsi="宋体" w:cs="Times New Roman"/>
          <w:bCs/>
          <w:color w:val="000000"/>
          <w:sz w:val="24"/>
          <w:szCs w:val="24"/>
        </w:rPr>
        <w:t>1,382,304.91</w:t>
      </w:r>
      <w:r>
        <w:rPr>
          <w:rFonts w:ascii="宋体" w:eastAsia="宋体" w:hAnsi="宋体" w:cs="Times New Roman"/>
          <w:bCs/>
          <w:color w:val="000000"/>
          <w:sz w:val="24"/>
          <w:szCs w:val="24"/>
        </w:rPr>
        <w:t>元，应计利息为人民币</w:t>
      </w:r>
      <w:r>
        <w:rPr>
          <w:rFonts w:ascii="宋体" w:eastAsia="宋体" w:hAnsi="宋体" w:cs="Times New Roman" w:hint="eastAsia"/>
          <w:bCs/>
          <w:color w:val="000000"/>
          <w:sz w:val="24"/>
          <w:szCs w:val="24"/>
        </w:rPr>
        <w:t>512.54</w:t>
      </w:r>
      <w:r>
        <w:rPr>
          <w:rFonts w:ascii="宋体" w:eastAsia="宋体" w:hAnsi="宋体" w:cs="Times New Roman"/>
          <w:bCs/>
          <w:color w:val="000000"/>
          <w:sz w:val="24"/>
          <w:szCs w:val="24"/>
        </w:rPr>
        <w:t>元；截至清算期结束日银行存款余额为人民币</w:t>
      </w:r>
      <w:r>
        <w:rPr>
          <w:rFonts w:ascii="宋体" w:eastAsia="宋体" w:hAnsi="宋体" w:cs="Times New Roman"/>
          <w:bCs/>
          <w:color w:val="000000"/>
          <w:sz w:val="24"/>
          <w:szCs w:val="24"/>
        </w:rPr>
        <w:t>7,8</w:t>
      </w:r>
      <w:r>
        <w:rPr>
          <w:rFonts w:ascii="宋体" w:eastAsia="宋体" w:hAnsi="宋体" w:cs="Times New Roman" w:hint="eastAsia"/>
          <w:bCs/>
          <w:color w:val="000000"/>
          <w:sz w:val="24"/>
          <w:szCs w:val="24"/>
        </w:rPr>
        <w:t>20</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717</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49</w:t>
      </w:r>
      <w:r>
        <w:rPr>
          <w:rFonts w:ascii="宋体" w:eastAsia="宋体" w:hAnsi="宋体" w:cs="Times New Roman"/>
          <w:bCs/>
          <w:color w:val="000000"/>
          <w:sz w:val="24"/>
          <w:szCs w:val="24"/>
        </w:rPr>
        <w:t>元，其中活期存款本金为人民币</w:t>
      </w:r>
      <w:r>
        <w:rPr>
          <w:rFonts w:ascii="宋体" w:eastAsia="宋体" w:hAnsi="宋体" w:cs="Times New Roman"/>
          <w:bCs/>
          <w:color w:val="000000"/>
          <w:sz w:val="24"/>
          <w:szCs w:val="24"/>
        </w:rPr>
        <w:t>7,8</w:t>
      </w:r>
      <w:r>
        <w:rPr>
          <w:rFonts w:ascii="宋体" w:eastAsia="宋体" w:hAnsi="宋体" w:cs="Times New Roman" w:hint="eastAsia"/>
          <w:bCs/>
          <w:color w:val="000000"/>
          <w:sz w:val="24"/>
          <w:szCs w:val="24"/>
        </w:rPr>
        <w:t>19</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479</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10</w:t>
      </w:r>
      <w:r>
        <w:rPr>
          <w:rFonts w:ascii="宋体" w:eastAsia="宋体" w:hAnsi="宋体" w:cs="Times New Roman"/>
          <w:bCs/>
          <w:color w:val="000000"/>
          <w:sz w:val="24"/>
          <w:szCs w:val="24"/>
        </w:rPr>
        <w:t>元，应计利息为人民币</w:t>
      </w:r>
      <w:r>
        <w:rPr>
          <w:rFonts w:ascii="宋体" w:eastAsia="宋体" w:hAnsi="宋体" w:cs="Times New Roman"/>
          <w:bCs/>
          <w:color w:val="000000"/>
          <w:sz w:val="24"/>
          <w:szCs w:val="24"/>
        </w:rPr>
        <w:t>1,238.</w:t>
      </w:r>
      <w:r>
        <w:rPr>
          <w:rFonts w:ascii="宋体" w:eastAsia="宋体" w:hAnsi="宋体" w:cs="Times New Roman" w:hint="eastAsia"/>
          <w:bCs/>
          <w:color w:val="000000"/>
          <w:sz w:val="24"/>
          <w:szCs w:val="24"/>
        </w:rPr>
        <w:t>3</w:t>
      </w:r>
      <w:r>
        <w:rPr>
          <w:rFonts w:ascii="宋体" w:eastAsia="宋体" w:hAnsi="宋体" w:cs="Times New Roman" w:hint="eastAsia"/>
          <w:bCs/>
          <w:color w:val="000000"/>
          <w:sz w:val="24"/>
          <w:szCs w:val="24"/>
        </w:rPr>
        <w:t>9</w:t>
      </w:r>
      <w:r>
        <w:rPr>
          <w:rFonts w:ascii="宋体" w:eastAsia="宋体" w:hAnsi="宋体" w:cs="Times New Roman"/>
          <w:bCs/>
          <w:color w:val="000000"/>
          <w:sz w:val="24"/>
          <w:szCs w:val="24"/>
        </w:rPr>
        <w:t>元。</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2</w:t>
      </w:r>
      <w:r>
        <w:rPr>
          <w:rFonts w:ascii="宋体" w:eastAsia="宋体" w:hAnsi="宋体" w:cs="Times New Roman" w:hint="eastAsia"/>
          <w:bCs/>
          <w:color w:val="000000"/>
          <w:sz w:val="24"/>
          <w:szCs w:val="24"/>
        </w:rPr>
        <w:t>）本基金最后运作日结算备付金为人民币</w:t>
      </w:r>
      <w:r>
        <w:rPr>
          <w:rFonts w:ascii="宋体" w:eastAsia="宋体" w:hAnsi="宋体" w:cs="Times New Roman"/>
          <w:bCs/>
          <w:color w:val="000000"/>
          <w:sz w:val="24"/>
          <w:szCs w:val="24"/>
        </w:rPr>
        <w:t>33,168.11</w:t>
      </w:r>
      <w:r>
        <w:rPr>
          <w:rFonts w:ascii="宋体" w:eastAsia="宋体" w:hAnsi="宋体" w:cs="Times New Roman" w:hint="eastAsia"/>
          <w:bCs/>
          <w:color w:val="000000"/>
          <w:sz w:val="24"/>
          <w:szCs w:val="24"/>
        </w:rPr>
        <w:t>元，分别为上海证券交易所结算备付金人民币</w:t>
      </w:r>
      <w:r>
        <w:rPr>
          <w:rFonts w:ascii="宋体" w:eastAsia="宋体" w:hAnsi="宋体" w:cs="Times New Roman"/>
          <w:bCs/>
          <w:color w:val="000000"/>
          <w:sz w:val="24"/>
          <w:szCs w:val="24"/>
        </w:rPr>
        <w:t>17,624.89</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46.83</w:t>
      </w:r>
      <w:r>
        <w:rPr>
          <w:rFonts w:ascii="宋体" w:eastAsia="宋体" w:hAnsi="宋体" w:cs="Times New Roman" w:hint="eastAsia"/>
          <w:bCs/>
          <w:color w:val="000000"/>
          <w:sz w:val="24"/>
          <w:szCs w:val="24"/>
        </w:rPr>
        <w:t>元、深圳证券交易所结算备付金人民币</w:t>
      </w:r>
      <w:r>
        <w:rPr>
          <w:rFonts w:ascii="宋体" w:eastAsia="宋体" w:hAnsi="宋体" w:cs="Times New Roman"/>
          <w:bCs/>
          <w:color w:val="000000"/>
          <w:sz w:val="24"/>
          <w:szCs w:val="24"/>
        </w:rPr>
        <w:t>15,461.13</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35.26</w:t>
      </w:r>
      <w:r>
        <w:rPr>
          <w:rFonts w:ascii="宋体" w:eastAsia="宋体" w:hAnsi="宋体" w:cs="Times New Roman" w:hint="eastAsia"/>
          <w:bCs/>
          <w:color w:val="000000"/>
          <w:sz w:val="24"/>
          <w:szCs w:val="24"/>
        </w:rPr>
        <w:t>元；清算结束日结算备付金为人民币</w:t>
      </w:r>
      <w:r>
        <w:rPr>
          <w:rFonts w:ascii="宋体" w:eastAsia="宋体" w:hAnsi="宋体" w:cs="Times New Roman"/>
          <w:bCs/>
          <w:color w:val="000000"/>
          <w:sz w:val="24"/>
          <w:szCs w:val="24"/>
        </w:rPr>
        <w:t>33,185.99</w:t>
      </w:r>
      <w:r>
        <w:rPr>
          <w:rFonts w:ascii="宋体" w:eastAsia="宋体" w:hAnsi="宋体" w:cs="Times New Roman" w:hint="eastAsia"/>
          <w:bCs/>
          <w:color w:val="000000"/>
          <w:sz w:val="24"/>
          <w:szCs w:val="24"/>
        </w:rPr>
        <w:t>元，分别为上海证券交易所结算备付金人民币</w:t>
      </w:r>
      <w:r>
        <w:rPr>
          <w:rFonts w:ascii="宋体" w:eastAsia="宋体" w:hAnsi="宋体" w:cs="Times New Roman"/>
          <w:bCs/>
          <w:color w:val="000000"/>
          <w:sz w:val="24"/>
          <w:szCs w:val="24"/>
        </w:rPr>
        <w:t>17,624.89</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56.31</w:t>
      </w:r>
      <w:r>
        <w:rPr>
          <w:rFonts w:ascii="宋体" w:eastAsia="宋体" w:hAnsi="宋体" w:cs="Times New Roman" w:hint="eastAsia"/>
          <w:bCs/>
          <w:color w:val="000000"/>
          <w:sz w:val="24"/>
          <w:szCs w:val="24"/>
        </w:rPr>
        <w:t>元、深圳证券交易所结算备付金人民币</w:t>
      </w:r>
      <w:r>
        <w:rPr>
          <w:rFonts w:ascii="宋体" w:eastAsia="宋体" w:hAnsi="宋体" w:cs="Times New Roman"/>
          <w:bCs/>
          <w:color w:val="000000"/>
          <w:sz w:val="24"/>
          <w:szCs w:val="24"/>
        </w:rPr>
        <w:t>15,461.13</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43.66</w:t>
      </w:r>
      <w:r>
        <w:rPr>
          <w:rFonts w:ascii="宋体" w:eastAsia="宋体" w:hAnsi="宋体" w:cs="Times New Roman" w:hint="eastAsia"/>
          <w:bCs/>
          <w:color w:val="000000"/>
          <w:sz w:val="24"/>
          <w:szCs w:val="24"/>
        </w:rPr>
        <w:t>元。</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3</w:t>
      </w:r>
      <w:r>
        <w:rPr>
          <w:rFonts w:ascii="宋体" w:eastAsia="宋体" w:hAnsi="宋体" w:cs="Times New Roman" w:hint="eastAsia"/>
          <w:bCs/>
          <w:color w:val="000000"/>
          <w:sz w:val="24"/>
          <w:szCs w:val="24"/>
        </w:rPr>
        <w:t>）本基金最后运作日存出保证金为人民币</w:t>
      </w:r>
      <w:r>
        <w:rPr>
          <w:rFonts w:ascii="宋体" w:eastAsia="宋体" w:hAnsi="宋体" w:cs="Times New Roman"/>
          <w:bCs/>
          <w:color w:val="000000"/>
          <w:sz w:val="24"/>
          <w:szCs w:val="24"/>
        </w:rPr>
        <w:t>2,764.19</w:t>
      </w:r>
      <w:r>
        <w:rPr>
          <w:rFonts w:ascii="宋体" w:eastAsia="宋体" w:hAnsi="宋体" w:cs="Times New Roman" w:hint="eastAsia"/>
          <w:bCs/>
          <w:color w:val="000000"/>
          <w:sz w:val="24"/>
          <w:szCs w:val="24"/>
        </w:rPr>
        <w:t>元，分别为上海证券交易所存出保证金人民币</w:t>
      </w:r>
      <w:r>
        <w:rPr>
          <w:rFonts w:ascii="宋体" w:eastAsia="宋体" w:hAnsi="宋体" w:cs="Times New Roman"/>
          <w:bCs/>
          <w:color w:val="000000"/>
          <w:sz w:val="24"/>
          <w:szCs w:val="24"/>
        </w:rPr>
        <w:t>1,618.09</w:t>
      </w:r>
      <w:r>
        <w:rPr>
          <w:rFonts w:ascii="宋体" w:eastAsia="宋体" w:hAnsi="宋体" w:cs="Times New Roman" w:hint="eastAsia"/>
          <w:bCs/>
          <w:color w:val="000000"/>
          <w:sz w:val="24"/>
          <w:szCs w:val="24"/>
        </w:rPr>
        <w:t>元及</w:t>
      </w:r>
      <w:r>
        <w:rPr>
          <w:rFonts w:ascii="宋体" w:eastAsia="宋体" w:hAnsi="宋体" w:cs="Times New Roman" w:hint="eastAsia"/>
          <w:bCs/>
          <w:color w:val="000000"/>
          <w:sz w:val="24"/>
          <w:szCs w:val="24"/>
        </w:rPr>
        <w:t>其应计利息人民币</w:t>
      </w:r>
      <w:r>
        <w:rPr>
          <w:rFonts w:ascii="宋体" w:eastAsia="宋体" w:hAnsi="宋体" w:cs="Times New Roman"/>
          <w:bCs/>
          <w:color w:val="000000"/>
          <w:sz w:val="24"/>
          <w:szCs w:val="24"/>
        </w:rPr>
        <w:t>5.72</w:t>
      </w:r>
      <w:r>
        <w:rPr>
          <w:rFonts w:ascii="宋体" w:eastAsia="宋体" w:hAnsi="宋体" w:cs="Times New Roman" w:hint="eastAsia"/>
          <w:bCs/>
          <w:color w:val="000000"/>
          <w:sz w:val="24"/>
          <w:szCs w:val="24"/>
        </w:rPr>
        <w:t>元、深圳证券交易所存出保证金人民币</w:t>
      </w:r>
      <w:r>
        <w:rPr>
          <w:rFonts w:ascii="宋体" w:eastAsia="宋体" w:hAnsi="宋体" w:cs="Times New Roman"/>
          <w:bCs/>
          <w:color w:val="000000"/>
          <w:sz w:val="24"/>
          <w:szCs w:val="24"/>
        </w:rPr>
        <w:t>1,135.66</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4.72</w:t>
      </w:r>
      <w:r>
        <w:rPr>
          <w:rFonts w:ascii="宋体" w:eastAsia="宋体" w:hAnsi="宋体" w:cs="Times New Roman" w:hint="eastAsia"/>
          <w:bCs/>
          <w:color w:val="000000"/>
          <w:sz w:val="24"/>
          <w:szCs w:val="24"/>
        </w:rPr>
        <w:t>元；清算结束日存出保证金为人民币</w:t>
      </w:r>
      <w:r>
        <w:rPr>
          <w:rFonts w:ascii="宋体" w:eastAsia="宋体" w:hAnsi="宋体" w:cs="Times New Roman" w:hint="eastAsia"/>
          <w:bCs/>
          <w:color w:val="000000"/>
          <w:sz w:val="24"/>
          <w:szCs w:val="24"/>
        </w:rPr>
        <w:t xml:space="preserve"> </w:t>
      </w:r>
      <w:r>
        <w:rPr>
          <w:rFonts w:ascii="宋体" w:eastAsia="宋体" w:hAnsi="宋体" w:cs="Times New Roman"/>
          <w:bCs/>
          <w:color w:val="000000"/>
          <w:sz w:val="24"/>
          <w:szCs w:val="24"/>
        </w:rPr>
        <w:t>2,765.63</w:t>
      </w:r>
      <w:r>
        <w:rPr>
          <w:rFonts w:ascii="宋体" w:eastAsia="宋体" w:hAnsi="宋体" w:cs="Times New Roman" w:hint="eastAsia"/>
          <w:bCs/>
          <w:color w:val="000000"/>
          <w:sz w:val="24"/>
          <w:szCs w:val="24"/>
        </w:rPr>
        <w:t>元，分别为上海证券交易所存出保证金人民币</w:t>
      </w:r>
      <w:r>
        <w:rPr>
          <w:rFonts w:ascii="宋体" w:eastAsia="宋体" w:hAnsi="宋体" w:cs="Times New Roman"/>
          <w:bCs/>
          <w:color w:val="000000"/>
          <w:sz w:val="24"/>
          <w:szCs w:val="24"/>
        </w:rPr>
        <w:t>1,618.09</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6.56</w:t>
      </w:r>
      <w:r>
        <w:rPr>
          <w:rFonts w:ascii="宋体" w:eastAsia="宋体" w:hAnsi="宋体" w:cs="Times New Roman" w:hint="eastAsia"/>
          <w:bCs/>
          <w:color w:val="000000"/>
          <w:sz w:val="24"/>
          <w:szCs w:val="24"/>
        </w:rPr>
        <w:t>元、深圳证券交易所存出保证金人民币</w:t>
      </w:r>
      <w:r>
        <w:rPr>
          <w:rFonts w:ascii="宋体" w:eastAsia="宋体" w:hAnsi="宋体" w:cs="Times New Roman"/>
          <w:bCs/>
          <w:color w:val="000000"/>
          <w:sz w:val="24"/>
          <w:szCs w:val="24"/>
        </w:rPr>
        <w:t>1,135.66</w:t>
      </w:r>
      <w:r>
        <w:rPr>
          <w:rFonts w:ascii="宋体" w:eastAsia="宋体" w:hAnsi="宋体" w:cs="Times New Roman" w:hint="eastAsia"/>
          <w:bCs/>
          <w:color w:val="000000"/>
          <w:sz w:val="24"/>
          <w:szCs w:val="24"/>
        </w:rPr>
        <w:t>元及其应计利息人民币</w:t>
      </w:r>
      <w:r>
        <w:rPr>
          <w:rFonts w:ascii="宋体" w:eastAsia="宋体" w:hAnsi="宋体" w:cs="Times New Roman"/>
          <w:bCs/>
          <w:color w:val="000000"/>
          <w:sz w:val="24"/>
          <w:szCs w:val="24"/>
        </w:rPr>
        <w:t>5.32</w:t>
      </w:r>
      <w:r>
        <w:rPr>
          <w:rFonts w:ascii="宋体" w:eastAsia="宋体" w:hAnsi="宋体" w:cs="Times New Roman" w:hint="eastAsia"/>
          <w:bCs/>
          <w:color w:val="000000"/>
          <w:sz w:val="24"/>
          <w:szCs w:val="24"/>
        </w:rPr>
        <w:t>元。</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4</w:t>
      </w:r>
      <w:r>
        <w:rPr>
          <w:rFonts w:ascii="宋体" w:eastAsia="宋体" w:hAnsi="宋体" w:cs="Times New Roman" w:hint="eastAsia"/>
          <w:bCs/>
          <w:color w:val="000000"/>
          <w:sz w:val="24"/>
          <w:szCs w:val="24"/>
        </w:rPr>
        <w:t>）本基金最后运作日持有交易性金融资产为股票投资，投资金额为人民币</w:t>
      </w:r>
      <w:r>
        <w:rPr>
          <w:rFonts w:ascii="宋体" w:eastAsia="宋体" w:hAnsi="宋体" w:cs="Times New Roman"/>
          <w:bCs/>
          <w:color w:val="000000"/>
          <w:sz w:val="24"/>
          <w:szCs w:val="24"/>
        </w:rPr>
        <w:t>6,463,129.00</w:t>
      </w:r>
      <w:r>
        <w:rPr>
          <w:rFonts w:ascii="宋体" w:eastAsia="宋体" w:hAnsi="宋体" w:cs="Times New Roman" w:hint="eastAsia"/>
          <w:bCs/>
          <w:color w:val="000000"/>
          <w:sz w:val="24"/>
          <w:szCs w:val="24"/>
        </w:rPr>
        <w:t>元</w:t>
      </w:r>
      <w:r>
        <w:rPr>
          <w:rFonts w:ascii="宋体" w:eastAsia="宋体" w:hAnsi="宋体" w:cs="Times New Roman"/>
          <w:bCs/>
          <w:color w:val="000000"/>
          <w:sz w:val="24"/>
          <w:szCs w:val="24"/>
        </w:rPr>
        <w:t>（最后运作日估值市值）</w:t>
      </w:r>
      <w:r>
        <w:rPr>
          <w:rFonts w:ascii="宋体" w:eastAsia="宋体" w:hAnsi="宋体" w:cs="Times New Roman" w:hint="eastAsia"/>
          <w:bCs/>
          <w:color w:val="000000"/>
          <w:sz w:val="24"/>
          <w:szCs w:val="24"/>
        </w:rPr>
        <w:t>，已于清算期间全部变现，</w:t>
      </w:r>
      <w:r>
        <w:rPr>
          <w:rFonts w:ascii="宋体" w:eastAsia="宋体" w:hAnsi="宋体" w:cs="Times New Roman"/>
          <w:bCs/>
          <w:color w:val="000000"/>
          <w:sz w:val="24"/>
          <w:szCs w:val="24"/>
        </w:rPr>
        <w:t>相关证券清算款已最晚于</w:t>
      </w:r>
      <w:r>
        <w:rPr>
          <w:rFonts w:ascii="宋体" w:eastAsia="宋体" w:hAnsi="宋体" w:cs="Times New Roman"/>
          <w:bCs/>
          <w:color w:val="000000"/>
          <w:sz w:val="24"/>
          <w:szCs w:val="24"/>
        </w:rPr>
        <w:t>2024</w:t>
      </w:r>
      <w:r>
        <w:rPr>
          <w:rFonts w:ascii="宋体" w:eastAsia="宋体" w:hAnsi="宋体" w:cs="Times New Roman"/>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bCs/>
          <w:color w:val="000000"/>
          <w:sz w:val="24"/>
          <w:szCs w:val="24"/>
        </w:rPr>
        <w:t>月</w:t>
      </w:r>
      <w:r>
        <w:rPr>
          <w:rFonts w:ascii="宋体" w:eastAsia="宋体" w:hAnsi="宋体" w:cs="Times New Roman"/>
          <w:bCs/>
          <w:color w:val="000000"/>
          <w:sz w:val="24"/>
          <w:szCs w:val="24"/>
        </w:rPr>
        <w:t>1</w:t>
      </w:r>
      <w:r>
        <w:rPr>
          <w:rFonts w:ascii="宋体" w:eastAsia="宋体" w:hAnsi="宋体" w:cs="Times New Roman" w:hint="eastAsia"/>
          <w:bCs/>
          <w:color w:val="000000"/>
          <w:sz w:val="24"/>
          <w:szCs w:val="24"/>
        </w:rPr>
        <w:t>3</w:t>
      </w:r>
      <w:r>
        <w:rPr>
          <w:rFonts w:ascii="宋体" w:eastAsia="宋体" w:hAnsi="宋体" w:cs="Times New Roman"/>
          <w:bCs/>
          <w:color w:val="000000"/>
          <w:sz w:val="24"/>
          <w:szCs w:val="24"/>
        </w:rPr>
        <w:t>日划入托管账户</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 xml:space="preserve"> </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3</w:t>
      </w:r>
      <w:r>
        <w:rPr>
          <w:rFonts w:ascii="微软雅黑" w:eastAsia="微软雅黑" w:hAnsi="微软雅黑" w:cs="宋体" w:hint="eastAsia"/>
          <w:b/>
          <w:bCs/>
          <w:color w:val="333333"/>
          <w:kern w:val="0"/>
          <w:sz w:val="27"/>
          <w:szCs w:val="27"/>
        </w:rPr>
        <w:t>、负债处置情况</w:t>
      </w:r>
      <w:r>
        <w:rPr>
          <w:rFonts w:ascii="微软雅黑" w:eastAsia="微软雅黑" w:hAnsi="微软雅黑" w:cs="宋体" w:hint="eastAsia"/>
          <w:b/>
          <w:bCs/>
          <w:color w:val="333333"/>
          <w:kern w:val="0"/>
          <w:sz w:val="27"/>
          <w:szCs w:val="27"/>
        </w:rPr>
        <w:t xml:space="preserve"> </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1</w:t>
      </w:r>
      <w:r>
        <w:rPr>
          <w:rFonts w:ascii="宋体" w:eastAsia="宋体" w:hAnsi="宋体" w:cs="Times New Roman" w:hint="eastAsia"/>
          <w:bCs/>
          <w:color w:val="000000"/>
          <w:sz w:val="24"/>
          <w:szCs w:val="24"/>
        </w:rPr>
        <w:t>）本基金最后运作日应付管理人报酬为人民币</w:t>
      </w:r>
      <w:r>
        <w:rPr>
          <w:rFonts w:ascii="宋体" w:eastAsia="宋体" w:hAnsi="宋体" w:cs="Times New Roman"/>
          <w:bCs/>
          <w:color w:val="000000"/>
          <w:sz w:val="24"/>
          <w:szCs w:val="24"/>
        </w:rPr>
        <w:t>2,094.46</w:t>
      </w:r>
      <w:r>
        <w:rPr>
          <w:rFonts w:ascii="宋体" w:eastAsia="宋体" w:hAnsi="宋体" w:cs="Times New Roman" w:hint="eastAsia"/>
          <w:bCs/>
          <w:color w:val="000000"/>
          <w:sz w:val="24"/>
          <w:szCs w:val="24"/>
        </w:rPr>
        <w:t>元</w:t>
      </w:r>
      <w:r>
        <w:rPr>
          <w:rFonts w:ascii="宋体" w:eastAsia="宋体" w:hAnsi="宋体" w:cs="Times New Roman"/>
          <w:bCs/>
          <w:color w:val="000000"/>
          <w:sz w:val="24"/>
          <w:szCs w:val="24"/>
        </w:rPr>
        <w:t>，清算期间未有变动。</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2</w:t>
      </w:r>
      <w:r>
        <w:rPr>
          <w:rFonts w:ascii="宋体" w:eastAsia="宋体" w:hAnsi="宋体" w:cs="Times New Roman" w:hint="eastAsia"/>
          <w:bCs/>
          <w:color w:val="000000"/>
          <w:sz w:val="24"/>
          <w:szCs w:val="24"/>
        </w:rPr>
        <w:t>）本基金最后运作日应付托管费为人民币</w:t>
      </w:r>
      <w:r>
        <w:rPr>
          <w:rFonts w:ascii="宋体" w:eastAsia="宋体" w:hAnsi="宋体" w:cs="Times New Roman"/>
          <w:bCs/>
          <w:color w:val="000000"/>
          <w:sz w:val="24"/>
          <w:szCs w:val="24"/>
        </w:rPr>
        <w:t>174.54</w:t>
      </w:r>
      <w:r>
        <w:rPr>
          <w:rFonts w:ascii="宋体" w:eastAsia="宋体" w:hAnsi="宋体" w:cs="Times New Roman" w:hint="eastAsia"/>
          <w:bCs/>
          <w:color w:val="000000"/>
          <w:sz w:val="24"/>
          <w:szCs w:val="24"/>
        </w:rPr>
        <w:t>元，该款项已在清算期间完成支付。</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3</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本基金最后运作日应付交易费用为人民币</w:t>
      </w:r>
      <w:r>
        <w:rPr>
          <w:rFonts w:ascii="宋体" w:eastAsia="宋体" w:hAnsi="宋体" w:cs="Times New Roman"/>
          <w:bCs/>
          <w:color w:val="000000"/>
          <w:sz w:val="24"/>
          <w:szCs w:val="24"/>
        </w:rPr>
        <w:t>9,777.89</w:t>
      </w:r>
      <w:r>
        <w:rPr>
          <w:rFonts w:ascii="宋体" w:eastAsia="宋体" w:hAnsi="宋体" w:cs="Times New Roman"/>
          <w:bCs/>
          <w:color w:val="000000"/>
          <w:sz w:val="24"/>
          <w:szCs w:val="24"/>
        </w:rPr>
        <w:t>元，清算期间计提应付交易费用人民币</w:t>
      </w:r>
      <w:r>
        <w:rPr>
          <w:rFonts w:ascii="宋体" w:eastAsia="宋体" w:hAnsi="宋体" w:cs="Times New Roman"/>
          <w:bCs/>
          <w:color w:val="000000"/>
          <w:sz w:val="24"/>
          <w:szCs w:val="24"/>
        </w:rPr>
        <w:t>2</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888.24</w:t>
      </w:r>
      <w:r>
        <w:rPr>
          <w:rFonts w:ascii="宋体" w:eastAsia="宋体" w:hAnsi="宋体" w:cs="Times New Roman"/>
          <w:bCs/>
          <w:color w:val="000000"/>
          <w:sz w:val="24"/>
          <w:szCs w:val="24"/>
        </w:rPr>
        <w:t>元，于清算结束日应付交易费用余额为人民币</w:t>
      </w:r>
      <w:r>
        <w:rPr>
          <w:rFonts w:ascii="宋体" w:eastAsia="宋体" w:hAnsi="宋体" w:cs="Times New Roman"/>
          <w:bCs/>
          <w:color w:val="000000"/>
          <w:sz w:val="24"/>
          <w:szCs w:val="24"/>
        </w:rPr>
        <w:t>12</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666.13</w:t>
      </w:r>
      <w:r>
        <w:rPr>
          <w:rFonts w:ascii="宋体" w:eastAsia="宋体" w:hAnsi="宋体" w:cs="Times New Roman"/>
          <w:bCs/>
          <w:color w:val="000000"/>
          <w:sz w:val="24"/>
          <w:szCs w:val="24"/>
        </w:rPr>
        <w:t>元。</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4</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本基金最后运作日应付清算款为人民币</w:t>
      </w:r>
      <w:r>
        <w:rPr>
          <w:rFonts w:ascii="宋体" w:eastAsia="宋体" w:hAnsi="宋体" w:cs="Times New Roman" w:hint="eastAsia"/>
          <w:bCs/>
          <w:color w:val="000000"/>
          <w:sz w:val="24"/>
          <w:szCs w:val="24"/>
        </w:rPr>
        <w:t>0.07</w:t>
      </w:r>
      <w:r>
        <w:rPr>
          <w:rFonts w:ascii="宋体" w:eastAsia="宋体" w:hAnsi="宋体" w:cs="Times New Roman"/>
          <w:bCs/>
          <w:color w:val="000000"/>
          <w:sz w:val="24"/>
          <w:szCs w:val="24"/>
        </w:rPr>
        <w:t>元，</w:t>
      </w:r>
      <w:r>
        <w:rPr>
          <w:rFonts w:ascii="宋体" w:eastAsia="宋体" w:hAnsi="宋体" w:cs="Times New Roman" w:hint="eastAsia"/>
          <w:bCs/>
          <w:color w:val="000000"/>
          <w:sz w:val="24"/>
          <w:szCs w:val="24"/>
        </w:rPr>
        <w:t>该款项已在清算期间完成支付。</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5</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本基金最后运作日其他负债人民币</w:t>
      </w:r>
      <w:r>
        <w:rPr>
          <w:rFonts w:ascii="宋体" w:eastAsia="宋体" w:hAnsi="宋体" w:cs="Times New Roman"/>
          <w:bCs/>
          <w:color w:val="000000"/>
          <w:sz w:val="24"/>
          <w:szCs w:val="24"/>
        </w:rPr>
        <w:t>15,000</w:t>
      </w:r>
      <w:r>
        <w:rPr>
          <w:rFonts w:ascii="宋体" w:eastAsia="宋体" w:hAnsi="宋体" w:cs="Times New Roman"/>
          <w:bCs/>
          <w:color w:val="000000"/>
          <w:sz w:val="24"/>
          <w:szCs w:val="24"/>
        </w:rPr>
        <w:t>.00</w:t>
      </w:r>
      <w:r>
        <w:rPr>
          <w:rFonts w:ascii="宋体" w:eastAsia="宋体" w:hAnsi="宋体" w:cs="Times New Roman"/>
          <w:bCs/>
          <w:color w:val="000000"/>
          <w:sz w:val="24"/>
          <w:szCs w:val="24"/>
        </w:rPr>
        <w:t>元，为预提审计费</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该款项已在清算期间完成支付。</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4</w:t>
      </w:r>
      <w:r>
        <w:rPr>
          <w:rFonts w:ascii="微软雅黑" w:eastAsia="微软雅黑" w:hAnsi="微软雅黑" w:cs="宋体" w:hint="eastAsia"/>
          <w:b/>
          <w:bCs/>
          <w:color w:val="333333"/>
          <w:kern w:val="0"/>
          <w:sz w:val="27"/>
          <w:szCs w:val="27"/>
        </w:rPr>
        <w:t>、清算期间的损益情况</w:t>
      </w:r>
    </w:p>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报告期间：</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9</w:t>
      </w:r>
      <w:r>
        <w:rPr>
          <w:rFonts w:ascii="宋体" w:eastAsia="宋体" w:hAnsi="宋体" w:cs="Times New Roman" w:hint="eastAsia"/>
          <w:bCs/>
          <w:color w:val="000000"/>
          <w:sz w:val="24"/>
          <w:szCs w:val="24"/>
        </w:rPr>
        <w:t>日（清算期起始日）</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20</w:t>
      </w:r>
      <w:r>
        <w:rPr>
          <w:rFonts w:ascii="宋体" w:eastAsia="宋体" w:hAnsi="宋体" w:cs="Times New Roman" w:hint="eastAsia"/>
          <w:bCs/>
          <w:color w:val="000000"/>
          <w:sz w:val="24"/>
          <w:szCs w:val="24"/>
        </w:rPr>
        <w:t>日（清算终止日）</w:t>
      </w:r>
    </w:p>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hint="eastAsia"/>
          <w:bCs/>
          <w:color w:val="000000"/>
          <w:sz w:val="24"/>
          <w:szCs w:val="24"/>
        </w:rPr>
        <w:t>单位：人民币元</w:t>
      </w:r>
    </w:p>
    <w:tbl>
      <w:tblPr>
        <w:tblW w:w="4999"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6372"/>
        <w:gridCol w:w="1992"/>
      </w:tblGrid>
      <w:tr w:rsidR="001F4BA9">
        <w:trPr>
          <w:tblHeader/>
        </w:trPr>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项目</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金额</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
                <w:color w:val="000000"/>
                <w:sz w:val="24"/>
                <w:szCs w:val="24"/>
              </w:rPr>
            </w:pPr>
            <w:r>
              <w:rPr>
                <w:rFonts w:ascii="宋体" w:eastAsia="宋体" w:hAnsi="宋体" w:cs="Times New Roman"/>
                <w:b/>
                <w:color w:val="000000"/>
                <w:sz w:val="24"/>
                <w:szCs w:val="24"/>
              </w:rPr>
              <w:t>一、</w:t>
            </w:r>
            <w:r>
              <w:rPr>
                <w:rFonts w:ascii="宋体" w:eastAsia="宋体" w:hAnsi="宋体" w:cs="Times New Roman" w:hint="eastAsia"/>
                <w:b/>
                <w:color w:val="000000"/>
                <w:sz w:val="24"/>
                <w:szCs w:val="24"/>
              </w:rPr>
              <w:t>清算收益</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1F4BA9">
            <w:pPr>
              <w:spacing w:before="100" w:line="360" w:lineRule="auto"/>
              <w:jc w:val="right"/>
              <w:rPr>
                <w:rFonts w:ascii="宋体" w:eastAsia="宋体" w:hAnsi="宋体" w:cs="Times New Roman"/>
                <w:bCs/>
                <w:color w:val="000000"/>
                <w:sz w:val="24"/>
                <w:szCs w:val="24"/>
              </w:rPr>
            </w:pP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1</w:t>
            </w:r>
            <w:r>
              <w:rPr>
                <w:rFonts w:ascii="宋体" w:eastAsia="宋体" w:hAnsi="宋体" w:cs="Times New Roman"/>
                <w:bCs/>
                <w:color w:val="000000"/>
                <w:sz w:val="24"/>
                <w:szCs w:val="24"/>
              </w:rPr>
              <w:t>、利息收入（注</w:t>
            </w:r>
            <w:r>
              <w:rPr>
                <w:rFonts w:ascii="宋体" w:eastAsia="宋体" w:hAnsi="宋体" w:cs="Times New Roman" w:hint="eastAsia"/>
                <w:bCs/>
                <w:color w:val="000000"/>
                <w:sz w:val="24"/>
                <w:szCs w:val="24"/>
              </w:rPr>
              <w:t>1</w:t>
            </w:r>
            <w:r>
              <w:rPr>
                <w:rFonts w:ascii="宋体" w:eastAsia="宋体" w:hAnsi="宋体" w:cs="Times New Roman"/>
                <w:bCs/>
                <w:color w:val="000000"/>
                <w:sz w:val="24"/>
                <w:szCs w:val="24"/>
              </w:rPr>
              <w:t>）</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745.</w:t>
            </w:r>
            <w:r>
              <w:rPr>
                <w:rFonts w:ascii="宋体" w:eastAsia="宋体" w:hAnsi="宋体" w:cs="Times New Roman" w:hint="eastAsia"/>
                <w:bCs/>
                <w:color w:val="000000"/>
                <w:sz w:val="24"/>
                <w:szCs w:val="24"/>
              </w:rPr>
              <w:t>1</w:t>
            </w:r>
            <w:r>
              <w:rPr>
                <w:rFonts w:ascii="宋体" w:eastAsia="宋体" w:hAnsi="宋体" w:cs="Times New Roman"/>
                <w:bCs/>
                <w:color w:val="000000"/>
                <w:sz w:val="24"/>
                <w:szCs w:val="24"/>
              </w:rPr>
              <w:t>7</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2</w:t>
            </w:r>
            <w:r>
              <w:rPr>
                <w:rFonts w:ascii="宋体" w:eastAsia="宋体" w:hAnsi="宋体" w:cs="Times New Roman"/>
                <w:bCs/>
                <w:color w:val="000000"/>
                <w:sz w:val="24"/>
                <w:szCs w:val="24"/>
              </w:rPr>
              <w:t>、投资收益（注</w:t>
            </w:r>
            <w:r>
              <w:rPr>
                <w:rFonts w:ascii="宋体" w:eastAsia="宋体" w:hAnsi="宋体" w:cs="Times New Roman" w:hint="eastAsia"/>
                <w:bCs/>
                <w:color w:val="000000"/>
                <w:sz w:val="24"/>
                <w:szCs w:val="24"/>
              </w:rPr>
              <w:t>2</w:t>
            </w:r>
            <w:r>
              <w:rPr>
                <w:rFonts w:ascii="宋体" w:eastAsia="宋体" w:hAnsi="宋体" w:cs="Times New Roman"/>
                <w:bCs/>
                <w:color w:val="000000"/>
                <w:sz w:val="24"/>
                <w:szCs w:val="24"/>
              </w:rPr>
              <w:t>）</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-86</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860.77</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3</w:t>
            </w:r>
            <w:r>
              <w:rPr>
                <w:rFonts w:ascii="宋体" w:eastAsia="宋体" w:hAnsi="宋体" w:cs="Times New Roman"/>
                <w:bCs/>
                <w:color w:val="000000"/>
                <w:sz w:val="24"/>
                <w:szCs w:val="24"/>
              </w:rPr>
              <w:t>、公允价值变动损益</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hint="eastAsia"/>
                <w:bCs/>
                <w:color w:val="000000"/>
                <w:sz w:val="24"/>
                <w:szCs w:val="24"/>
              </w:rPr>
              <w:t>88,212.33</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清算收益小计</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
                <w:color w:val="000000"/>
                <w:sz w:val="24"/>
                <w:szCs w:val="24"/>
              </w:rPr>
            </w:pPr>
            <w:r>
              <w:rPr>
                <w:rFonts w:ascii="宋体" w:eastAsia="宋体" w:hAnsi="宋体" w:cs="Times New Roman"/>
                <w:b/>
                <w:color w:val="000000"/>
                <w:sz w:val="24"/>
                <w:szCs w:val="24"/>
              </w:rPr>
              <w:t>2,096.73</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二、清算费用</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1F4BA9">
            <w:pPr>
              <w:spacing w:before="100" w:line="360" w:lineRule="auto"/>
              <w:jc w:val="right"/>
              <w:rPr>
                <w:rFonts w:ascii="宋体" w:eastAsia="宋体" w:hAnsi="宋体" w:cs="Times New Roman"/>
                <w:bCs/>
                <w:color w:val="000000"/>
                <w:sz w:val="24"/>
                <w:szCs w:val="24"/>
              </w:rPr>
            </w:pP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律师费</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hint="eastAsia"/>
                <w:bCs/>
                <w:color w:val="000000"/>
                <w:sz w:val="24"/>
                <w:szCs w:val="24"/>
              </w:rPr>
              <w:t>15,000.00</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汇划费</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highlight w:val="yellow"/>
              </w:rPr>
            </w:pPr>
            <w:r>
              <w:rPr>
                <w:rFonts w:ascii="宋体" w:eastAsia="宋体" w:hAnsi="宋体" w:cs="Times New Roman" w:hint="eastAsia"/>
                <w:bCs/>
                <w:color w:val="000000"/>
                <w:sz w:val="24"/>
                <w:szCs w:val="24"/>
              </w:rPr>
              <w:t>20.00</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清算费用小计</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
                <w:color w:val="000000"/>
                <w:sz w:val="24"/>
                <w:szCs w:val="24"/>
              </w:rPr>
            </w:pPr>
            <w:r>
              <w:rPr>
                <w:rFonts w:ascii="宋体" w:eastAsia="宋体" w:hAnsi="宋体" w:cs="Times New Roman" w:hint="eastAsia"/>
                <w:b/>
                <w:color w:val="000000"/>
                <w:sz w:val="24"/>
                <w:szCs w:val="24"/>
              </w:rPr>
              <w:t>15,020.00</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三．清算净损益</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highlight w:val="yellow"/>
              </w:rPr>
            </w:pPr>
            <w:r>
              <w:rPr>
                <w:rFonts w:ascii="宋体" w:eastAsia="宋体" w:hAnsi="宋体" w:cs="Times New Roman" w:hint="eastAsia"/>
                <w:b/>
                <w:color w:val="000000"/>
                <w:sz w:val="24"/>
                <w:szCs w:val="24"/>
              </w:rPr>
              <w:t>-12,923.27</w:t>
            </w:r>
          </w:p>
        </w:tc>
      </w:tr>
    </w:tbl>
    <w:p w:rsidR="001F4BA9" w:rsidRDefault="009C051F">
      <w:pPr>
        <w:spacing w:before="100" w:line="360" w:lineRule="auto"/>
        <w:ind w:firstLineChars="200" w:firstLine="480"/>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注</w:t>
      </w:r>
      <w:r>
        <w:rPr>
          <w:rFonts w:ascii="宋体" w:eastAsia="宋体" w:hAnsi="宋体" w:cs="Times New Roman" w:hint="eastAsia"/>
          <w:bCs/>
          <w:color w:val="000000"/>
          <w:sz w:val="24"/>
          <w:szCs w:val="24"/>
        </w:rPr>
        <w:t>1</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利息收入系清算期间计提的银行存款利息。</w:t>
      </w:r>
    </w:p>
    <w:p w:rsidR="001F4BA9" w:rsidRDefault="009C051F">
      <w:pPr>
        <w:spacing w:before="100" w:line="360" w:lineRule="auto"/>
        <w:ind w:firstLineChars="200" w:firstLine="480"/>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注</w:t>
      </w:r>
      <w:r>
        <w:rPr>
          <w:rFonts w:ascii="宋体" w:eastAsia="宋体" w:hAnsi="宋体" w:cs="Times New Roman" w:hint="eastAsia"/>
          <w:bCs/>
          <w:color w:val="000000"/>
          <w:sz w:val="24"/>
          <w:szCs w:val="24"/>
        </w:rPr>
        <w:t>2</w:t>
      </w:r>
      <w:r>
        <w:rPr>
          <w:rFonts w:ascii="宋体" w:eastAsia="宋体" w:hAnsi="宋体" w:cs="Times New Roman" w:hint="eastAsia"/>
          <w:bCs/>
          <w:color w:val="000000"/>
          <w:sz w:val="24"/>
          <w:szCs w:val="24"/>
        </w:rPr>
        <w:t>：</w:t>
      </w:r>
      <w:r>
        <w:rPr>
          <w:rFonts w:ascii="宋体" w:eastAsia="宋体" w:hAnsi="宋体" w:cs="Times New Roman"/>
          <w:bCs/>
          <w:color w:val="000000"/>
          <w:sz w:val="24"/>
          <w:szCs w:val="24"/>
        </w:rPr>
        <w:t>投资收益系清算期间持有债券资产变现收益金额。</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5</w:t>
      </w:r>
      <w:r>
        <w:rPr>
          <w:rFonts w:ascii="微软雅黑" w:eastAsia="微软雅黑" w:hAnsi="微软雅黑" w:cs="宋体" w:hint="eastAsia"/>
          <w:b/>
          <w:bCs/>
          <w:color w:val="333333"/>
          <w:kern w:val="0"/>
          <w:sz w:val="27"/>
          <w:szCs w:val="27"/>
        </w:rPr>
        <w:t>、资产处置及负债清偿后的剩余资产分配情况</w:t>
      </w:r>
    </w:p>
    <w:tbl>
      <w:tblPr>
        <w:tblW w:w="4998"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6371"/>
        <w:gridCol w:w="1992"/>
      </w:tblGrid>
      <w:tr w:rsidR="001F4BA9">
        <w:trPr>
          <w:tblHeader/>
        </w:trPr>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项目</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金额</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一、最后运作日</w:t>
            </w:r>
            <w:r>
              <w:rPr>
                <w:rFonts w:ascii="宋体" w:eastAsia="宋体" w:hAnsi="宋体" w:cs="Times New Roman"/>
                <w:bCs/>
                <w:color w:val="000000"/>
                <w:sz w:val="24"/>
                <w:szCs w:val="24"/>
              </w:rPr>
              <w:t>202</w:t>
            </w:r>
            <w:r>
              <w:rPr>
                <w:rFonts w:ascii="宋体" w:eastAsia="宋体" w:hAnsi="宋体" w:cs="Times New Roman" w:hint="eastAsia"/>
                <w:bCs/>
                <w:color w:val="000000"/>
                <w:sz w:val="24"/>
                <w:szCs w:val="24"/>
              </w:rPr>
              <w:t>4</w:t>
            </w:r>
            <w:r>
              <w:rPr>
                <w:rFonts w:ascii="宋体" w:eastAsia="宋体" w:hAnsi="宋体" w:cs="Times New Roman"/>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bCs/>
                <w:color w:val="000000"/>
                <w:sz w:val="24"/>
                <w:szCs w:val="24"/>
              </w:rPr>
              <w:t>月</w:t>
            </w:r>
            <w:r>
              <w:rPr>
                <w:rFonts w:ascii="宋体" w:eastAsia="宋体" w:hAnsi="宋体" w:cs="Times New Roman" w:hint="eastAsia"/>
                <w:bCs/>
                <w:color w:val="000000"/>
                <w:sz w:val="24"/>
                <w:szCs w:val="24"/>
              </w:rPr>
              <w:t>8</w:t>
            </w:r>
            <w:r>
              <w:rPr>
                <w:rFonts w:ascii="宋体" w:eastAsia="宋体" w:hAnsi="宋体" w:cs="Times New Roman"/>
                <w:bCs/>
                <w:color w:val="000000"/>
                <w:sz w:val="24"/>
                <w:szCs w:val="24"/>
              </w:rPr>
              <w:t>日基金净资产</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bCs/>
                <w:color w:val="000000"/>
                <w:sz w:val="24"/>
                <w:szCs w:val="24"/>
              </w:rPr>
              <w:t>7,854,831.79</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清算期间</w:t>
            </w:r>
            <w:r>
              <w:rPr>
                <w:rFonts w:ascii="宋体" w:eastAsia="宋体" w:hAnsi="宋体" w:cs="Times New Roman" w:hint="eastAsia"/>
                <w:bCs/>
                <w:color w:val="000000"/>
                <w:sz w:val="24"/>
                <w:szCs w:val="24"/>
              </w:rPr>
              <w:t>净损益</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rPr>
            </w:pPr>
            <w:r>
              <w:rPr>
                <w:rFonts w:ascii="宋体" w:eastAsia="宋体" w:hAnsi="宋体" w:cs="Times New Roman" w:hint="eastAsia"/>
                <w:bCs/>
                <w:color w:val="000000"/>
                <w:sz w:val="24"/>
                <w:szCs w:val="24"/>
              </w:rPr>
              <w:t>-12,923.27</w:t>
            </w:r>
          </w:p>
        </w:tc>
      </w:tr>
      <w:tr w:rsidR="001F4BA9">
        <w:tc>
          <w:tcPr>
            <w:tcW w:w="3808"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left"/>
              <w:rPr>
                <w:rFonts w:ascii="宋体" w:eastAsia="宋体" w:hAnsi="宋体" w:cs="Times New Roman"/>
                <w:bCs/>
                <w:color w:val="000000"/>
                <w:sz w:val="24"/>
                <w:szCs w:val="24"/>
              </w:rPr>
            </w:pPr>
            <w:r>
              <w:rPr>
                <w:rFonts w:ascii="宋体" w:eastAsia="宋体" w:hAnsi="宋体" w:cs="Times New Roman"/>
                <w:bCs/>
                <w:color w:val="000000"/>
                <w:sz w:val="24"/>
                <w:szCs w:val="24"/>
              </w:rPr>
              <w:t>二、</w:t>
            </w:r>
            <w:r>
              <w:rPr>
                <w:rFonts w:ascii="宋体" w:eastAsia="宋体" w:hAnsi="宋体" w:cs="Times New Roman"/>
                <w:bCs/>
                <w:color w:val="000000"/>
                <w:sz w:val="24"/>
                <w:szCs w:val="24"/>
              </w:rPr>
              <w:t>202</w:t>
            </w:r>
            <w:r>
              <w:rPr>
                <w:rFonts w:ascii="宋体" w:eastAsia="宋体" w:hAnsi="宋体" w:cs="Times New Roman" w:hint="eastAsia"/>
                <w:bCs/>
                <w:color w:val="000000"/>
                <w:sz w:val="24"/>
                <w:szCs w:val="24"/>
              </w:rPr>
              <w:t>4</w:t>
            </w:r>
            <w:r>
              <w:rPr>
                <w:rFonts w:ascii="宋体" w:eastAsia="宋体" w:hAnsi="宋体" w:cs="Times New Roman"/>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bCs/>
                <w:color w:val="000000"/>
                <w:sz w:val="24"/>
                <w:szCs w:val="24"/>
              </w:rPr>
              <w:t>月</w:t>
            </w:r>
            <w:r>
              <w:rPr>
                <w:rFonts w:ascii="宋体" w:eastAsia="宋体" w:hAnsi="宋体" w:cs="Times New Roman" w:hint="eastAsia"/>
                <w:bCs/>
                <w:color w:val="000000"/>
                <w:sz w:val="24"/>
                <w:szCs w:val="24"/>
              </w:rPr>
              <w:t>20</w:t>
            </w:r>
            <w:r>
              <w:rPr>
                <w:rFonts w:ascii="宋体" w:eastAsia="宋体" w:hAnsi="宋体" w:cs="Times New Roman"/>
                <w:bCs/>
                <w:color w:val="000000"/>
                <w:sz w:val="24"/>
                <w:szCs w:val="24"/>
              </w:rPr>
              <w:t>日（清算</w:t>
            </w:r>
            <w:r>
              <w:rPr>
                <w:rFonts w:ascii="宋体" w:eastAsia="宋体" w:hAnsi="宋体" w:cs="Times New Roman" w:hint="eastAsia"/>
                <w:bCs/>
                <w:color w:val="000000"/>
                <w:sz w:val="24"/>
                <w:szCs w:val="24"/>
              </w:rPr>
              <w:t>结束</w:t>
            </w:r>
            <w:r>
              <w:rPr>
                <w:rFonts w:ascii="宋体" w:eastAsia="宋体" w:hAnsi="宋体" w:cs="Times New Roman"/>
                <w:bCs/>
                <w:color w:val="000000"/>
                <w:sz w:val="24"/>
                <w:szCs w:val="24"/>
              </w:rPr>
              <w:t>日）基金净资产</w:t>
            </w:r>
          </w:p>
        </w:tc>
        <w:tc>
          <w:tcPr>
            <w:tcW w:w="1191" w:type="pct"/>
            <w:tcBorders>
              <w:top w:val="single" w:sz="6" w:space="0" w:color="CCCCCC"/>
              <w:left w:val="single" w:sz="6" w:space="0" w:color="CCCCCC"/>
              <w:bottom w:val="single" w:sz="6" w:space="0" w:color="CCCCCC"/>
              <w:right w:val="single" w:sz="6" w:space="0" w:color="CCCCCC"/>
            </w:tcBorders>
            <w:shd w:val="clear" w:color="auto" w:fill="auto"/>
            <w:tcMar>
              <w:top w:w="0" w:type="dxa"/>
              <w:left w:w="30" w:type="dxa"/>
              <w:bottom w:w="0" w:type="dxa"/>
              <w:right w:w="30" w:type="dxa"/>
            </w:tcMar>
            <w:vAlign w:val="center"/>
          </w:tcPr>
          <w:p w:rsidR="001F4BA9" w:rsidRDefault="009C051F">
            <w:pPr>
              <w:spacing w:before="100" w:line="360" w:lineRule="auto"/>
              <w:jc w:val="right"/>
              <w:rPr>
                <w:rFonts w:ascii="宋体" w:eastAsia="宋体" w:hAnsi="宋体" w:cs="Times New Roman"/>
                <w:bCs/>
                <w:color w:val="000000"/>
                <w:sz w:val="24"/>
                <w:szCs w:val="24"/>
                <w:highlight w:val="yellow"/>
              </w:rPr>
            </w:pPr>
            <w:r>
              <w:rPr>
                <w:rFonts w:ascii="宋体" w:eastAsia="宋体" w:hAnsi="宋体" w:cs="Times New Roman"/>
                <w:bCs/>
                <w:color w:val="000000"/>
                <w:sz w:val="24"/>
                <w:szCs w:val="24"/>
              </w:rPr>
              <w:t>7,8</w:t>
            </w:r>
            <w:r>
              <w:rPr>
                <w:rFonts w:ascii="宋体" w:eastAsia="宋体" w:hAnsi="宋体" w:cs="Times New Roman" w:hint="eastAsia"/>
                <w:bCs/>
                <w:color w:val="000000"/>
                <w:sz w:val="24"/>
                <w:szCs w:val="24"/>
              </w:rPr>
              <w:t>41</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908</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52</w:t>
            </w:r>
          </w:p>
        </w:tc>
      </w:tr>
    </w:tbl>
    <w:p w:rsidR="001F4BA9" w:rsidRDefault="009C051F">
      <w:pPr>
        <w:numPr>
          <w:ilvl w:val="0"/>
          <w:numId w:val="1"/>
        </w:numPr>
        <w:spacing w:before="100" w:line="360" w:lineRule="auto"/>
        <w:ind w:firstLineChars="200" w:firstLine="480"/>
        <w:rPr>
          <w:rFonts w:ascii="宋体" w:eastAsia="宋体" w:hAnsi="宋体" w:cs="宋体"/>
          <w:sz w:val="24"/>
          <w:szCs w:val="24"/>
        </w:rPr>
      </w:pPr>
      <w:r>
        <w:rPr>
          <w:rFonts w:ascii="宋体" w:eastAsia="宋体" w:hAnsi="宋体" w:cs="Times New Roman" w:hint="eastAsia"/>
          <w:bCs/>
          <w:color w:val="000000"/>
          <w:sz w:val="24"/>
          <w:szCs w:val="24"/>
        </w:rPr>
        <w:t>根据</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基金合同</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约定，</w:t>
      </w:r>
      <w:r>
        <w:rPr>
          <w:rFonts w:ascii="宋体" w:eastAsia="宋体" w:hAnsi="宋体" w:cs="宋体"/>
          <w:sz w:val="24"/>
          <w:szCs w:val="24"/>
        </w:rPr>
        <w:t>依据基金财产清算的分配方案，将基金财产清算后的全部剩余资产扣除基金财产清算费用</w:t>
      </w:r>
      <w:r>
        <w:rPr>
          <w:rFonts w:ascii="宋体" w:eastAsia="宋体" w:hAnsi="宋体" w:cs="Times New Roman" w:hint="eastAsia"/>
          <w:bCs/>
          <w:color w:val="000000"/>
          <w:sz w:val="24"/>
          <w:szCs w:val="24"/>
        </w:rPr>
        <w:t>（基金财产清算小组费用由基金财产承担）</w:t>
      </w:r>
      <w:r>
        <w:rPr>
          <w:rFonts w:ascii="宋体" w:eastAsia="宋体" w:hAnsi="宋体" w:cs="宋体"/>
          <w:sz w:val="24"/>
          <w:szCs w:val="24"/>
        </w:rPr>
        <w:t>、交纳所欠税款并清偿基金债务后，按基金份额持有人持有的基金份额比例进行分配。</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2</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截止</w:t>
      </w:r>
      <w:r>
        <w:rPr>
          <w:rFonts w:ascii="宋体" w:eastAsia="宋体" w:hAnsi="宋体" w:cs="Times New Roman" w:hint="eastAsia"/>
          <w:bCs/>
          <w:color w:val="000000"/>
          <w:sz w:val="24"/>
          <w:szCs w:val="24"/>
        </w:rPr>
        <w:t>清算结束日</w:t>
      </w:r>
      <w:r>
        <w:rPr>
          <w:rFonts w:ascii="宋体" w:eastAsia="宋体" w:hAnsi="宋体" w:cs="Times New Roman" w:hint="eastAsia"/>
          <w:bCs/>
          <w:color w:val="000000"/>
          <w:sz w:val="24"/>
          <w:szCs w:val="24"/>
        </w:rPr>
        <w:t>2024</w:t>
      </w:r>
      <w:r>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8</w:t>
      </w:r>
      <w:r>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20</w:t>
      </w:r>
      <w:r>
        <w:rPr>
          <w:rFonts w:ascii="宋体" w:eastAsia="宋体" w:hAnsi="宋体" w:cs="Times New Roman" w:hint="eastAsia"/>
          <w:bCs/>
          <w:color w:val="000000"/>
          <w:sz w:val="24"/>
          <w:szCs w:val="24"/>
        </w:rPr>
        <w:t>日，本基金净资产为人民币</w:t>
      </w:r>
      <w:r>
        <w:rPr>
          <w:rFonts w:ascii="宋体" w:eastAsia="宋体" w:hAnsi="宋体" w:cs="Times New Roman"/>
          <w:bCs/>
          <w:color w:val="000000"/>
          <w:sz w:val="24"/>
          <w:szCs w:val="24"/>
        </w:rPr>
        <w:t>7,8</w:t>
      </w:r>
      <w:r>
        <w:rPr>
          <w:rFonts w:ascii="宋体" w:eastAsia="宋体" w:hAnsi="宋体" w:cs="Times New Roman" w:hint="eastAsia"/>
          <w:bCs/>
          <w:color w:val="000000"/>
          <w:sz w:val="24"/>
          <w:szCs w:val="24"/>
        </w:rPr>
        <w:t>41</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908</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52</w:t>
      </w:r>
      <w:r>
        <w:rPr>
          <w:rFonts w:ascii="宋体" w:eastAsia="宋体" w:hAnsi="宋体" w:cs="Times New Roman" w:hint="eastAsia"/>
          <w:bCs/>
          <w:color w:val="000000"/>
          <w:sz w:val="24"/>
          <w:szCs w:val="24"/>
        </w:rPr>
        <w:t>元</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应分配给本基金全部基金份额持有人。</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3</w:t>
      </w:r>
      <w:r>
        <w:rPr>
          <w:rFonts w:ascii="宋体" w:eastAsia="宋体" w:hAnsi="宋体" w:cs="Times New Roman" w:hint="eastAsia"/>
          <w:bCs/>
          <w:color w:val="000000"/>
          <w:sz w:val="24"/>
          <w:szCs w:val="24"/>
        </w:rPr>
        <w:t>）清算结束日至清算款划出日前的银行存款应计利息、结算备付金应计利息及存出保证金应计利息归基金份额持有人所有。为保护基金份额持有人利益，加快清盘速度，基金管理人可以自有资金先行垫付该笔款项（该金额可能与实际结息金额存在略微差异），供清盘分配使用。基金管理人垫付的资金以及垫付资金到账日起孳生的利息将于清算期后返还给基金管理人。</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6</w:t>
      </w:r>
      <w:r>
        <w:rPr>
          <w:rFonts w:ascii="微软雅黑" w:eastAsia="微软雅黑" w:hAnsi="微软雅黑" w:cs="宋体" w:hint="eastAsia"/>
          <w:b/>
          <w:bCs/>
          <w:color w:val="333333"/>
          <w:kern w:val="0"/>
          <w:sz w:val="27"/>
          <w:szCs w:val="27"/>
        </w:rPr>
        <w:t>、其他需要说明的事项</w:t>
      </w:r>
      <w:r>
        <w:rPr>
          <w:rFonts w:ascii="微软雅黑" w:eastAsia="微软雅黑" w:hAnsi="微软雅黑" w:cs="宋体" w:hint="eastAsia"/>
          <w:b/>
          <w:bCs/>
          <w:color w:val="333333"/>
          <w:kern w:val="0"/>
          <w:sz w:val="27"/>
          <w:szCs w:val="27"/>
        </w:rPr>
        <w:t xml:space="preserve"> </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本清算报告已经基金托管人复核，在经会计师事务所审计、律师事务所出具法律意见书后，报中国证监会备案并向基金份额持有人公告。</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清算报告公告后，基金管理人将遵照法律法规、基金合同等规定及时进行分配。</w:t>
      </w:r>
    </w:p>
    <w:p w:rsidR="001F4BA9" w:rsidRDefault="001F4BA9">
      <w:pPr>
        <w:widowControl/>
        <w:shd w:val="clear" w:color="auto" w:fill="FFFFFF"/>
        <w:spacing w:before="240"/>
        <w:jc w:val="center"/>
        <w:rPr>
          <w:rFonts w:ascii="微软雅黑" w:eastAsia="微软雅黑" w:hAnsi="微软雅黑" w:cs="宋体"/>
          <w:b/>
          <w:bCs/>
          <w:color w:val="333333"/>
          <w:kern w:val="0"/>
          <w:sz w:val="30"/>
          <w:szCs w:val="30"/>
        </w:rPr>
      </w:pPr>
    </w:p>
    <w:p w:rsidR="001F4BA9" w:rsidRDefault="009C051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五、备查文件目录</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1</w:t>
      </w:r>
      <w:r>
        <w:rPr>
          <w:rFonts w:ascii="微软雅黑" w:eastAsia="微软雅黑" w:hAnsi="微软雅黑" w:cs="宋体" w:hint="eastAsia"/>
          <w:b/>
          <w:bCs/>
          <w:color w:val="333333"/>
          <w:kern w:val="0"/>
          <w:sz w:val="27"/>
          <w:szCs w:val="27"/>
        </w:rPr>
        <w:t>、备查文件目录</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《山西证券裕桓一年持有期混合型发起式证券投资基金清算审计报告》</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《上海源泰律师事务所关于山西证券裕桓一年持有期混合型发起式证券投资基金清算报告的法律意见书》</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2</w:t>
      </w:r>
      <w:r>
        <w:rPr>
          <w:rFonts w:ascii="微软雅黑" w:eastAsia="微软雅黑" w:hAnsi="微软雅黑" w:cs="宋体" w:hint="eastAsia"/>
          <w:b/>
          <w:bCs/>
          <w:color w:val="333333"/>
          <w:kern w:val="0"/>
          <w:sz w:val="27"/>
          <w:szCs w:val="27"/>
        </w:rPr>
        <w:t>、存放地点</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基金管理人、基金托管人处</w:t>
      </w:r>
    </w:p>
    <w:p w:rsidR="001F4BA9" w:rsidRDefault="009C051F">
      <w:pPr>
        <w:spacing w:before="100" w:line="360" w:lineRule="auto"/>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3</w:t>
      </w:r>
      <w:r>
        <w:rPr>
          <w:rFonts w:ascii="微软雅黑" w:eastAsia="微软雅黑" w:hAnsi="微软雅黑" w:cs="宋体" w:hint="eastAsia"/>
          <w:b/>
          <w:bCs/>
          <w:color w:val="333333"/>
          <w:kern w:val="0"/>
          <w:sz w:val="27"/>
          <w:szCs w:val="27"/>
        </w:rPr>
        <w:t>、查阅方式</w:t>
      </w:r>
    </w:p>
    <w:p w:rsidR="001F4BA9" w:rsidRDefault="009C051F">
      <w:pPr>
        <w:spacing w:before="100" w:line="360" w:lineRule="auto"/>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投资者可在营业时间免费查阅</w:t>
      </w:r>
    </w:p>
    <w:p w:rsidR="001F4BA9" w:rsidRDefault="001F4BA9">
      <w:pPr>
        <w:spacing w:before="100" w:line="360" w:lineRule="auto"/>
        <w:rPr>
          <w:rFonts w:ascii="宋体" w:eastAsia="宋体" w:hAnsi="宋体" w:cs="Times New Roman"/>
          <w:bCs/>
          <w:color w:val="000000"/>
          <w:sz w:val="24"/>
          <w:szCs w:val="24"/>
        </w:rPr>
      </w:pPr>
    </w:p>
    <w:p w:rsidR="001F4BA9" w:rsidRDefault="009C051F">
      <w:pPr>
        <w:spacing w:before="100" w:line="360" w:lineRule="auto"/>
        <w:ind w:firstLineChars="200" w:firstLine="482"/>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山西证券裕桓一年持有期混合型发起式证券投资基金基金财产清算小组</w:t>
      </w:r>
    </w:p>
    <w:p w:rsidR="001F4BA9" w:rsidRDefault="009C051F">
      <w:pPr>
        <w:widowControl/>
        <w:shd w:val="clear" w:color="auto" w:fill="FFFFFF"/>
        <w:spacing w:before="240" w:line="420" w:lineRule="atLeast"/>
        <w:jc w:val="right"/>
      </w:pPr>
      <w:r>
        <w:rPr>
          <w:rFonts w:ascii="宋体" w:eastAsia="宋体" w:hAnsi="宋体" w:cs="Times New Roman" w:hint="eastAsia"/>
          <w:b/>
          <w:bCs/>
          <w:color w:val="000000"/>
          <w:sz w:val="24"/>
          <w:szCs w:val="24"/>
        </w:rPr>
        <w:t>二〇二四年</w:t>
      </w:r>
      <w:r>
        <w:rPr>
          <w:rFonts w:ascii="宋体" w:eastAsia="宋体" w:hAnsi="宋体" w:cs="Times New Roman" w:hint="eastAsia"/>
          <w:b/>
          <w:bCs/>
          <w:color w:val="000000"/>
          <w:sz w:val="24"/>
          <w:szCs w:val="24"/>
        </w:rPr>
        <w:t>八</w:t>
      </w:r>
      <w:r>
        <w:rPr>
          <w:rFonts w:ascii="宋体" w:eastAsia="宋体" w:hAnsi="宋体" w:cs="Times New Roman" w:hint="eastAsia"/>
          <w:b/>
          <w:bCs/>
          <w:color w:val="000000"/>
          <w:sz w:val="24"/>
          <w:szCs w:val="24"/>
        </w:rPr>
        <w:t>月</w:t>
      </w:r>
      <w:r>
        <w:rPr>
          <w:rFonts w:ascii="宋体" w:eastAsia="宋体" w:hAnsi="宋体" w:cs="Times New Roman" w:hint="eastAsia"/>
          <w:b/>
          <w:bCs/>
          <w:color w:val="000000"/>
          <w:sz w:val="24"/>
          <w:szCs w:val="24"/>
        </w:rPr>
        <w:t>二十七</w:t>
      </w:r>
      <w:bookmarkStart w:id="0" w:name="_GoBack"/>
      <w:bookmarkEnd w:id="0"/>
      <w:r>
        <w:rPr>
          <w:rFonts w:ascii="宋体" w:eastAsia="宋体" w:hAnsi="宋体" w:cs="Times New Roman" w:hint="eastAsia"/>
          <w:b/>
          <w:bCs/>
          <w:color w:val="000000"/>
          <w:sz w:val="24"/>
          <w:szCs w:val="24"/>
        </w:rPr>
        <w:t>日</w:t>
      </w:r>
    </w:p>
    <w:sectPr w:rsidR="001F4BA9" w:rsidSect="001F4B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7600"/>
    <w:multiLevelType w:val="singleLevel"/>
    <w:tmpl w:val="087F76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c5OTc5YjM5MDA3NWRiNWFkZDg0YzQwOGNiZmI3ODUifQ=="/>
  </w:docVars>
  <w:rsids>
    <w:rsidRoot w:val="00473785"/>
    <w:rsid w:val="0003654C"/>
    <w:rsid w:val="00050C13"/>
    <w:rsid w:val="00057A27"/>
    <w:rsid w:val="000658BB"/>
    <w:rsid w:val="00093ED6"/>
    <w:rsid w:val="00094493"/>
    <w:rsid w:val="000944CC"/>
    <w:rsid w:val="000A1B80"/>
    <w:rsid w:val="000C0058"/>
    <w:rsid w:val="000D1B7B"/>
    <w:rsid w:val="001B6D6C"/>
    <w:rsid w:val="001F4BA9"/>
    <w:rsid w:val="0025085C"/>
    <w:rsid w:val="00271F37"/>
    <w:rsid w:val="0033264E"/>
    <w:rsid w:val="00364590"/>
    <w:rsid w:val="003A52AA"/>
    <w:rsid w:val="003C0933"/>
    <w:rsid w:val="003D562A"/>
    <w:rsid w:val="003E20B3"/>
    <w:rsid w:val="00416CC9"/>
    <w:rsid w:val="00422ACC"/>
    <w:rsid w:val="00462F9B"/>
    <w:rsid w:val="00473785"/>
    <w:rsid w:val="00477B82"/>
    <w:rsid w:val="00485B17"/>
    <w:rsid w:val="004C2C5A"/>
    <w:rsid w:val="004C30CD"/>
    <w:rsid w:val="004D2AF0"/>
    <w:rsid w:val="00502858"/>
    <w:rsid w:val="00544344"/>
    <w:rsid w:val="005C092B"/>
    <w:rsid w:val="005C2B36"/>
    <w:rsid w:val="005D112C"/>
    <w:rsid w:val="005E66E9"/>
    <w:rsid w:val="005F73E2"/>
    <w:rsid w:val="006354EA"/>
    <w:rsid w:val="00660E21"/>
    <w:rsid w:val="006B63A5"/>
    <w:rsid w:val="006D24A8"/>
    <w:rsid w:val="006F149A"/>
    <w:rsid w:val="00707E98"/>
    <w:rsid w:val="0071366F"/>
    <w:rsid w:val="0074747F"/>
    <w:rsid w:val="00786A53"/>
    <w:rsid w:val="00796F1A"/>
    <w:rsid w:val="007A79E3"/>
    <w:rsid w:val="007F2A3B"/>
    <w:rsid w:val="00886F4D"/>
    <w:rsid w:val="008C5EFC"/>
    <w:rsid w:val="008D52F5"/>
    <w:rsid w:val="008F07DE"/>
    <w:rsid w:val="00902983"/>
    <w:rsid w:val="00911A46"/>
    <w:rsid w:val="009523D7"/>
    <w:rsid w:val="00953593"/>
    <w:rsid w:val="009964B9"/>
    <w:rsid w:val="009C051F"/>
    <w:rsid w:val="009D23EF"/>
    <w:rsid w:val="00A02D0D"/>
    <w:rsid w:val="00A86D48"/>
    <w:rsid w:val="00A92A5F"/>
    <w:rsid w:val="00AD18AE"/>
    <w:rsid w:val="00AD4B52"/>
    <w:rsid w:val="00B50A5F"/>
    <w:rsid w:val="00BB1122"/>
    <w:rsid w:val="00C407CC"/>
    <w:rsid w:val="00C4135F"/>
    <w:rsid w:val="00C835DF"/>
    <w:rsid w:val="00D4144C"/>
    <w:rsid w:val="00D713FD"/>
    <w:rsid w:val="00D95173"/>
    <w:rsid w:val="00D95716"/>
    <w:rsid w:val="00DA6662"/>
    <w:rsid w:val="00DB3522"/>
    <w:rsid w:val="00DE477B"/>
    <w:rsid w:val="00DF78BF"/>
    <w:rsid w:val="00E54E00"/>
    <w:rsid w:val="00E71BA8"/>
    <w:rsid w:val="00E95A1E"/>
    <w:rsid w:val="00EC0D86"/>
    <w:rsid w:val="00F036B7"/>
    <w:rsid w:val="00F05535"/>
    <w:rsid w:val="00F45D29"/>
    <w:rsid w:val="00F46D1B"/>
    <w:rsid w:val="00F7625E"/>
    <w:rsid w:val="00F77773"/>
    <w:rsid w:val="00F9471C"/>
    <w:rsid w:val="00FF6996"/>
    <w:rsid w:val="0F3B6561"/>
    <w:rsid w:val="139E7D1B"/>
    <w:rsid w:val="2C206763"/>
    <w:rsid w:val="32C0264B"/>
    <w:rsid w:val="36FB4AC7"/>
    <w:rsid w:val="37193C8A"/>
    <w:rsid w:val="3D09729A"/>
    <w:rsid w:val="478D0A20"/>
    <w:rsid w:val="4AD93A54"/>
    <w:rsid w:val="5FC632A0"/>
    <w:rsid w:val="75B62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A9"/>
    <w:pPr>
      <w:widowControl w:val="0"/>
      <w:jc w:val="both"/>
    </w:pPr>
    <w:rPr>
      <w:rFonts w:asciiTheme="minorHAnsi" w:eastAsiaTheme="minorEastAsia" w:hAnsiTheme="minorHAnsi" w:cstheme="minorBidi"/>
      <w:kern w:val="2"/>
      <w:sz w:val="21"/>
      <w:szCs w:val="22"/>
    </w:rPr>
  </w:style>
  <w:style w:type="paragraph" w:styleId="3">
    <w:name w:val="heading 3"/>
    <w:basedOn w:val="a"/>
    <w:link w:val="3Char"/>
    <w:uiPriority w:val="9"/>
    <w:qFormat/>
    <w:rsid w:val="001F4BA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F4BA9"/>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F4BA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4BA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4BA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F4BA9"/>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qFormat/>
    <w:rsid w:val="001F4BA9"/>
    <w:rPr>
      <w:rFonts w:ascii="宋体" w:eastAsia="宋体" w:hAnsi="宋体" w:cs="宋体"/>
      <w:b/>
      <w:bCs/>
      <w:kern w:val="0"/>
      <w:sz w:val="27"/>
      <w:szCs w:val="27"/>
    </w:rPr>
  </w:style>
  <w:style w:type="character" w:customStyle="1" w:styleId="4Char">
    <w:name w:val="标题 4 Char"/>
    <w:basedOn w:val="a0"/>
    <w:link w:val="4"/>
    <w:uiPriority w:val="9"/>
    <w:qFormat/>
    <w:rsid w:val="001F4BA9"/>
    <w:rPr>
      <w:rFonts w:ascii="宋体" w:eastAsia="宋体" w:hAnsi="宋体" w:cs="宋体"/>
      <w:b/>
      <w:bCs/>
      <w:kern w:val="0"/>
      <w:sz w:val="24"/>
      <w:szCs w:val="24"/>
    </w:rPr>
  </w:style>
  <w:style w:type="character" w:customStyle="1" w:styleId="5Char">
    <w:name w:val="标题 5 Char"/>
    <w:basedOn w:val="a0"/>
    <w:link w:val="5"/>
    <w:uiPriority w:val="9"/>
    <w:qFormat/>
    <w:rsid w:val="001F4BA9"/>
    <w:rPr>
      <w:rFonts w:ascii="宋体" w:eastAsia="宋体" w:hAnsi="宋体" w:cs="宋体"/>
      <w:b/>
      <w:bCs/>
      <w:kern w:val="0"/>
      <w:sz w:val="20"/>
      <w:szCs w:val="20"/>
    </w:rPr>
  </w:style>
  <w:style w:type="paragraph" w:customStyle="1" w:styleId="Default">
    <w:name w:val="Default"/>
    <w:qFormat/>
    <w:rsid w:val="001F4BA9"/>
    <w:pPr>
      <w:widowControl w:val="0"/>
      <w:autoSpaceDE w:val="0"/>
      <w:autoSpaceDN w:val="0"/>
      <w:adjustRightInd w:val="0"/>
    </w:pPr>
    <w:rPr>
      <w:rFonts w:ascii="宋体" w:hAnsiTheme="minorHAnsi" w:cs="宋体"/>
      <w:color w:val="000000"/>
      <w:sz w:val="24"/>
      <w:szCs w:val="24"/>
    </w:rPr>
  </w:style>
  <w:style w:type="paragraph" w:customStyle="1" w:styleId="biaogeleft">
    <w:name w:val="biaoge_left"/>
    <w:basedOn w:val="a"/>
    <w:qFormat/>
    <w:rsid w:val="001F4BA9"/>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neirong">
    <w:name w:val="neirong"/>
    <w:basedOn w:val="a"/>
    <w:qFormat/>
    <w:rsid w:val="001F4BA9"/>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
    <w:name w:val="模板-正文"/>
    <w:basedOn w:val="a5"/>
    <w:link w:val="-Char"/>
    <w:qFormat/>
    <w:rsid w:val="001F4BA9"/>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lang w:val="zh-CN"/>
    </w:rPr>
  </w:style>
  <w:style w:type="character" w:customStyle="1" w:styleId="-Char">
    <w:name w:val="模板-正文 Char"/>
    <w:link w:val="-"/>
    <w:qFormat/>
    <w:rsid w:val="001F4BA9"/>
    <w:rPr>
      <w:rFonts w:ascii="宋体" w:eastAsia="宋体" w:hAnsi="宋体" w:cs="Times New Roman"/>
      <w:color w:val="222222"/>
      <w:kern w:val="0"/>
      <w:szCs w:val="21"/>
      <w:shd w:val="clear" w:color="auto" w:fill="FFFFFF"/>
      <w:lang w:val="zh-CN"/>
    </w:rPr>
  </w:style>
  <w:style w:type="character" w:customStyle="1" w:styleId="Char0">
    <w:name w:val="页眉 Char"/>
    <w:basedOn w:val="a0"/>
    <w:link w:val="a4"/>
    <w:uiPriority w:val="99"/>
    <w:qFormat/>
    <w:rsid w:val="001F4BA9"/>
    <w:rPr>
      <w:sz w:val="18"/>
      <w:szCs w:val="18"/>
    </w:rPr>
  </w:style>
  <w:style w:type="character" w:customStyle="1" w:styleId="Char">
    <w:name w:val="页脚 Char"/>
    <w:basedOn w:val="a0"/>
    <w:link w:val="a3"/>
    <w:uiPriority w:val="99"/>
    <w:qFormat/>
    <w:rsid w:val="001F4BA9"/>
    <w:rPr>
      <w:sz w:val="18"/>
      <w:szCs w:val="18"/>
    </w:rPr>
  </w:style>
  <w:style w:type="paragraph" w:customStyle="1" w:styleId="wenzishuom">
    <w:name w:val="wenzishuom"/>
    <w:basedOn w:val="a"/>
    <w:qFormat/>
    <w:rsid w:val="001F4BA9"/>
    <w:pPr>
      <w:widowControl/>
      <w:autoSpaceDE w:val="0"/>
      <w:autoSpaceDN w:val="0"/>
      <w:adjustRightInd w:val="0"/>
      <w:spacing w:before="29" w:line="288" w:lineRule="auto"/>
      <w:ind w:left="15"/>
    </w:pPr>
    <w:rPr>
      <w:rFonts w:ascii="宋体" w:eastAsia="宋体" w:hAnsi="宋体" w:cs="宋体"/>
      <w:kern w:val="0"/>
      <w:szCs w:val="21"/>
    </w:rPr>
  </w:style>
  <w:style w:type="paragraph" w:styleId="a6">
    <w:name w:val="List Paragraph"/>
    <w:basedOn w:val="a"/>
    <w:uiPriority w:val="99"/>
    <w:unhideWhenUsed/>
    <w:qFormat/>
    <w:rsid w:val="001F4BA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3557</Characters>
  <Application>Microsoft Office Word</Application>
  <DocSecurity>4</DocSecurity>
  <Lines>29</Lines>
  <Paragraphs>8</Paragraphs>
  <ScaleCrop>false</ScaleCrop>
  <Company>CNSTOCK</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dcterms:created xsi:type="dcterms:W3CDTF">2024-08-26T16:01:00Z</dcterms:created>
  <dcterms:modified xsi:type="dcterms:W3CDTF">2024-08-26T16:01:00Z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10BEE8FE0F67463BAD3431C3A6E31150_12</vt:lpwstr>
  </property>
</Properties>
</file>