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6CF" w:rsidRDefault="001C7D36">
      <w:pPr>
        <w:spacing w:line="360" w:lineRule="auto"/>
        <w:ind w:leftChars="100" w:left="210"/>
        <w:jc w:val="center"/>
        <w:rPr>
          <w:b/>
          <w:sz w:val="28"/>
          <w:szCs w:val="28"/>
        </w:rPr>
      </w:pPr>
      <w:r>
        <w:rPr>
          <w:rFonts w:hint="eastAsia"/>
          <w:b/>
          <w:sz w:val="28"/>
          <w:szCs w:val="28"/>
        </w:rPr>
        <w:t>方正富邦基金管理有限</w:t>
      </w:r>
      <w:r>
        <w:rPr>
          <w:rFonts w:hint="eastAsia"/>
          <w:b/>
          <w:sz w:val="28"/>
          <w:szCs w:val="28"/>
        </w:rPr>
        <w:t>公司</w:t>
      </w:r>
    </w:p>
    <w:p w:rsidR="00F836CF" w:rsidRDefault="001C7D36">
      <w:pPr>
        <w:spacing w:line="360" w:lineRule="auto"/>
        <w:ind w:leftChars="100" w:left="210"/>
        <w:jc w:val="center"/>
        <w:rPr>
          <w:b/>
          <w:sz w:val="28"/>
          <w:szCs w:val="28"/>
        </w:rPr>
      </w:pPr>
      <w:r>
        <w:rPr>
          <w:rFonts w:hint="eastAsia"/>
          <w:b/>
          <w:sz w:val="28"/>
          <w:szCs w:val="28"/>
        </w:rPr>
        <w:t>关于旗下部分上交所</w:t>
      </w:r>
      <w:r>
        <w:rPr>
          <w:rFonts w:hint="eastAsia"/>
          <w:b/>
          <w:sz w:val="28"/>
          <w:szCs w:val="28"/>
        </w:rPr>
        <w:t>ET</w:t>
      </w:r>
      <w:r>
        <w:rPr>
          <w:rFonts w:hint="eastAsia"/>
          <w:b/>
          <w:sz w:val="28"/>
          <w:szCs w:val="28"/>
        </w:rPr>
        <w:t>F</w:t>
      </w:r>
      <w:r>
        <w:rPr>
          <w:rFonts w:hint="eastAsia"/>
          <w:b/>
          <w:sz w:val="28"/>
          <w:szCs w:val="28"/>
        </w:rPr>
        <w:t>新增申购赎回代办证券公司的公告</w:t>
      </w:r>
    </w:p>
    <w:p w:rsidR="00F836CF" w:rsidRDefault="001C7D36">
      <w:pPr>
        <w:pStyle w:val="a8"/>
        <w:spacing w:before="0" w:beforeAutospacing="0" w:after="0" w:afterAutospacing="0" w:line="360" w:lineRule="auto"/>
        <w:ind w:firstLineChars="200" w:firstLine="420"/>
        <w:jc w:val="both"/>
        <w:rPr>
          <w:sz w:val="21"/>
          <w:szCs w:val="21"/>
        </w:rPr>
      </w:pPr>
      <w:r>
        <w:rPr>
          <w:rFonts w:hint="eastAsia"/>
          <w:sz w:val="21"/>
          <w:szCs w:val="21"/>
        </w:rPr>
        <w:t>自</w:t>
      </w:r>
      <w:r>
        <w:rPr>
          <w:rFonts w:hint="eastAsia"/>
          <w:sz w:val="21"/>
          <w:szCs w:val="21"/>
        </w:rPr>
        <w:t>2024</w:t>
      </w:r>
      <w:r>
        <w:rPr>
          <w:rFonts w:hint="eastAsia"/>
          <w:sz w:val="21"/>
          <w:szCs w:val="21"/>
        </w:rPr>
        <w:t>年</w:t>
      </w:r>
      <w:r>
        <w:rPr>
          <w:rFonts w:hint="eastAsia"/>
          <w:sz w:val="21"/>
          <w:szCs w:val="21"/>
        </w:rPr>
        <w:t>8</w:t>
      </w:r>
      <w:r>
        <w:rPr>
          <w:rFonts w:hint="eastAsia"/>
          <w:sz w:val="21"/>
          <w:szCs w:val="21"/>
        </w:rPr>
        <w:t>月</w:t>
      </w:r>
      <w:r>
        <w:rPr>
          <w:rFonts w:hint="eastAsia"/>
          <w:sz w:val="21"/>
          <w:szCs w:val="21"/>
        </w:rPr>
        <w:t>28</w:t>
      </w:r>
      <w:r>
        <w:rPr>
          <w:rFonts w:hint="eastAsia"/>
          <w:sz w:val="21"/>
          <w:szCs w:val="21"/>
        </w:rPr>
        <w:t>日起，</w:t>
      </w:r>
      <w:r>
        <w:rPr>
          <w:rFonts w:hint="eastAsia"/>
          <w:sz w:val="21"/>
          <w:szCs w:val="21"/>
        </w:rPr>
        <w:t xml:space="preserve"> </w:t>
      </w:r>
      <w:r>
        <w:rPr>
          <w:rFonts w:hint="eastAsia"/>
          <w:sz w:val="21"/>
          <w:szCs w:val="21"/>
        </w:rPr>
        <w:t>方正富邦基金管理有限公司（以下简称“本公司”）</w:t>
      </w:r>
      <w:r>
        <w:rPr>
          <w:rFonts w:hint="eastAsia"/>
          <w:sz w:val="21"/>
          <w:szCs w:val="21"/>
        </w:rPr>
        <w:t xml:space="preserve"> </w:t>
      </w:r>
      <w:r>
        <w:rPr>
          <w:rFonts w:hint="eastAsia"/>
          <w:sz w:val="21"/>
          <w:szCs w:val="21"/>
        </w:rPr>
        <w:t>旗下部分上交所</w:t>
      </w:r>
      <w:r>
        <w:rPr>
          <w:rFonts w:hint="eastAsia"/>
          <w:sz w:val="21"/>
          <w:szCs w:val="21"/>
        </w:rPr>
        <w:t>ETF</w:t>
      </w:r>
      <w:r>
        <w:rPr>
          <w:rFonts w:hint="eastAsia"/>
          <w:sz w:val="21"/>
          <w:szCs w:val="21"/>
        </w:rPr>
        <w:t>新增部分销售机构为申购赎回代办证券公司。具体情况如下：</w:t>
      </w:r>
    </w:p>
    <w:p w:rsidR="00F836CF" w:rsidRDefault="001C7D36">
      <w:pPr>
        <w:pStyle w:val="a8"/>
        <w:spacing w:before="0" w:beforeAutospacing="0" w:after="0" w:afterAutospacing="0" w:line="360" w:lineRule="auto"/>
        <w:ind w:firstLineChars="200" w:firstLine="420"/>
        <w:jc w:val="both"/>
        <w:rPr>
          <w:sz w:val="21"/>
          <w:szCs w:val="21"/>
        </w:rPr>
      </w:pPr>
      <w:r>
        <w:rPr>
          <w:rFonts w:hint="eastAsia"/>
          <w:sz w:val="21"/>
          <w:szCs w:val="21"/>
        </w:rPr>
        <w:t>一、新增申赎代办证券公司及对应基金</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
      <w:tblGrid>
        <w:gridCol w:w="991"/>
        <w:gridCol w:w="3784"/>
        <w:gridCol w:w="750"/>
        <w:gridCol w:w="1178"/>
        <w:gridCol w:w="1819"/>
      </w:tblGrid>
      <w:tr w:rsidR="00F836CF">
        <w:trPr>
          <w:cantSplit/>
          <w:trHeight w:val="278"/>
          <w:tblHeader/>
        </w:trPr>
        <w:tc>
          <w:tcPr>
            <w:tcW w:w="581" w:type="pct"/>
            <w:shd w:val="clear" w:color="auto" w:fill="FFFFFF" w:themeFill="background1"/>
            <w:noWrap/>
            <w:vAlign w:val="center"/>
          </w:tcPr>
          <w:p w:rsidR="00F836CF" w:rsidRDefault="001C7D36">
            <w:pPr>
              <w:spacing w:line="360" w:lineRule="auto"/>
              <w:jc w:val="center"/>
              <w:rPr>
                <w:b/>
                <w:bCs/>
              </w:rPr>
            </w:pPr>
            <w:r>
              <w:rPr>
                <w:rFonts w:hint="eastAsia"/>
                <w:b/>
                <w:bCs/>
              </w:rPr>
              <w:t>基金</w:t>
            </w:r>
          </w:p>
          <w:p w:rsidR="00F836CF" w:rsidRDefault="001C7D36">
            <w:pPr>
              <w:spacing w:line="360" w:lineRule="auto"/>
              <w:jc w:val="center"/>
              <w:rPr>
                <w:b/>
                <w:bCs/>
              </w:rPr>
            </w:pPr>
            <w:r>
              <w:rPr>
                <w:rFonts w:hint="eastAsia"/>
                <w:b/>
                <w:bCs/>
              </w:rPr>
              <w:t>代码</w:t>
            </w:r>
          </w:p>
        </w:tc>
        <w:tc>
          <w:tcPr>
            <w:tcW w:w="2219" w:type="pct"/>
            <w:shd w:val="clear" w:color="auto" w:fill="FFFFFF" w:themeFill="background1"/>
            <w:noWrap/>
            <w:vAlign w:val="center"/>
          </w:tcPr>
          <w:p w:rsidR="00F836CF" w:rsidRDefault="001C7D36">
            <w:pPr>
              <w:spacing w:line="360" w:lineRule="auto"/>
              <w:jc w:val="center"/>
              <w:rPr>
                <w:b/>
                <w:bCs/>
              </w:rPr>
            </w:pPr>
            <w:r>
              <w:rPr>
                <w:rFonts w:hint="eastAsia"/>
                <w:b/>
                <w:bCs/>
              </w:rPr>
              <w:t>基金全称</w:t>
            </w:r>
          </w:p>
        </w:tc>
        <w:tc>
          <w:tcPr>
            <w:tcW w:w="440" w:type="pct"/>
            <w:shd w:val="clear" w:color="auto" w:fill="FFFFFF" w:themeFill="background1"/>
            <w:noWrap/>
            <w:vAlign w:val="center"/>
          </w:tcPr>
          <w:p w:rsidR="00F836CF" w:rsidRDefault="001C7D36">
            <w:pPr>
              <w:spacing w:line="360" w:lineRule="auto"/>
              <w:jc w:val="center"/>
              <w:rPr>
                <w:b/>
                <w:bCs/>
              </w:rPr>
            </w:pPr>
            <w:r>
              <w:rPr>
                <w:rFonts w:hint="eastAsia"/>
                <w:b/>
                <w:bCs/>
              </w:rPr>
              <w:t>场内简称</w:t>
            </w:r>
          </w:p>
        </w:tc>
        <w:tc>
          <w:tcPr>
            <w:tcW w:w="691" w:type="pct"/>
            <w:shd w:val="clear" w:color="auto" w:fill="FFFFFF" w:themeFill="background1"/>
            <w:noWrap/>
            <w:vAlign w:val="center"/>
          </w:tcPr>
          <w:p w:rsidR="00F836CF" w:rsidRDefault="001C7D36">
            <w:pPr>
              <w:spacing w:line="360" w:lineRule="auto"/>
              <w:jc w:val="center"/>
              <w:rPr>
                <w:b/>
                <w:bCs/>
              </w:rPr>
            </w:pPr>
            <w:r>
              <w:rPr>
                <w:rFonts w:hint="eastAsia"/>
                <w:b/>
                <w:bCs/>
              </w:rPr>
              <w:t>扩位简称</w:t>
            </w:r>
          </w:p>
        </w:tc>
        <w:tc>
          <w:tcPr>
            <w:tcW w:w="1067" w:type="pct"/>
            <w:shd w:val="clear" w:color="auto" w:fill="FFFFFF" w:themeFill="background1"/>
            <w:noWrap/>
            <w:vAlign w:val="center"/>
          </w:tcPr>
          <w:p w:rsidR="00F836CF" w:rsidRDefault="001C7D36">
            <w:pPr>
              <w:spacing w:line="360" w:lineRule="auto"/>
              <w:jc w:val="center"/>
              <w:rPr>
                <w:b/>
                <w:bCs/>
              </w:rPr>
            </w:pPr>
            <w:r>
              <w:rPr>
                <w:rFonts w:hint="eastAsia"/>
                <w:b/>
                <w:bCs/>
              </w:rPr>
              <w:t>新增申赎代办证券公司</w:t>
            </w:r>
          </w:p>
        </w:tc>
      </w:tr>
      <w:tr w:rsidR="00F836CF">
        <w:trPr>
          <w:cantSplit/>
          <w:trHeight w:val="278"/>
          <w:tblHeader/>
        </w:trPr>
        <w:tc>
          <w:tcPr>
            <w:tcW w:w="581" w:type="pct"/>
            <w:shd w:val="clear" w:color="auto" w:fill="FFFFFF" w:themeFill="background1"/>
            <w:noWrap/>
            <w:vAlign w:val="center"/>
          </w:tcPr>
          <w:p w:rsidR="00F836CF" w:rsidRDefault="001C7D36">
            <w:pPr>
              <w:spacing w:line="360" w:lineRule="auto"/>
              <w:jc w:val="left"/>
            </w:pPr>
            <w:r>
              <w:rPr>
                <w:rFonts w:hint="eastAsia"/>
              </w:rPr>
              <w:t>510550</w:t>
            </w:r>
          </w:p>
        </w:tc>
        <w:tc>
          <w:tcPr>
            <w:tcW w:w="2219" w:type="pct"/>
            <w:shd w:val="clear" w:color="auto" w:fill="FFFFFF" w:themeFill="background1"/>
            <w:noWrap/>
            <w:vAlign w:val="center"/>
          </w:tcPr>
          <w:p w:rsidR="00F836CF" w:rsidRDefault="001C7D36">
            <w:pPr>
              <w:spacing w:line="360" w:lineRule="auto"/>
              <w:jc w:val="left"/>
            </w:pPr>
            <w:r>
              <w:rPr>
                <w:rFonts w:hint="eastAsia"/>
              </w:rPr>
              <w:t>方正富邦中证</w:t>
            </w:r>
            <w:r>
              <w:rPr>
                <w:rFonts w:hint="eastAsia"/>
              </w:rPr>
              <w:t>500</w:t>
            </w:r>
            <w:r>
              <w:rPr>
                <w:rFonts w:hint="eastAsia"/>
              </w:rPr>
              <w:t>交易型开放式指数证券投资基金</w:t>
            </w:r>
          </w:p>
        </w:tc>
        <w:tc>
          <w:tcPr>
            <w:tcW w:w="440" w:type="pct"/>
            <w:shd w:val="clear" w:color="auto" w:fill="FFFFFF" w:themeFill="background1"/>
            <w:noWrap/>
            <w:vAlign w:val="center"/>
          </w:tcPr>
          <w:p w:rsidR="00F836CF" w:rsidRDefault="001C7D36">
            <w:pPr>
              <w:spacing w:line="360" w:lineRule="auto"/>
              <w:jc w:val="left"/>
            </w:pPr>
            <w:r>
              <w:rPr>
                <w:rFonts w:hint="eastAsia"/>
              </w:rPr>
              <w:t>方正</w:t>
            </w:r>
            <w:r>
              <w:rPr>
                <w:rFonts w:hint="eastAsia"/>
              </w:rPr>
              <w:t>500</w:t>
            </w:r>
          </w:p>
        </w:tc>
        <w:tc>
          <w:tcPr>
            <w:tcW w:w="691" w:type="pct"/>
            <w:shd w:val="clear" w:color="auto" w:fill="FFFFFF" w:themeFill="background1"/>
            <w:noWrap/>
            <w:vAlign w:val="center"/>
          </w:tcPr>
          <w:p w:rsidR="00F836CF" w:rsidRDefault="001C7D36">
            <w:pPr>
              <w:spacing w:line="360" w:lineRule="auto"/>
              <w:jc w:val="left"/>
            </w:pPr>
            <w:r>
              <w:rPr>
                <w:rFonts w:hint="eastAsia"/>
              </w:rPr>
              <w:t>方正中证</w:t>
            </w:r>
            <w:r>
              <w:rPr>
                <w:rFonts w:hint="eastAsia"/>
              </w:rPr>
              <w:t>500ETF</w:t>
            </w:r>
          </w:p>
        </w:tc>
        <w:tc>
          <w:tcPr>
            <w:tcW w:w="1067" w:type="pct"/>
            <w:vMerge w:val="restart"/>
            <w:shd w:val="clear" w:color="auto" w:fill="FFFFFF" w:themeFill="background1"/>
            <w:noWrap/>
            <w:vAlign w:val="center"/>
          </w:tcPr>
          <w:p w:rsidR="00F836CF" w:rsidRDefault="001C7D36">
            <w:pPr>
              <w:spacing w:line="360" w:lineRule="auto"/>
              <w:jc w:val="left"/>
            </w:pPr>
            <w:r>
              <w:rPr>
                <w:rFonts w:hint="eastAsia"/>
              </w:rPr>
              <w:t>渤海证券股份有限公司</w:t>
            </w:r>
          </w:p>
        </w:tc>
      </w:tr>
      <w:tr w:rsidR="00F836CF">
        <w:trPr>
          <w:cantSplit/>
          <w:trHeight w:val="278"/>
          <w:tblHeader/>
        </w:trPr>
        <w:tc>
          <w:tcPr>
            <w:tcW w:w="581" w:type="pct"/>
            <w:shd w:val="clear" w:color="auto" w:fill="FFFFFF" w:themeFill="background1"/>
            <w:noWrap/>
            <w:vAlign w:val="center"/>
          </w:tcPr>
          <w:p w:rsidR="00F836CF" w:rsidRDefault="001C7D36">
            <w:pPr>
              <w:spacing w:line="360" w:lineRule="auto"/>
              <w:jc w:val="left"/>
            </w:pPr>
            <w:r>
              <w:rPr>
                <w:rFonts w:hint="eastAsia"/>
              </w:rPr>
              <w:t>515360</w:t>
            </w:r>
          </w:p>
        </w:tc>
        <w:tc>
          <w:tcPr>
            <w:tcW w:w="2219" w:type="pct"/>
            <w:shd w:val="clear" w:color="auto" w:fill="FFFFFF" w:themeFill="background1"/>
            <w:noWrap/>
            <w:vAlign w:val="center"/>
          </w:tcPr>
          <w:p w:rsidR="00F836CF" w:rsidRDefault="001C7D36">
            <w:pPr>
              <w:spacing w:line="360" w:lineRule="auto"/>
              <w:jc w:val="left"/>
            </w:pPr>
            <w:r>
              <w:rPr>
                <w:rFonts w:hint="eastAsia"/>
              </w:rPr>
              <w:t>方正富邦沪深</w:t>
            </w:r>
            <w:r>
              <w:rPr>
                <w:rFonts w:hint="eastAsia"/>
              </w:rPr>
              <w:t>300</w:t>
            </w:r>
            <w:r>
              <w:rPr>
                <w:rFonts w:hint="eastAsia"/>
              </w:rPr>
              <w:t>交易型开放式指数证券投资基金</w:t>
            </w:r>
          </w:p>
        </w:tc>
        <w:tc>
          <w:tcPr>
            <w:tcW w:w="440" w:type="pct"/>
            <w:shd w:val="clear" w:color="auto" w:fill="FFFFFF" w:themeFill="background1"/>
            <w:noWrap/>
            <w:vAlign w:val="center"/>
          </w:tcPr>
          <w:p w:rsidR="00F836CF" w:rsidRDefault="001C7D36">
            <w:pPr>
              <w:spacing w:line="360" w:lineRule="auto"/>
              <w:jc w:val="left"/>
            </w:pPr>
            <w:r>
              <w:rPr>
                <w:rFonts w:hint="eastAsia"/>
              </w:rPr>
              <w:t>方正</w:t>
            </w:r>
            <w:r>
              <w:rPr>
                <w:rFonts w:hint="eastAsia"/>
              </w:rPr>
              <w:t>300</w:t>
            </w:r>
          </w:p>
        </w:tc>
        <w:tc>
          <w:tcPr>
            <w:tcW w:w="691" w:type="pct"/>
            <w:shd w:val="clear" w:color="auto" w:fill="FFFFFF" w:themeFill="background1"/>
            <w:noWrap/>
            <w:vAlign w:val="center"/>
          </w:tcPr>
          <w:p w:rsidR="00F836CF" w:rsidRDefault="001C7D36">
            <w:pPr>
              <w:spacing w:line="360" w:lineRule="auto"/>
              <w:jc w:val="left"/>
            </w:pPr>
            <w:r>
              <w:rPr>
                <w:rFonts w:hint="eastAsia"/>
              </w:rPr>
              <w:t>方正沪深</w:t>
            </w:r>
            <w:r>
              <w:rPr>
                <w:rFonts w:hint="eastAsia"/>
              </w:rPr>
              <w:t>300ETF</w:t>
            </w:r>
          </w:p>
        </w:tc>
        <w:tc>
          <w:tcPr>
            <w:tcW w:w="1067" w:type="pct"/>
            <w:vMerge/>
            <w:shd w:val="clear" w:color="auto" w:fill="FFFFFF" w:themeFill="background1"/>
            <w:noWrap/>
            <w:vAlign w:val="center"/>
          </w:tcPr>
          <w:p w:rsidR="00F836CF" w:rsidRDefault="00F836CF">
            <w:pPr>
              <w:spacing w:line="360" w:lineRule="auto"/>
              <w:jc w:val="left"/>
            </w:pPr>
          </w:p>
        </w:tc>
      </w:tr>
      <w:tr w:rsidR="00F836CF">
        <w:trPr>
          <w:cantSplit/>
          <w:trHeight w:val="278"/>
          <w:tblHeader/>
        </w:trPr>
        <w:tc>
          <w:tcPr>
            <w:tcW w:w="581" w:type="pct"/>
            <w:shd w:val="clear" w:color="auto" w:fill="FFFFFF" w:themeFill="background1"/>
            <w:noWrap/>
            <w:vAlign w:val="center"/>
          </w:tcPr>
          <w:p w:rsidR="00F836CF" w:rsidRDefault="001C7D36">
            <w:pPr>
              <w:spacing w:line="360" w:lineRule="auto"/>
              <w:jc w:val="left"/>
            </w:pPr>
            <w:r>
              <w:rPr>
                <w:rFonts w:hint="eastAsia"/>
              </w:rPr>
              <w:t>517800</w:t>
            </w:r>
          </w:p>
        </w:tc>
        <w:tc>
          <w:tcPr>
            <w:tcW w:w="2219" w:type="pct"/>
            <w:shd w:val="clear" w:color="auto" w:fill="FFFFFF" w:themeFill="background1"/>
            <w:noWrap/>
            <w:vAlign w:val="center"/>
          </w:tcPr>
          <w:p w:rsidR="00F836CF" w:rsidRDefault="001C7D36">
            <w:pPr>
              <w:spacing w:line="360" w:lineRule="auto"/>
              <w:jc w:val="left"/>
            </w:pPr>
            <w:r>
              <w:rPr>
                <w:rFonts w:hint="eastAsia"/>
              </w:rPr>
              <w:t>方正富邦中证沪港深人工智能</w:t>
            </w:r>
            <w:r>
              <w:rPr>
                <w:rFonts w:hint="eastAsia"/>
              </w:rPr>
              <w:t>50</w:t>
            </w:r>
            <w:r>
              <w:rPr>
                <w:rFonts w:hint="eastAsia"/>
              </w:rPr>
              <w:t>交易型开放式指数证券投资基金</w:t>
            </w:r>
          </w:p>
        </w:tc>
        <w:tc>
          <w:tcPr>
            <w:tcW w:w="440" w:type="pct"/>
            <w:shd w:val="clear" w:color="auto" w:fill="FFFFFF" w:themeFill="background1"/>
            <w:noWrap/>
            <w:vAlign w:val="center"/>
          </w:tcPr>
          <w:p w:rsidR="00F836CF" w:rsidRDefault="001C7D36">
            <w:pPr>
              <w:spacing w:line="360" w:lineRule="auto"/>
              <w:jc w:val="left"/>
            </w:pPr>
            <w:r>
              <w:rPr>
                <w:rFonts w:hint="eastAsia"/>
              </w:rPr>
              <w:t>AI50</w:t>
            </w:r>
          </w:p>
        </w:tc>
        <w:tc>
          <w:tcPr>
            <w:tcW w:w="691" w:type="pct"/>
            <w:shd w:val="clear" w:color="auto" w:fill="FFFFFF" w:themeFill="background1"/>
            <w:noWrap/>
            <w:vAlign w:val="center"/>
          </w:tcPr>
          <w:p w:rsidR="00F836CF" w:rsidRDefault="001C7D36">
            <w:pPr>
              <w:spacing w:line="360" w:lineRule="auto"/>
              <w:jc w:val="left"/>
            </w:pPr>
            <w:r>
              <w:rPr>
                <w:rFonts w:hint="eastAsia"/>
              </w:rPr>
              <w:t>人工智能</w:t>
            </w:r>
            <w:r>
              <w:rPr>
                <w:rFonts w:hint="eastAsia"/>
              </w:rPr>
              <w:t>50ETF</w:t>
            </w:r>
          </w:p>
        </w:tc>
        <w:tc>
          <w:tcPr>
            <w:tcW w:w="1067" w:type="pct"/>
            <w:vMerge/>
            <w:shd w:val="clear" w:color="auto" w:fill="FFFFFF" w:themeFill="background1"/>
            <w:noWrap/>
            <w:vAlign w:val="center"/>
          </w:tcPr>
          <w:p w:rsidR="00F836CF" w:rsidRDefault="00F836CF">
            <w:pPr>
              <w:spacing w:line="360" w:lineRule="auto"/>
              <w:jc w:val="left"/>
            </w:pPr>
          </w:p>
        </w:tc>
      </w:tr>
      <w:tr w:rsidR="00F836CF">
        <w:trPr>
          <w:cantSplit/>
          <w:trHeight w:val="278"/>
          <w:tblHeader/>
        </w:trPr>
        <w:tc>
          <w:tcPr>
            <w:tcW w:w="581" w:type="pct"/>
            <w:shd w:val="clear" w:color="auto" w:fill="FFFFFF" w:themeFill="background1"/>
            <w:noWrap/>
            <w:vAlign w:val="center"/>
          </w:tcPr>
          <w:p w:rsidR="00F836CF" w:rsidRDefault="001C7D36">
            <w:pPr>
              <w:spacing w:line="360" w:lineRule="auto"/>
              <w:jc w:val="left"/>
            </w:pPr>
            <w:r>
              <w:rPr>
                <w:rFonts w:hint="eastAsia"/>
              </w:rPr>
              <w:t>588310</w:t>
            </w:r>
          </w:p>
        </w:tc>
        <w:tc>
          <w:tcPr>
            <w:tcW w:w="2219" w:type="pct"/>
            <w:shd w:val="clear" w:color="auto" w:fill="FFFFFF" w:themeFill="background1"/>
            <w:noWrap/>
            <w:vAlign w:val="center"/>
          </w:tcPr>
          <w:p w:rsidR="00F836CF" w:rsidRDefault="001C7D36">
            <w:pPr>
              <w:spacing w:line="360" w:lineRule="auto"/>
              <w:jc w:val="left"/>
            </w:pPr>
            <w:r>
              <w:rPr>
                <w:rFonts w:hint="eastAsia"/>
              </w:rPr>
              <w:t>方正富邦中证科创创业</w:t>
            </w:r>
            <w:r>
              <w:rPr>
                <w:rFonts w:hint="eastAsia"/>
              </w:rPr>
              <w:t>50</w:t>
            </w:r>
            <w:r>
              <w:rPr>
                <w:rFonts w:hint="eastAsia"/>
              </w:rPr>
              <w:t>交易型开放式指数证券投资基金</w:t>
            </w:r>
          </w:p>
        </w:tc>
        <w:tc>
          <w:tcPr>
            <w:tcW w:w="440" w:type="pct"/>
            <w:shd w:val="clear" w:color="auto" w:fill="FFFFFF" w:themeFill="background1"/>
            <w:noWrap/>
            <w:vAlign w:val="center"/>
          </w:tcPr>
          <w:p w:rsidR="00F836CF" w:rsidRDefault="001C7D36">
            <w:pPr>
              <w:spacing w:line="360" w:lineRule="auto"/>
              <w:jc w:val="left"/>
            </w:pPr>
            <w:r>
              <w:rPr>
                <w:rFonts w:hint="eastAsia"/>
              </w:rPr>
              <w:t>双创基金</w:t>
            </w:r>
          </w:p>
        </w:tc>
        <w:tc>
          <w:tcPr>
            <w:tcW w:w="691" w:type="pct"/>
            <w:shd w:val="clear" w:color="auto" w:fill="FFFFFF" w:themeFill="background1"/>
            <w:noWrap/>
            <w:vAlign w:val="center"/>
          </w:tcPr>
          <w:p w:rsidR="00F836CF" w:rsidRDefault="001C7D36">
            <w:pPr>
              <w:spacing w:line="360" w:lineRule="auto"/>
              <w:jc w:val="left"/>
            </w:pPr>
            <w:r>
              <w:rPr>
                <w:rFonts w:hint="eastAsia"/>
              </w:rPr>
              <w:t>双创</w:t>
            </w:r>
            <w:r>
              <w:rPr>
                <w:rFonts w:hint="eastAsia"/>
              </w:rPr>
              <w:t>ETF</w:t>
            </w:r>
            <w:r>
              <w:rPr>
                <w:rFonts w:hint="eastAsia"/>
              </w:rPr>
              <w:t>基金</w:t>
            </w:r>
          </w:p>
        </w:tc>
        <w:tc>
          <w:tcPr>
            <w:tcW w:w="1067" w:type="pct"/>
            <w:vMerge/>
            <w:shd w:val="clear" w:color="auto" w:fill="FFFFFF" w:themeFill="background1"/>
            <w:noWrap/>
            <w:vAlign w:val="center"/>
          </w:tcPr>
          <w:p w:rsidR="00F836CF" w:rsidRDefault="00F836CF">
            <w:pPr>
              <w:spacing w:line="360" w:lineRule="auto"/>
              <w:jc w:val="left"/>
            </w:pPr>
          </w:p>
        </w:tc>
      </w:tr>
      <w:tr w:rsidR="00F836CF">
        <w:trPr>
          <w:cantSplit/>
          <w:trHeight w:val="278"/>
          <w:tblHeader/>
        </w:trPr>
        <w:tc>
          <w:tcPr>
            <w:tcW w:w="581" w:type="pct"/>
            <w:shd w:val="clear" w:color="auto" w:fill="FFFFFF" w:themeFill="background1"/>
            <w:noWrap/>
            <w:vAlign w:val="center"/>
          </w:tcPr>
          <w:p w:rsidR="00F836CF" w:rsidRDefault="001C7D36">
            <w:pPr>
              <w:spacing w:line="360" w:lineRule="auto"/>
              <w:jc w:val="left"/>
            </w:pPr>
            <w:r>
              <w:rPr>
                <w:rFonts w:hint="eastAsia"/>
              </w:rPr>
              <w:t>510550</w:t>
            </w:r>
          </w:p>
        </w:tc>
        <w:tc>
          <w:tcPr>
            <w:tcW w:w="2219" w:type="pct"/>
            <w:shd w:val="clear" w:color="auto" w:fill="FFFFFF" w:themeFill="background1"/>
            <w:noWrap/>
            <w:vAlign w:val="center"/>
          </w:tcPr>
          <w:p w:rsidR="00F836CF" w:rsidRDefault="001C7D36">
            <w:pPr>
              <w:spacing w:line="360" w:lineRule="auto"/>
              <w:jc w:val="left"/>
            </w:pPr>
            <w:r>
              <w:rPr>
                <w:rFonts w:hint="eastAsia"/>
              </w:rPr>
              <w:t>方正富邦中证</w:t>
            </w:r>
            <w:r>
              <w:rPr>
                <w:rFonts w:hint="eastAsia"/>
              </w:rPr>
              <w:t>500</w:t>
            </w:r>
            <w:r>
              <w:rPr>
                <w:rFonts w:hint="eastAsia"/>
              </w:rPr>
              <w:t>交易型开放式指数证券投资基金</w:t>
            </w:r>
          </w:p>
        </w:tc>
        <w:tc>
          <w:tcPr>
            <w:tcW w:w="440" w:type="pct"/>
            <w:shd w:val="clear" w:color="auto" w:fill="FFFFFF" w:themeFill="background1"/>
            <w:noWrap/>
            <w:vAlign w:val="center"/>
          </w:tcPr>
          <w:p w:rsidR="00F836CF" w:rsidRDefault="001C7D36">
            <w:pPr>
              <w:spacing w:line="360" w:lineRule="auto"/>
              <w:jc w:val="left"/>
            </w:pPr>
            <w:r>
              <w:rPr>
                <w:rFonts w:hint="eastAsia"/>
              </w:rPr>
              <w:t>方正</w:t>
            </w:r>
            <w:r>
              <w:rPr>
                <w:rFonts w:hint="eastAsia"/>
              </w:rPr>
              <w:t>500</w:t>
            </w:r>
          </w:p>
        </w:tc>
        <w:tc>
          <w:tcPr>
            <w:tcW w:w="691" w:type="pct"/>
            <w:shd w:val="clear" w:color="auto" w:fill="FFFFFF" w:themeFill="background1"/>
            <w:noWrap/>
            <w:vAlign w:val="center"/>
          </w:tcPr>
          <w:p w:rsidR="00F836CF" w:rsidRDefault="001C7D36">
            <w:pPr>
              <w:spacing w:line="360" w:lineRule="auto"/>
              <w:jc w:val="left"/>
            </w:pPr>
            <w:r>
              <w:rPr>
                <w:rFonts w:hint="eastAsia"/>
              </w:rPr>
              <w:t>方正中证</w:t>
            </w:r>
            <w:r>
              <w:rPr>
                <w:rFonts w:hint="eastAsia"/>
              </w:rPr>
              <w:t>500ETF</w:t>
            </w:r>
          </w:p>
        </w:tc>
        <w:tc>
          <w:tcPr>
            <w:tcW w:w="1067" w:type="pct"/>
            <w:vMerge w:val="restart"/>
            <w:shd w:val="clear" w:color="auto" w:fill="FFFFFF" w:themeFill="background1"/>
            <w:noWrap/>
            <w:vAlign w:val="center"/>
          </w:tcPr>
          <w:p w:rsidR="00F836CF" w:rsidRDefault="00F836CF">
            <w:pPr>
              <w:spacing w:line="360" w:lineRule="auto"/>
              <w:jc w:val="left"/>
            </w:pPr>
          </w:p>
          <w:p w:rsidR="00F836CF" w:rsidRDefault="001C7D36">
            <w:pPr>
              <w:spacing w:line="360" w:lineRule="auto"/>
              <w:jc w:val="left"/>
            </w:pPr>
            <w:r>
              <w:rPr>
                <w:rFonts w:hint="eastAsia"/>
              </w:rPr>
              <w:t>湘财证券</w:t>
            </w:r>
            <w:r>
              <w:t>股份有限公司</w:t>
            </w:r>
          </w:p>
          <w:p w:rsidR="00F836CF" w:rsidRDefault="00F836CF">
            <w:pPr>
              <w:spacing w:line="360" w:lineRule="auto"/>
              <w:jc w:val="left"/>
            </w:pPr>
          </w:p>
        </w:tc>
      </w:tr>
      <w:tr w:rsidR="00F836CF">
        <w:trPr>
          <w:cantSplit/>
          <w:trHeight w:val="278"/>
          <w:tblHeader/>
        </w:trPr>
        <w:tc>
          <w:tcPr>
            <w:tcW w:w="581" w:type="pct"/>
            <w:shd w:val="clear" w:color="auto" w:fill="FFFFFF" w:themeFill="background1"/>
            <w:noWrap/>
            <w:vAlign w:val="center"/>
          </w:tcPr>
          <w:p w:rsidR="00F836CF" w:rsidRDefault="001C7D36">
            <w:pPr>
              <w:spacing w:line="360" w:lineRule="auto"/>
              <w:jc w:val="left"/>
            </w:pPr>
            <w:r>
              <w:rPr>
                <w:rFonts w:hint="eastAsia"/>
              </w:rPr>
              <w:t>515360</w:t>
            </w:r>
          </w:p>
        </w:tc>
        <w:tc>
          <w:tcPr>
            <w:tcW w:w="2219" w:type="pct"/>
            <w:shd w:val="clear" w:color="auto" w:fill="FFFFFF" w:themeFill="background1"/>
            <w:noWrap/>
            <w:vAlign w:val="center"/>
          </w:tcPr>
          <w:p w:rsidR="00F836CF" w:rsidRDefault="001C7D36">
            <w:pPr>
              <w:spacing w:line="360" w:lineRule="auto"/>
              <w:jc w:val="left"/>
            </w:pPr>
            <w:r>
              <w:rPr>
                <w:rFonts w:hint="eastAsia"/>
              </w:rPr>
              <w:t>方正富邦沪深</w:t>
            </w:r>
            <w:r>
              <w:rPr>
                <w:rFonts w:hint="eastAsia"/>
              </w:rPr>
              <w:t>300</w:t>
            </w:r>
            <w:r>
              <w:rPr>
                <w:rFonts w:hint="eastAsia"/>
              </w:rPr>
              <w:t>交易型开放式指数证券投资基金</w:t>
            </w:r>
          </w:p>
        </w:tc>
        <w:tc>
          <w:tcPr>
            <w:tcW w:w="440" w:type="pct"/>
            <w:shd w:val="clear" w:color="auto" w:fill="FFFFFF" w:themeFill="background1"/>
            <w:noWrap/>
            <w:vAlign w:val="center"/>
          </w:tcPr>
          <w:p w:rsidR="00F836CF" w:rsidRDefault="001C7D36">
            <w:pPr>
              <w:spacing w:line="360" w:lineRule="auto"/>
              <w:jc w:val="left"/>
            </w:pPr>
            <w:r>
              <w:rPr>
                <w:rFonts w:hint="eastAsia"/>
              </w:rPr>
              <w:t>方正</w:t>
            </w:r>
            <w:r>
              <w:rPr>
                <w:rFonts w:hint="eastAsia"/>
              </w:rPr>
              <w:t>300</w:t>
            </w:r>
          </w:p>
        </w:tc>
        <w:tc>
          <w:tcPr>
            <w:tcW w:w="691" w:type="pct"/>
            <w:shd w:val="clear" w:color="auto" w:fill="FFFFFF" w:themeFill="background1"/>
            <w:noWrap/>
            <w:vAlign w:val="center"/>
          </w:tcPr>
          <w:p w:rsidR="00F836CF" w:rsidRDefault="001C7D36">
            <w:pPr>
              <w:spacing w:line="360" w:lineRule="auto"/>
              <w:jc w:val="left"/>
            </w:pPr>
            <w:r>
              <w:rPr>
                <w:rFonts w:hint="eastAsia"/>
              </w:rPr>
              <w:t>方正沪深</w:t>
            </w:r>
            <w:r>
              <w:rPr>
                <w:rFonts w:hint="eastAsia"/>
              </w:rPr>
              <w:t>300ETF</w:t>
            </w:r>
          </w:p>
        </w:tc>
        <w:tc>
          <w:tcPr>
            <w:tcW w:w="1067" w:type="pct"/>
            <w:vMerge/>
            <w:shd w:val="clear" w:color="auto" w:fill="FFFFFF" w:themeFill="background1"/>
            <w:noWrap/>
            <w:vAlign w:val="center"/>
          </w:tcPr>
          <w:p w:rsidR="00F836CF" w:rsidRDefault="00F836CF">
            <w:pPr>
              <w:spacing w:line="360" w:lineRule="auto"/>
              <w:jc w:val="left"/>
            </w:pPr>
          </w:p>
        </w:tc>
      </w:tr>
      <w:tr w:rsidR="00F836CF">
        <w:trPr>
          <w:cantSplit/>
          <w:trHeight w:val="278"/>
          <w:tblHeader/>
        </w:trPr>
        <w:tc>
          <w:tcPr>
            <w:tcW w:w="581" w:type="pct"/>
            <w:shd w:val="clear" w:color="auto" w:fill="FFFFFF" w:themeFill="background1"/>
            <w:noWrap/>
            <w:vAlign w:val="center"/>
          </w:tcPr>
          <w:p w:rsidR="00F836CF" w:rsidRDefault="001C7D36">
            <w:pPr>
              <w:spacing w:line="360" w:lineRule="auto"/>
              <w:jc w:val="left"/>
            </w:pPr>
            <w:r>
              <w:rPr>
                <w:rFonts w:hint="eastAsia"/>
              </w:rPr>
              <w:t>517800</w:t>
            </w:r>
          </w:p>
        </w:tc>
        <w:tc>
          <w:tcPr>
            <w:tcW w:w="2219" w:type="pct"/>
            <w:shd w:val="clear" w:color="auto" w:fill="FFFFFF" w:themeFill="background1"/>
            <w:noWrap/>
            <w:vAlign w:val="center"/>
          </w:tcPr>
          <w:p w:rsidR="00F836CF" w:rsidRDefault="001C7D36">
            <w:pPr>
              <w:spacing w:line="360" w:lineRule="auto"/>
              <w:jc w:val="left"/>
            </w:pPr>
            <w:r>
              <w:rPr>
                <w:rFonts w:hint="eastAsia"/>
              </w:rPr>
              <w:t>方正富邦中证沪港深人工智能</w:t>
            </w:r>
            <w:r>
              <w:rPr>
                <w:rFonts w:hint="eastAsia"/>
              </w:rPr>
              <w:t>50</w:t>
            </w:r>
            <w:r>
              <w:rPr>
                <w:rFonts w:hint="eastAsia"/>
              </w:rPr>
              <w:t>交易型开放式指数证券投资基金</w:t>
            </w:r>
          </w:p>
        </w:tc>
        <w:tc>
          <w:tcPr>
            <w:tcW w:w="440" w:type="pct"/>
            <w:shd w:val="clear" w:color="auto" w:fill="FFFFFF" w:themeFill="background1"/>
            <w:noWrap/>
            <w:vAlign w:val="center"/>
          </w:tcPr>
          <w:p w:rsidR="00F836CF" w:rsidRDefault="001C7D36">
            <w:pPr>
              <w:spacing w:line="360" w:lineRule="auto"/>
              <w:jc w:val="left"/>
            </w:pPr>
            <w:r>
              <w:rPr>
                <w:rFonts w:hint="eastAsia"/>
              </w:rPr>
              <w:t>AI50</w:t>
            </w:r>
          </w:p>
        </w:tc>
        <w:tc>
          <w:tcPr>
            <w:tcW w:w="691" w:type="pct"/>
            <w:shd w:val="clear" w:color="auto" w:fill="FFFFFF" w:themeFill="background1"/>
            <w:noWrap/>
            <w:vAlign w:val="center"/>
          </w:tcPr>
          <w:p w:rsidR="00F836CF" w:rsidRDefault="001C7D36">
            <w:pPr>
              <w:spacing w:line="360" w:lineRule="auto"/>
              <w:jc w:val="left"/>
            </w:pPr>
            <w:r>
              <w:rPr>
                <w:rFonts w:hint="eastAsia"/>
              </w:rPr>
              <w:t>人工智能</w:t>
            </w:r>
            <w:r>
              <w:rPr>
                <w:rFonts w:hint="eastAsia"/>
              </w:rPr>
              <w:t>50ETF</w:t>
            </w:r>
          </w:p>
        </w:tc>
        <w:tc>
          <w:tcPr>
            <w:tcW w:w="1067" w:type="pct"/>
            <w:vMerge/>
            <w:shd w:val="clear" w:color="auto" w:fill="FFFFFF" w:themeFill="background1"/>
            <w:noWrap/>
            <w:vAlign w:val="center"/>
          </w:tcPr>
          <w:p w:rsidR="00F836CF" w:rsidRDefault="00F836CF">
            <w:pPr>
              <w:spacing w:line="360" w:lineRule="auto"/>
              <w:jc w:val="left"/>
            </w:pPr>
          </w:p>
        </w:tc>
      </w:tr>
      <w:tr w:rsidR="00F836CF">
        <w:trPr>
          <w:cantSplit/>
          <w:trHeight w:val="278"/>
          <w:tblHeader/>
        </w:trPr>
        <w:tc>
          <w:tcPr>
            <w:tcW w:w="581" w:type="pct"/>
            <w:shd w:val="clear" w:color="auto" w:fill="FFFFFF" w:themeFill="background1"/>
            <w:noWrap/>
            <w:vAlign w:val="center"/>
          </w:tcPr>
          <w:p w:rsidR="00F836CF" w:rsidRDefault="001C7D36">
            <w:pPr>
              <w:spacing w:line="360" w:lineRule="auto"/>
              <w:jc w:val="left"/>
            </w:pPr>
            <w:r>
              <w:rPr>
                <w:rFonts w:hint="eastAsia"/>
              </w:rPr>
              <w:t>588310</w:t>
            </w:r>
          </w:p>
        </w:tc>
        <w:tc>
          <w:tcPr>
            <w:tcW w:w="2219" w:type="pct"/>
            <w:shd w:val="clear" w:color="auto" w:fill="FFFFFF" w:themeFill="background1"/>
            <w:noWrap/>
            <w:vAlign w:val="center"/>
          </w:tcPr>
          <w:p w:rsidR="00F836CF" w:rsidRDefault="001C7D36">
            <w:pPr>
              <w:spacing w:line="360" w:lineRule="auto"/>
              <w:jc w:val="left"/>
            </w:pPr>
            <w:r>
              <w:rPr>
                <w:rFonts w:hint="eastAsia"/>
              </w:rPr>
              <w:t>方正富邦中证科创创业</w:t>
            </w:r>
            <w:r>
              <w:rPr>
                <w:rFonts w:hint="eastAsia"/>
              </w:rPr>
              <w:t>50</w:t>
            </w:r>
            <w:r>
              <w:rPr>
                <w:rFonts w:hint="eastAsia"/>
              </w:rPr>
              <w:t>交易型开放式指数证券投资基金</w:t>
            </w:r>
          </w:p>
        </w:tc>
        <w:tc>
          <w:tcPr>
            <w:tcW w:w="440" w:type="pct"/>
            <w:shd w:val="clear" w:color="auto" w:fill="FFFFFF" w:themeFill="background1"/>
            <w:noWrap/>
            <w:vAlign w:val="center"/>
          </w:tcPr>
          <w:p w:rsidR="00F836CF" w:rsidRDefault="001C7D36">
            <w:pPr>
              <w:spacing w:line="360" w:lineRule="auto"/>
              <w:jc w:val="left"/>
            </w:pPr>
            <w:r>
              <w:rPr>
                <w:rFonts w:hint="eastAsia"/>
              </w:rPr>
              <w:t>双创基金</w:t>
            </w:r>
          </w:p>
        </w:tc>
        <w:tc>
          <w:tcPr>
            <w:tcW w:w="691" w:type="pct"/>
            <w:shd w:val="clear" w:color="auto" w:fill="FFFFFF" w:themeFill="background1"/>
            <w:noWrap/>
            <w:vAlign w:val="center"/>
          </w:tcPr>
          <w:p w:rsidR="00F836CF" w:rsidRDefault="001C7D36">
            <w:pPr>
              <w:spacing w:line="360" w:lineRule="auto"/>
              <w:jc w:val="left"/>
            </w:pPr>
            <w:r>
              <w:rPr>
                <w:rFonts w:hint="eastAsia"/>
              </w:rPr>
              <w:t>双创</w:t>
            </w:r>
            <w:r>
              <w:rPr>
                <w:rFonts w:hint="eastAsia"/>
              </w:rPr>
              <w:t>ETF</w:t>
            </w:r>
            <w:r>
              <w:rPr>
                <w:rFonts w:hint="eastAsia"/>
              </w:rPr>
              <w:t>基金</w:t>
            </w:r>
          </w:p>
        </w:tc>
        <w:tc>
          <w:tcPr>
            <w:tcW w:w="1067" w:type="pct"/>
            <w:vMerge/>
            <w:shd w:val="clear" w:color="auto" w:fill="FFFFFF" w:themeFill="background1"/>
            <w:noWrap/>
            <w:vAlign w:val="center"/>
          </w:tcPr>
          <w:p w:rsidR="00F836CF" w:rsidRDefault="00F836CF">
            <w:pPr>
              <w:spacing w:line="360" w:lineRule="auto"/>
              <w:jc w:val="left"/>
            </w:pPr>
          </w:p>
        </w:tc>
      </w:tr>
      <w:tr w:rsidR="00F836CF">
        <w:trPr>
          <w:cantSplit/>
          <w:trHeight w:val="278"/>
          <w:tblHeader/>
        </w:trPr>
        <w:tc>
          <w:tcPr>
            <w:tcW w:w="581" w:type="pct"/>
            <w:shd w:val="clear" w:color="auto" w:fill="FFFFFF" w:themeFill="background1"/>
            <w:noWrap/>
            <w:vAlign w:val="center"/>
          </w:tcPr>
          <w:p w:rsidR="00F836CF" w:rsidRDefault="001C7D36">
            <w:pPr>
              <w:spacing w:line="360" w:lineRule="auto"/>
              <w:jc w:val="left"/>
            </w:pPr>
            <w:r>
              <w:rPr>
                <w:rFonts w:hint="eastAsia"/>
              </w:rPr>
              <w:t>510550</w:t>
            </w:r>
          </w:p>
        </w:tc>
        <w:tc>
          <w:tcPr>
            <w:tcW w:w="2219" w:type="pct"/>
            <w:shd w:val="clear" w:color="auto" w:fill="FFFFFF" w:themeFill="background1"/>
            <w:noWrap/>
            <w:vAlign w:val="center"/>
          </w:tcPr>
          <w:p w:rsidR="00F836CF" w:rsidRDefault="001C7D36">
            <w:pPr>
              <w:spacing w:line="360" w:lineRule="auto"/>
              <w:jc w:val="left"/>
            </w:pPr>
            <w:r>
              <w:rPr>
                <w:rFonts w:hint="eastAsia"/>
              </w:rPr>
              <w:t>方正富邦中证</w:t>
            </w:r>
            <w:r>
              <w:rPr>
                <w:rFonts w:hint="eastAsia"/>
              </w:rPr>
              <w:t>500</w:t>
            </w:r>
            <w:r>
              <w:rPr>
                <w:rFonts w:hint="eastAsia"/>
              </w:rPr>
              <w:t>交易型开放式指数证券投资基金</w:t>
            </w:r>
          </w:p>
        </w:tc>
        <w:tc>
          <w:tcPr>
            <w:tcW w:w="440" w:type="pct"/>
            <w:shd w:val="clear" w:color="auto" w:fill="FFFFFF" w:themeFill="background1"/>
            <w:noWrap/>
            <w:vAlign w:val="center"/>
          </w:tcPr>
          <w:p w:rsidR="00F836CF" w:rsidRDefault="001C7D36">
            <w:pPr>
              <w:spacing w:line="360" w:lineRule="auto"/>
              <w:jc w:val="left"/>
            </w:pPr>
            <w:r>
              <w:rPr>
                <w:rFonts w:hint="eastAsia"/>
              </w:rPr>
              <w:t>方正</w:t>
            </w:r>
            <w:r>
              <w:rPr>
                <w:rFonts w:hint="eastAsia"/>
              </w:rPr>
              <w:t>500</w:t>
            </w:r>
          </w:p>
        </w:tc>
        <w:tc>
          <w:tcPr>
            <w:tcW w:w="691" w:type="pct"/>
            <w:shd w:val="clear" w:color="auto" w:fill="FFFFFF" w:themeFill="background1"/>
            <w:noWrap/>
            <w:vAlign w:val="center"/>
          </w:tcPr>
          <w:p w:rsidR="00F836CF" w:rsidRDefault="001C7D36">
            <w:pPr>
              <w:spacing w:line="360" w:lineRule="auto"/>
              <w:jc w:val="left"/>
            </w:pPr>
            <w:r>
              <w:rPr>
                <w:rFonts w:hint="eastAsia"/>
              </w:rPr>
              <w:t>方正中证</w:t>
            </w:r>
            <w:r>
              <w:rPr>
                <w:rFonts w:hint="eastAsia"/>
              </w:rPr>
              <w:t>500ETF</w:t>
            </w:r>
          </w:p>
        </w:tc>
        <w:tc>
          <w:tcPr>
            <w:tcW w:w="1067" w:type="pct"/>
            <w:vMerge w:val="restart"/>
            <w:shd w:val="clear" w:color="auto" w:fill="FFFFFF" w:themeFill="background1"/>
            <w:noWrap/>
            <w:vAlign w:val="center"/>
          </w:tcPr>
          <w:p w:rsidR="00F836CF" w:rsidRDefault="001C7D36">
            <w:pPr>
              <w:spacing w:line="360" w:lineRule="auto"/>
              <w:jc w:val="left"/>
            </w:pPr>
            <w:r>
              <w:rPr>
                <w:rFonts w:hint="eastAsia"/>
              </w:rPr>
              <w:t>华宝证券</w:t>
            </w:r>
            <w:r>
              <w:t>股份有限公司</w:t>
            </w:r>
          </w:p>
        </w:tc>
      </w:tr>
      <w:tr w:rsidR="00F836CF">
        <w:trPr>
          <w:cantSplit/>
          <w:trHeight w:val="278"/>
          <w:tblHeader/>
        </w:trPr>
        <w:tc>
          <w:tcPr>
            <w:tcW w:w="581" w:type="pct"/>
            <w:shd w:val="clear" w:color="auto" w:fill="FFFFFF" w:themeFill="background1"/>
            <w:noWrap/>
            <w:vAlign w:val="center"/>
          </w:tcPr>
          <w:p w:rsidR="00F836CF" w:rsidRDefault="001C7D36">
            <w:pPr>
              <w:spacing w:line="360" w:lineRule="auto"/>
              <w:jc w:val="left"/>
            </w:pPr>
            <w:r>
              <w:rPr>
                <w:rFonts w:hint="eastAsia"/>
              </w:rPr>
              <w:t>515360</w:t>
            </w:r>
          </w:p>
        </w:tc>
        <w:tc>
          <w:tcPr>
            <w:tcW w:w="2219" w:type="pct"/>
            <w:shd w:val="clear" w:color="auto" w:fill="FFFFFF" w:themeFill="background1"/>
            <w:noWrap/>
            <w:vAlign w:val="center"/>
          </w:tcPr>
          <w:p w:rsidR="00F836CF" w:rsidRDefault="001C7D36">
            <w:pPr>
              <w:spacing w:line="360" w:lineRule="auto"/>
              <w:jc w:val="left"/>
            </w:pPr>
            <w:r>
              <w:rPr>
                <w:rFonts w:hint="eastAsia"/>
              </w:rPr>
              <w:t>方正富邦沪深</w:t>
            </w:r>
            <w:r>
              <w:rPr>
                <w:rFonts w:hint="eastAsia"/>
              </w:rPr>
              <w:t>300</w:t>
            </w:r>
            <w:r>
              <w:rPr>
                <w:rFonts w:hint="eastAsia"/>
              </w:rPr>
              <w:t>交易型开放式指数证券投资基金</w:t>
            </w:r>
          </w:p>
        </w:tc>
        <w:tc>
          <w:tcPr>
            <w:tcW w:w="440" w:type="pct"/>
            <w:shd w:val="clear" w:color="auto" w:fill="FFFFFF" w:themeFill="background1"/>
            <w:noWrap/>
            <w:vAlign w:val="center"/>
          </w:tcPr>
          <w:p w:rsidR="00F836CF" w:rsidRDefault="001C7D36">
            <w:pPr>
              <w:spacing w:line="360" w:lineRule="auto"/>
              <w:jc w:val="left"/>
            </w:pPr>
            <w:r>
              <w:rPr>
                <w:rFonts w:hint="eastAsia"/>
              </w:rPr>
              <w:t>方正</w:t>
            </w:r>
            <w:r>
              <w:rPr>
                <w:rFonts w:hint="eastAsia"/>
              </w:rPr>
              <w:t>300</w:t>
            </w:r>
          </w:p>
        </w:tc>
        <w:tc>
          <w:tcPr>
            <w:tcW w:w="691" w:type="pct"/>
            <w:shd w:val="clear" w:color="auto" w:fill="FFFFFF" w:themeFill="background1"/>
            <w:noWrap/>
            <w:vAlign w:val="center"/>
          </w:tcPr>
          <w:p w:rsidR="00F836CF" w:rsidRDefault="001C7D36">
            <w:pPr>
              <w:spacing w:line="360" w:lineRule="auto"/>
              <w:jc w:val="left"/>
            </w:pPr>
            <w:r>
              <w:rPr>
                <w:rFonts w:hint="eastAsia"/>
              </w:rPr>
              <w:t>方正沪深</w:t>
            </w:r>
            <w:r>
              <w:rPr>
                <w:rFonts w:hint="eastAsia"/>
              </w:rPr>
              <w:t>300ETF</w:t>
            </w:r>
          </w:p>
        </w:tc>
        <w:tc>
          <w:tcPr>
            <w:tcW w:w="1067" w:type="pct"/>
            <w:vMerge/>
            <w:shd w:val="clear" w:color="auto" w:fill="FFFFFF" w:themeFill="background1"/>
            <w:noWrap/>
            <w:vAlign w:val="center"/>
          </w:tcPr>
          <w:p w:rsidR="00F836CF" w:rsidRDefault="00F836CF">
            <w:pPr>
              <w:spacing w:line="360" w:lineRule="auto"/>
              <w:jc w:val="left"/>
            </w:pPr>
          </w:p>
        </w:tc>
      </w:tr>
      <w:tr w:rsidR="00F836CF">
        <w:trPr>
          <w:cantSplit/>
          <w:trHeight w:val="278"/>
          <w:tblHeader/>
        </w:trPr>
        <w:tc>
          <w:tcPr>
            <w:tcW w:w="581" w:type="pct"/>
            <w:shd w:val="clear" w:color="auto" w:fill="FFFFFF" w:themeFill="background1"/>
            <w:noWrap/>
            <w:vAlign w:val="center"/>
          </w:tcPr>
          <w:p w:rsidR="00F836CF" w:rsidRDefault="001C7D36">
            <w:pPr>
              <w:spacing w:line="360" w:lineRule="auto"/>
              <w:jc w:val="left"/>
            </w:pPr>
            <w:r>
              <w:rPr>
                <w:rFonts w:hint="eastAsia"/>
              </w:rPr>
              <w:lastRenderedPageBreak/>
              <w:t>517800</w:t>
            </w:r>
          </w:p>
        </w:tc>
        <w:tc>
          <w:tcPr>
            <w:tcW w:w="2219" w:type="pct"/>
            <w:shd w:val="clear" w:color="auto" w:fill="FFFFFF" w:themeFill="background1"/>
            <w:noWrap/>
            <w:vAlign w:val="center"/>
          </w:tcPr>
          <w:p w:rsidR="00F836CF" w:rsidRDefault="001C7D36">
            <w:pPr>
              <w:spacing w:line="360" w:lineRule="auto"/>
              <w:jc w:val="left"/>
            </w:pPr>
            <w:r>
              <w:rPr>
                <w:rFonts w:hint="eastAsia"/>
              </w:rPr>
              <w:t>方正富邦中证沪港深人工智能</w:t>
            </w:r>
            <w:r>
              <w:rPr>
                <w:rFonts w:hint="eastAsia"/>
              </w:rPr>
              <w:t>50</w:t>
            </w:r>
            <w:r>
              <w:rPr>
                <w:rFonts w:hint="eastAsia"/>
              </w:rPr>
              <w:t>交易型开放式指数证券投资基金</w:t>
            </w:r>
          </w:p>
        </w:tc>
        <w:tc>
          <w:tcPr>
            <w:tcW w:w="440" w:type="pct"/>
            <w:shd w:val="clear" w:color="auto" w:fill="FFFFFF" w:themeFill="background1"/>
            <w:noWrap/>
            <w:vAlign w:val="center"/>
          </w:tcPr>
          <w:p w:rsidR="00F836CF" w:rsidRDefault="001C7D36">
            <w:pPr>
              <w:spacing w:line="360" w:lineRule="auto"/>
              <w:jc w:val="left"/>
            </w:pPr>
            <w:r>
              <w:rPr>
                <w:rFonts w:hint="eastAsia"/>
              </w:rPr>
              <w:t>AI50</w:t>
            </w:r>
          </w:p>
        </w:tc>
        <w:tc>
          <w:tcPr>
            <w:tcW w:w="691" w:type="pct"/>
            <w:shd w:val="clear" w:color="auto" w:fill="FFFFFF" w:themeFill="background1"/>
            <w:noWrap/>
            <w:vAlign w:val="center"/>
          </w:tcPr>
          <w:p w:rsidR="00F836CF" w:rsidRDefault="001C7D36">
            <w:pPr>
              <w:spacing w:line="360" w:lineRule="auto"/>
              <w:jc w:val="left"/>
            </w:pPr>
            <w:r>
              <w:rPr>
                <w:rFonts w:hint="eastAsia"/>
              </w:rPr>
              <w:t>人工智能</w:t>
            </w:r>
            <w:r>
              <w:rPr>
                <w:rFonts w:hint="eastAsia"/>
              </w:rPr>
              <w:t>50ETF</w:t>
            </w:r>
          </w:p>
        </w:tc>
        <w:tc>
          <w:tcPr>
            <w:tcW w:w="1067" w:type="pct"/>
            <w:vMerge/>
            <w:shd w:val="clear" w:color="auto" w:fill="FFFFFF" w:themeFill="background1"/>
            <w:noWrap/>
            <w:vAlign w:val="center"/>
          </w:tcPr>
          <w:p w:rsidR="00F836CF" w:rsidRDefault="00F836CF">
            <w:pPr>
              <w:spacing w:line="360" w:lineRule="auto"/>
              <w:jc w:val="left"/>
            </w:pPr>
          </w:p>
        </w:tc>
      </w:tr>
      <w:tr w:rsidR="00F836CF">
        <w:trPr>
          <w:cantSplit/>
          <w:trHeight w:val="278"/>
          <w:tblHeader/>
        </w:trPr>
        <w:tc>
          <w:tcPr>
            <w:tcW w:w="581" w:type="pct"/>
            <w:shd w:val="clear" w:color="auto" w:fill="FFFFFF" w:themeFill="background1"/>
            <w:noWrap/>
            <w:vAlign w:val="center"/>
          </w:tcPr>
          <w:p w:rsidR="00F836CF" w:rsidRDefault="001C7D36">
            <w:pPr>
              <w:spacing w:line="360" w:lineRule="auto"/>
              <w:jc w:val="left"/>
            </w:pPr>
            <w:r>
              <w:rPr>
                <w:rFonts w:hint="eastAsia"/>
              </w:rPr>
              <w:t>588310</w:t>
            </w:r>
          </w:p>
        </w:tc>
        <w:tc>
          <w:tcPr>
            <w:tcW w:w="2219" w:type="pct"/>
            <w:shd w:val="clear" w:color="auto" w:fill="FFFFFF" w:themeFill="background1"/>
            <w:noWrap/>
            <w:vAlign w:val="center"/>
          </w:tcPr>
          <w:p w:rsidR="00F836CF" w:rsidRDefault="001C7D36">
            <w:pPr>
              <w:spacing w:line="360" w:lineRule="auto"/>
              <w:jc w:val="left"/>
            </w:pPr>
            <w:r>
              <w:rPr>
                <w:rFonts w:hint="eastAsia"/>
              </w:rPr>
              <w:t>方正富邦中证科创创业</w:t>
            </w:r>
            <w:r>
              <w:rPr>
                <w:rFonts w:hint="eastAsia"/>
              </w:rPr>
              <w:t>50</w:t>
            </w:r>
            <w:r>
              <w:rPr>
                <w:rFonts w:hint="eastAsia"/>
              </w:rPr>
              <w:t>交易型开放式指数证券投资基金</w:t>
            </w:r>
          </w:p>
        </w:tc>
        <w:tc>
          <w:tcPr>
            <w:tcW w:w="440" w:type="pct"/>
            <w:shd w:val="clear" w:color="auto" w:fill="FFFFFF" w:themeFill="background1"/>
            <w:noWrap/>
            <w:vAlign w:val="center"/>
          </w:tcPr>
          <w:p w:rsidR="00F836CF" w:rsidRDefault="001C7D36">
            <w:pPr>
              <w:spacing w:line="360" w:lineRule="auto"/>
              <w:jc w:val="left"/>
            </w:pPr>
            <w:r>
              <w:rPr>
                <w:rFonts w:hint="eastAsia"/>
              </w:rPr>
              <w:t>双创基金</w:t>
            </w:r>
          </w:p>
        </w:tc>
        <w:tc>
          <w:tcPr>
            <w:tcW w:w="691" w:type="pct"/>
            <w:shd w:val="clear" w:color="auto" w:fill="FFFFFF" w:themeFill="background1"/>
            <w:noWrap/>
            <w:vAlign w:val="center"/>
          </w:tcPr>
          <w:p w:rsidR="00F836CF" w:rsidRDefault="001C7D36">
            <w:pPr>
              <w:spacing w:line="360" w:lineRule="auto"/>
              <w:jc w:val="left"/>
            </w:pPr>
            <w:r>
              <w:rPr>
                <w:rFonts w:hint="eastAsia"/>
              </w:rPr>
              <w:t>双创</w:t>
            </w:r>
            <w:r>
              <w:rPr>
                <w:rFonts w:hint="eastAsia"/>
              </w:rPr>
              <w:t>ETF</w:t>
            </w:r>
            <w:r>
              <w:rPr>
                <w:rFonts w:hint="eastAsia"/>
              </w:rPr>
              <w:t>基金</w:t>
            </w:r>
          </w:p>
        </w:tc>
        <w:tc>
          <w:tcPr>
            <w:tcW w:w="1067" w:type="pct"/>
            <w:vMerge/>
            <w:shd w:val="clear" w:color="auto" w:fill="FFFFFF" w:themeFill="background1"/>
            <w:noWrap/>
            <w:vAlign w:val="center"/>
          </w:tcPr>
          <w:p w:rsidR="00F836CF" w:rsidRDefault="00F836CF">
            <w:pPr>
              <w:spacing w:line="360" w:lineRule="auto"/>
              <w:jc w:val="left"/>
            </w:pPr>
          </w:p>
        </w:tc>
      </w:tr>
      <w:tr w:rsidR="00F836CF">
        <w:trPr>
          <w:cantSplit/>
          <w:trHeight w:val="278"/>
          <w:tblHeader/>
        </w:trPr>
        <w:tc>
          <w:tcPr>
            <w:tcW w:w="581" w:type="pct"/>
            <w:shd w:val="clear" w:color="auto" w:fill="FFFFFF" w:themeFill="background1"/>
            <w:noWrap/>
            <w:vAlign w:val="center"/>
          </w:tcPr>
          <w:p w:rsidR="00F836CF" w:rsidRDefault="001C7D36">
            <w:pPr>
              <w:spacing w:line="360" w:lineRule="auto"/>
              <w:jc w:val="left"/>
            </w:pPr>
            <w:r>
              <w:rPr>
                <w:rFonts w:hint="eastAsia"/>
              </w:rPr>
              <w:t>510550</w:t>
            </w:r>
          </w:p>
        </w:tc>
        <w:tc>
          <w:tcPr>
            <w:tcW w:w="2219" w:type="pct"/>
            <w:shd w:val="clear" w:color="auto" w:fill="FFFFFF" w:themeFill="background1"/>
            <w:noWrap/>
            <w:vAlign w:val="center"/>
          </w:tcPr>
          <w:p w:rsidR="00F836CF" w:rsidRDefault="001C7D36">
            <w:pPr>
              <w:spacing w:line="360" w:lineRule="auto"/>
              <w:jc w:val="left"/>
            </w:pPr>
            <w:r>
              <w:rPr>
                <w:rFonts w:hint="eastAsia"/>
              </w:rPr>
              <w:t>方正富邦中证</w:t>
            </w:r>
            <w:r>
              <w:rPr>
                <w:rFonts w:hint="eastAsia"/>
              </w:rPr>
              <w:t>500</w:t>
            </w:r>
            <w:r>
              <w:rPr>
                <w:rFonts w:hint="eastAsia"/>
              </w:rPr>
              <w:t>交易型开放式指数证券投资基金</w:t>
            </w:r>
          </w:p>
        </w:tc>
        <w:tc>
          <w:tcPr>
            <w:tcW w:w="440" w:type="pct"/>
            <w:shd w:val="clear" w:color="auto" w:fill="FFFFFF" w:themeFill="background1"/>
            <w:noWrap/>
            <w:vAlign w:val="center"/>
          </w:tcPr>
          <w:p w:rsidR="00F836CF" w:rsidRDefault="001C7D36">
            <w:pPr>
              <w:spacing w:line="360" w:lineRule="auto"/>
              <w:jc w:val="left"/>
            </w:pPr>
            <w:r>
              <w:rPr>
                <w:rFonts w:hint="eastAsia"/>
              </w:rPr>
              <w:t>方正</w:t>
            </w:r>
            <w:r>
              <w:rPr>
                <w:rFonts w:hint="eastAsia"/>
              </w:rPr>
              <w:t>500</w:t>
            </w:r>
          </w:p>
        </w:tc>
        <w:tc>
          <w:tcPr>
            <w:tcW w:w="691" w:type="pct"/>
            <w:shd w:val="clear" w:color="auto" w:fill="FFFFFF" w:themeFill="background1"/>
            <w:noWrap/>
            <w:vAlign w:val="center"/>
          </w:tcPr>
          <w:p w:rsidR="00F836CF" w:rsidRDefault="001C7D36">
            <w:pPr>
              <w:spacing w:line="360" w:lineRule="auto"/>
              <w:jc w:val="left"/>
            </w:pPr>
            <w:r>
              <w:rPr>
                <w:rFonts w:hint="eastAsia"/>
              </w:rPr>
              <w:t>方正中证</w:t>
            </w:r>
            <w:r>
              <w:rPr>
                <w:rFonts w:hint="eastAsia"/>
              </w:rPr>
              <w:t>500ETF</w:t>
            </w:r>
          </w:p>
        </w:tc>
        <w:tc>
          <w:tcPr>
            <w:tcW w:w="1067" w:type="pct"/>
            <w:vMerge w:val="restart"/>
            <w:shd w:val="clear" w:color="auto" w:fill="FFFFFF" w:themeFill="background1"/>
            <w:noWrap/>
            <w:vAlign w:val="center"/>
          </w:tcPr>
          <w:p w:rsidR="00F836CF" w:rsidRDefault="001C7D36">
            <w:pPr>
              <w:spacing w:line="360" w:lineRule="auto"/>
              <w:jc w:val="left"/>
            </w:pPr>
            <w:r>
              <w:rPr>
                <w:rFonts w:hint="eastAsia"/>
              </w:rPr>
              <w:t>江海证券</w:t>
            </w:r>
            <w:r>
              <w:t>有限公司</w:t>
            </w:r>
          </w:p>
        </w:tc>
      </w:tr>
      <w:tr w:rsidR="00F836CF">
        <w:trPr>
          <w:cantSplit/>
          <w:trHeight w:val="278"/>
          <w:tblHeader/>
        </w:trPr>
        <w:tc>
          <w:tcPr>
            <w:tcW w:w="581" w:type="pct"/>
            <w:shd w:val="clear" w:color="auto" w:fill="FFFFFF" w:themeFill="background1"/>
            <w:noWrap/>
            <w:vAlign w:val="center"/>
          </w:tcPr>
          <w:p w:rsidR="00F836CF" w:rsidRDefault="001C7D36">
            <w:pPr>
              <w:spacing w:line="360" w:lineRule="auto"/>
              <w:jc w:val="left"/>
            </w:pPr>
            <w:r>
              <w:rPr>
                <w:rFonts w:hint="eastAsia"/>
              </w:rPr>
              <w:t>515360</w:t>
            </w:r>
          </w:p>
        </w:tc>
        <w:tc>
          <w:tcPr>
            <w:tcW w:w="2219" w:type="pct"/>
            <w:shd w:val="clear" w:color="auto" w:fill="FFFFFF" w:themeFill="background1"/>
            <w:noWrap/>
            <w:vAlign w:val="center"/>
          </w:tcPr>
          <w:p w:rsidR="00F836CF" w:rsidRDefault="001C7D36">
            <w:pPr>
              <w:spacing w:line="360" w:lineRule="auto"/>
              <w:jc w:val="left"/>
            </w:pPr>
            <w:r>
              <w:rPr>
                <w:rFonts w:hint="eastAsia"/>
              </w:rPr>
              <w:t>方正富邦沪深</w:t>
            </w:r>
            <w:r>
              <w:rPr>
                <w:rFonts w:hint="eastAsia"/>
              </w:rPr>
              <w:t>300</w:t>
            </w:r>
            <w:r>
              <w:rPr>
                <w:rFonts w:hint="eastAsia"/>
              </w:rPr>
              <w:t>交易型开放式指数证券投资基金</w:t>
            </w:r>
          </w:p>
        </w:tc>
        <w:tc>
          <w:tcPr>
            <w:tcW w:w="440" w:type="pct"/>
            <w:shd w:val="clear" w:color="auto" w:fill="FFFFFF" w:themeFill="background1"/>
            <w:noWrap/>
            <w:vAlign w:val="center"/>
          </w:tcPr>
          <w:p w:rsidR="00F836CF" w:rsidRDefault="001C7D36">
            <w:pPr>
              <w:spacing w:line="360" w:lineRule="auto"/>
              <w:jc w:val="left"/>
            </w:pPr>
            <w:r>
              <w:rPr>
                <w:rFonts w:hint="eastAsia"/>
              </w:rPr>
              <w:t>方正</w:t>
            </w:r>
            <w:r>
              <w:rPr>
                <w:rFonts w:hint="eastAsia"/>
              </w:rPr>
              <w:t>300</w:t>
            </w:r>
          </w:p>
        </w:tc>
        <w:tc>
          <w:tcPr>
            <w:tcW w:w="691" w:type="pct"/>
            <w:shd w:val="clear" w:color="auto" w:fill="FFFFFF" w:themeFill="background1"/>
            <w:noWrap/>
            <w:vAlign w:val="center"/>
          </w:tcPr>
          <w:p w:rsidR="00F836CF" w:rsidRDefault="001C7D36">
            <w:pPr>
              <w:spacing w:line="360" w:lineRule="auto"/>
              <w:jc w:val="left"/>
            </w:pPr>
            <w:r>
              <w:rPr>
                <w:rFonts w:hint="eastAsia"/>
              </w:rPr>
              <w:t>方正沪深</w:t>
            </w:r>
            <w:r>
              <w:rPr>
                <w:rFonts w:hint="eastAsia"/>
              </w:rPr>
              <w:t>300ETF</w:t>
            </w:r>
          </w:p>
        </w:tc>
        <w:tc>
          <w:tcPr>
            <w:tcW w:w="1067" w:type="pct"/>
            <w:vMerge/>
            <w:shd w:val="clear" w:color="auto" w:fill="FFFFFF" w:themeFill="background1"/>
            <w:noWrap/>
            <w:vAlign w:val="center"/>
          </w:tcPr>
          <w:p w:rsidR="00F836CF" w:rsidRDefault="00F836CF">
            <w:pPr>
              <w:spacing w:line="360" w:lineRule="auto"/>
              <w:jc w:val="left"/>
            </w:pPr>
          </w:p>
        </w:tc>
      </w:tr>
      <w:tr w:rsidR="00F836CF">
        <w:trPr>
          <w:cantSplit/>
          <w:trHeight w:val="278"/>
          <w:tblHeader/>
        </w:trPr>
        <w:tc>
          <w:tcPr>
            <w:tcW w:w="581" w:type="pct"/>
            <w:shd w:val="clear" w:color="auto" w:fill="FFFFFF" w:themeFill="background1"/>
            <w:noWrap/>
            <w:vAlign w:val="center"/>
          </w:tcPr>
          <w:p w:rsidR="00F836CF" w:rsidRDefault="001C7D36">
            <w:pPr>
              <w:spacing w:line="360" w:lineRule="auto"/>
              <w:jc w:val="left"/>
            </w:pPr>
            <w:r>
              <w:rPr>
                <w:rFonts w:hint="eastAsia"/>
              </w:rPr>
              <w:t>517800</w:t>
            </w:r>
          </w:p>
        </w:tc>
        <w:tc>
          <w:tcPr>
            <w:tcW w:w="2219" w:type="pct"/>
            <w:shd w:val="clear" w:color="auto" w:fill="FFFFFF" w:themeFill="background1"/>
            <w:noWrap/>
            <w:vAlign w:val="center"/>
          </w:tcPr>
          <w:p w:rsidR="00F836CF" w:rsidRDefault="001C7D36">
            <w:pPr>
              <w:spacing w:line="360" w:lineRule="auto"/>
              <w:jc w:val="left"/>
            </w:pPr>
            <w:r>
              <w:rPr>
                <w:rFonts w:hint="eastAsia"/>
              </w:rPr>
              <w:t>方正富邦中证沪港深人工智能</w:t>
            </w:r>
            <w:r>
              <w:rPr>
                <w:rFonts w:hint="eastAsia"/>
              </w:rPr>
              <w:t>50</w:t>
            </w:r>
            <w:r>
              <w:rPr>
                <w:rFonts w:hint="eastAsia"/>
              </w:rPr>
              <w:t>交易型开放式指数证券投资基金</w:t>
            </w:r>
          </w:p>
        </w:tc>
        <w:tc>
          <w:tcPr>
            <w:tcW w:w="440" w:type="pct"/>
            <w:shd w:val="clear" w:color="auto" w:fill="FFFFFF" w:themeFill="background1"/>
            <w:noWrap/>
            <w:vAlign w:val="center"/>
          </w:tcPr>
          <w:p w:rsidR="00F836CF" w:rsidRDefault="001C7D36">
            <w:pPr>
              <w:spacing w:line="360" w:lineRule="auto"/>
              <w:jc w:val="left"/>
            </w:pPr>
            <w:r>
              <w:rPr>
                <w:rFonts w:hint="eastAsia"/>
              </w:rPr>
              <w:t>AI50</w:t>
            </w:r>
          </w:p>
        </w:tc>
        <w:tc>
          <w:tcPr>
            <w:tcW w:w="691" w:type="pct"/>
            <w:shd w:val="clear" w:color="auto" w:fill="FFFFFF" w:themeFill="background1"/>
            <w:noWrap/>
            <w:vAlign w:val="center"/>
          </w:tcPr>
          <w:p w:rsidR="00F836CF" w:rsidRDefault="001C7D36">
            <w:pPr>
              <w:spacing w:line="360" w:lineRule="auto"/>
              <w:jc w:val="left"/>
            </w:pPr>
            <w:r>
              <w:rPr>
                <w:rFonts w:hint="eastAsia"/>
              </w:rPr>
              <w:t>人工智能</w:t>
            </w:r>
            <w:r>
              <w:rPr>
                <w:rFonts w:hint="eastAsia"/>
              </w:rPr>
              <w:t>50ETF</w:t>
            </w:r>
          </w:p>
        </w:tc>
        <w:tc>
          <w:tcPr>
            <w:tcW w:w="1067" w:type="pct"/>
            <w:vMerge/>
            <w:shd w:val="clear" w:color="auto" w:fill="FFFFFF" w:themeFill="background1"/>
            <w:noWrap/>
            <w:vAlign w:val="center"/>
          </w:tcPr>
          <w:p w:rsidR="00F836CF" w:rsidRDefault="00F836CF">
            <w:pPr>
              <w:spacing w:line="360" w:lineRule="auto"/>
              <w:jc w:val="left"/>
            </w:pPr>
          </w:p>
        </w:tc>
      </w:tr>
      <w:tr w:rsidR="00F836CF">
        <w:trPr>
          <w:cantSplit/>
          <w:trHeight w:val="278"/>
          <w:tblHeader/>
        </w:trPr>
        <w:tc>
          <w:tcPr>
            <w:tcW w:w="581" w:type="pct"/>
            <w:shd w:val="clear" w:color="auto" w:fill="FFFFFF" w:themeFill="background1"/>
            <w:noWrap/>
            <w:vAlign w:val="center"/>
          </w:tcPr>
          <w:p w:rsidR="00F836CF" w:rsidRDefault="001C7D36">
            <w:pPr>
              <w:spacing w:line="360" w:lineRule="auto"/>
              <w:jc w:val="left"/>
            </w:pPr>
            <w:r>
              <w:rPr>
                <w:rFonts w:hint="eastAsia"/>
              </w:rPr>
              <w:t>588310</w:t>
            </w:r>
          </w:p>
        </w:tc>
        <w:tc>
          <w:tcPr>
            <w:tcW w:w="2219" w:type="pct"/>
            <w:shd w:val="clear" w:color="auto" w:fill="FFFFFF" w:themeFill="background1"/>
            <w:noWrap/>
            <w:vAlign w:val="center"/>
          </w:tcPr>
          <w:p w:rsidR="00F836CF" w:rsidRDefault="001C7D36">
            <w:pPr>
              <w:spacing w:line="360" w:lineRule="auto"/>
              <w:jc w:val="left"/>
            </w:pPr>
            <w:r>
              <w:rPr>
                <w:rFonts w:hint="eastAsia"/>
              </w:rPr>
              <w:t>方正富邦中证科创创业</w:t>
            </w:r>
            <w:r>
              <w:rPr>
                <w:rFonts w:hint="eastAsia"/>
              </w:rPr>
              <w:t>50</w:t>
            </w:r>
            <w:r>
              <w:rPr>
                <w:rFonts w:hint="eastAsia"/>
              </w:rPr>
              <w:t>交易型开放式指数证券投资基金</w:t>
            </w:r>
          </w:p>
        </w:tc>
        <w:tc>
          <w:tcPr>
            <w:tcW w:w="440" w:type="pct"/>
            <w:shd w:val="clear" w:color="auto" w:fill="FFFFFF" w:themeFill="background1"/>
            <w:noWrap/>
            <w:vAlign w:val="center"/>
          </w:tcPr>
          <w:p w:rsidR="00F836CF" w:rsidRDefault="001C7D36">
            <w:pPr>
              <w:spacing w:line="360" w:lineRule="auto"/>
              <w:jc w:val="left"/>
            </w:pPr>
            <w:r>
              <w:rPr>
                <w:rFonts w:hint="eastAsia"/>
              </w:rPr>
              <w:t>双创基金</w:t>
            </w:r>
          </w:p>
        </w:tc>
        <w:tc>
          <w:tcPr>
            <w:tcW w:w="691" w:type="pct"/>
            <w:shd w:val="clear" w:color="auto" w:fill="FFFFFF" w:themeFill="background1"/>
            <w:noWrap/>
            <w:vAlign w:val="center"/>
          </w:tcPr>
          <w:p w:rsidR="00F836CF" w:rsidRDefault="001C7D36">
            <w:pPr>
              <w:spacing w:line="360" w:lineRule="auto"/>
              <w:jc w:val="left"/>
            </w:pPr>
            <w:r>
              <w:rPr>
                <w:rFonts w:hint="eastAsia"/>
              </w:rPr>
              <w:t>双创</w:t>
            </w:r>
            <w:r>
              <w:rPr>
                <w:rFonts w:hint="eastAsia"/>
              </w:rPr>
              <w:t>ETF</w:t>
            </w:r>
            <w:r>
              <w:rPr>
                <w:rFonts w:hint="eastAsia"/>
              </w:rPr>
              <w:t>基金</w:t>
            </w:r>
          </w:p>
        </w:tc>
        <w:tc>
          <w:tcPr>
            <w:tcW w:w="1067" w:type="pct"/>
            <w:vMerge/>
            <w:shd w:val="clear" w:color="auto" w:fill="FFFFFF" w:themeFill="background1"/>
            <w:noWrap/>
            <w:vAlign w:val="center"/>
          </w:tcPr>
          <w:p w:rsidR="00F836CF" w:rsidRDefault="00F836CF">
            <w:pPr>
              <w:spacing w:line="360" w:lineRule="auto"/>
              <w:jc w:val="left"/>
            </w:pPr>
          </w:p>
        </w:tc>
      </w:tr>
      <w:tr w:rsidR="00F836CF">
        <w:trPr>
          <w:cantSplit/>
          <w:trHeight w:val="278"/>
          <w:tblHeader/>
        </w:trPr>
        <w:tc>
          <w:tcPr>
            <w:tcW w:w="581" w:type="pct"/>
            <w:shd w:val="clear" w:color="auto" w:fill="FFFFFF" w:themeFill="background1"/>
            <w:noWrap/>
            <w:vAlign w:val="center"/>
          </w:tcPr>
          <w:p w:rsidR="00F836CF" w:rsidRDefault="001C7D36">
            <w:pPr>
              <w:spacing w:line="360" w:lineRule="auto"/>
              <w:jc w:val="left"/>
            </w:pPr>
            <w:r>
              <w:rPr>
                <w:rFonts w:hint="eastAsia"/>
              </w:rPr>
              <w:t>510550</w:t>
            </w:r>
          </w:p>
        </w:tc>
        <w:tc>
          <w:tcPr>
            <w:tcW w:w="2219" w:type="pct"/>
            <w:shd w:val="clear" w:color="auto" w:fill="FFFFFF" w:themeFill="background1"/>
            <w:noWrap/>
            <w:vAlign w:val="center"/>
          </w:tcPr>
          <w:p w:rsidR="00F836CF" w:rsidRDefault="001C7D36">
            <w:pPr>
              <w:spacing w:line="360" w:lineRule="auto"/>
              <w:jc w:val="left"/>
            </w:pPr>
            <w:r>
              <w:rPr>
                <w:rFonts w:hint="eastAsia"/>
              </w:rPr>
              <w:t>方正富邦中证</w:t>
            </w:r>
            <w:r>
              <w:rPr>
                <w:rFonts w:hint="eastAsia"/>
              </w:rPr>
              <w:t>500</w:t>
            </w:r>
            <w:r>
              <w:rPr>
                <w:rFonts w:hint="eastAsia"/>
              </w:rPr>
              <w:t>交易型开放式指数证券投资基金</w:t>
            </w:r>
          </w:p>
        </w:tc>
        <w:tc>
          <w:tcPr>
            <w:tcW w:w="440" w:type="pct"/>
            <w:shd w:val="clear" w:color="auto" w:fill="FFFFFF" w:themeFill="background1"/>
            <w:noWrap/>
            <w:vAlign w:val="center"/>
          </w:tcPr>
          <w:p w:rsidR="00F836CF" w:rsidRDefault="001C7D36">
            <w:pPr>
              <w:spacing w:line="360" w:lineRule="auto"/>
              <w:jc w:val="left"/>
            </w:pPr>
            <w:r>
              <w:rPr>
                <w:rFonts w:hint="eastAsia"/>
              </w:rPr>
              <w:t>方正</w:t>
            </w:r>
            <w:r>
              <w:rPr>
                <w:rFonts w:hint="eastAsia"/>
              </w:rPr>
              <w:t>500</w:t>
            </w:r>
          </w:p>
        </w:tc>
        <w:tc>
          <w:tcPr>
            <w:tcW w:w="691" w:type="pct"/>
            <w:shd w:val="clear" w:color="auto" w:fill="FFFFFF" w:themeFill="background1"/>
            <w:noWrap/>
            <w:vAlign w:val="center"/>
          </w:tcPr>
          <w:p w:rsidR="00F836CF" w:rsidRDefault="001C7D36">
            <w:pPr>
              <w:spacing w:line="360" w:lineRule="auto"/>
              <w:jc w:val="left"/>
            </w:pPr>
            <w:r>
              <w:rPr>
                <w:rFonts w:hint="eastAsia"/>
              </w:rPr>
              <w:t>方正中证</w:t>
            </w:r>
            <w:r>
              <w:rPr>
                <w:rFonts w:hint="eastAsia"/>
              </w:rPr>
              <w:t>500ETF</w:t>
            </w:r>
          </w:p>
        </w:tc>
        <w:tc>
          <w:tcPr>
            <w:tcW w:w="1067" w:type="pct"/>
            <w:vMerge w:val="restart"/>
            <w:shd w:val="clear" w:color="auto" w:fill="FFFFFF" w:themeFill="background1"/>
            <w:noWrap/>
            <w:vAlign w:val="center"/>
          </w:tcPr>
          <w:p w:rsidR="00F836CF" w:rsidRDefault="001C7D36">
            <w:pPr>
              <w:spacing w:line="360" w:lineRule="auto"/>
              <w:jc w:val="left"/>
            </w:pPr>
            <w:r>
              <w:rPr>
                <w:rFonts w:hint="eastAsia"/>
              </w:rPr>
              <w:t>招商证券股份有限公司</w:t>
            </w:r>
          </w:p>
        </w:tc>
      </w:tr>
      <w:tr w:rsidR="00F836CF">
        <w:trPr>
          <w:cantSplit/>
          <w:trHeight w:val="278"/>
          <w:tblHeader/>
        </w:trPr>
        <w:tc>
          <w:tcPr>
            <w:tcW w:w="581" w:type="pct"/>
            <w:shd w:val="clear" w:color="auto" w:fill="FFFFFF" w:themeFill="background1"/>
            <w:noWrap/>
            <w:vAlign w:val="center"/>
          </w:tcPr>
          <w:p w:rsidR="00F836CF" w:rsidRDefault="001C7D36">
            <w:pPr>
              <w:spacing w:line="360" w:lineRule="auto"/>
              <w:jc w:val="left"/>
            </w:pPr>
            <w:r>
              <w:rPr>
                <w:rFonts w:hint="eastAsia"/>
              </w:rPr>
              <w:t>517800</w:t>
            </w:r>
          </w:p>
        </w:tc>
        <w:tc>
          <w:tcPr>
            <w:tcW w:w="2219" w:type="pct"/>
            <w:shd w:val="clear" w:color="auto" w:fill="FFFFFF" w:themeFill="background1"/>
            <w:noWrap/>
            <w:vAlign w:val="center"/>
          </w:tcPr>
          <w:p w:rsidR="00F836CF" w:rsidRDefault="001C7D36">
            <w:pPr>
              <w:spacing w:line="360" w:lineRule="auto"/>
              <w:jc w:val="left"/>
            </w:pPr>
            <w:r>
              <w:rPr>
                <w:rFonts w:hint="eastAsia"/>
              </w:rPr>
              <w:t>方正富邦中证沪港深人工智能</w:t>
            </w:r>
            <w:r>
              <w:rPr>
                <w:rFonts w:hint="eastAsia"/>
              </w:rPr>
              <w:t>50</w:t>
            </w:r>
            <w:r>
              <w:rPr>
                <w:rFonts w:hint="eastAsia"/>
              </w:rPr>
              <w:t>交易型开放式指数证券投资基金</w:t>
            </w:r>
          </w:p>
        </w:tc>
        <w:tc>
          <w:tcPr>
            <w:tcW w:w="440" w:type="pct"/>
            <w:shd w:val="clear" w:color="auto" w:fill="FFFFFF" w:themeFill="background1"/>
            <w:noWrap/>
            <w:vAlign w:val="center"/>
          </w:tcPr>
          <w:p w:rsidR="00F836CF" w:rsidRDefault="001C7D36">
            <w:pPr>
              <w:spacing w:line="360" w:lineRule="auto"/>
              <w:jc w:val="left"/>
            </w:pPr>
            <w:r>
              <w:rPr>
                <w:rFonts w:hint="eastAsia"/>
              </w:rPr>
              <w:t>AI50</w:t>
            </w:r>
          </w:p>
        </w:tc>
        <w:tc>
          <w:tcPr>
            <w:tcW w:w="691" w:type="pct"/>
            <w:shd w:val="clear" w:color="auto" w:fill="FFFFFF" w:themeFill="background1"/>
            <w:noWrap/>
            <w:vAlign w:val="center"/>
          </w:tcPr>
          <w:p w:rsidR="00F836CF" w:rsidRDefault="001C7D36">
            <w:pPr>
              <w:spacing w:line="360" w:lineRule="auto"/>
              <w:jc w:val="left"/>
            </w:pPr>
            <w:r>
              <w:rPr>
                <w:rFonts w:hint="eastAsia"/>
              </w:rPr>
              <w:t>人工智能</w:t>
            </w:r>
            <w:r>
              <w:rPr>
                <w:rFonts w:hint="eastAsia"/>
              </w:rPr>
              <w:t>50ETF</w:t>
            </w:r>
          </w:p>
        </w:tc>
        <w:tc>
          <w:tcPr>
            <w:tcW w:w="1067" w:type="pct"/>
            <w:vMerge/>
            <w:shd w:val="clear" w:color="auto" w:fill="FFFFFF" w:themeFill="background1"/>
            <w:noWrap/>
            <w:vAlign w:val="center"/>
          </w:tcPr>
          <w:p w:rsidR="00F836CF" w:rsidRDefault="00F836CF">
            <w:pPr>
              <w:spacing w:line="360" w:lineRule="auto"/>
              <w:jc w:val="left"/>
            </w:pPr>
          </w:p>
        </w:tc>
      </w:tr>
      <w:tr w:rsidR="00F836CF">
        <w:trPr>
          <w:cantSplit/>
          <w:trHeight w:val="278"/>
          <w:tblHeader/>
        </w:trPr>
        <w:tc>
          <w:tcPr>
            <w:tcW w:w="581" w:type="pct"/>
            <w:shd w:val="clear" w:color="auto" w:fill="FFFFFF" w:themeFill="background1"/>
            <w:noWrap/>
            <w:vAlign w:val="center"/>
          </w:tcPr>
          <w:p w:rsidR="00F836CF" w:rsidRDefault="001C7D36">
            <w:pPr>
              <w:spacing w:line="360" w:lineRule="auto"/>
              <w:jc w:val="left"/>
            </w:pPr>
            <w:r>
              <w:rPr>
                <w:rFonts w:hint="eastAsia"/>
              </w:rPr>
              <w:t>588310</w:t>
            </w:r>
          </w:p>
        </w:tc>
        <w:tc>
          <w:tcPr>
            <w:tcW w:w="2219" w:type="pct"/>
            <w:shd w:val="clear" w:color="auto" w:fill="FFFFFF" w:themeFill="background1"/>
            <w:noWrap/>
            <w:vAlign w:val="center"/>
          </w:tcPr>
          <w:p w:rsidR="00F836CF" w:rsidRDefault="001C7D36">
            <w:pPr>
              <w:spacing w:line="360" w:lineRule="auto"/>
              <w:jc w:val="left"/>
            </w:pPr>
            <w:r>
              <w:rPr>
                <w:rFonts w:hint="eastAsia"/>
              </w:rPr>
              <w:t>方正富邦中证科创创业</w:t>
            </w:r>
            <w:r>
              <w:rPr>
                <w:rFonts w:hint="eastAsia"/>
              </w:rPr>
              <w:t>50</w:t>
            </w:r>
            <w:r>
              <w:rPr>
                <w:rFonts w:hint="eastAsia"/>
              </w:rPr>
              <w:t>交易型开放式指数证券投资基金</w:t>
            </w:r>
          </w:p>
        </w:tc>
        <w:tc>
          <w:tcPr>
            <w:tcW w:w="440" w:type="pct"/>
            <w:shd w:val="clear" w:color="auto" w:fill="FFFFFF" w:themeFill="background1"/>
            <w:noWrap/>
            <w:vAlign w:val="center"/>
          </w:tcPr>
          <w:p w:rsidR="00F836CF" w:rsidRDefault="001C7D36">
            <w:pPr>
              <w:spacing w:line="360" w:lineRule="auto"/>
              <w:jc w:val="left"/>
            </w:pPr>
            <w:r>
              <w:rPr>
                <w:rFonts w:hint="eastAsia"/>
              </w:rPr>
              <w:t>双创基金</w:t>
            </w:r>
          </w:p>
        </w:tc>
        <w:tc>
          <w:tcPr>
            <w:tcW w:w="691" w:type="pct"/>
            <w:shd w:val="clear" w:color="auto" w:fill="FFFFFF" w:themeFill="background1"/>
            <w:noWrap/>
            <w:vAlign w:val="center"/>
          </w:tcPr>
          <w:p w:rsidR="00F836CF" w:rsidRDefault="001C7D36">
            <w:pPr>
              <w:spacing w:line="360" w:lineRule="auto"/>
              <w:jc w:val="left"/>
            </w:pPr>
            <w:r>
              <w:rPr>
                <w:rFonts w:hint="eastAsia"/>
              </w:rPr>
              <w:t>双创</w:t>
            </w:r>
            <w:r>
              <w:rPr>
                <w:rFonts w:hint="eastAsia"/>
              </w:rPr>
              <w:t>ETF</w:t>
            </w:r>
            <w:r>
              <w:rPr>
                <w:rFonts w:hint="eastAsia"/>
              </w:rPr>
              <w:t>基金</w:t>
            </w:r>
          </w:p>
        </w:tc>
        <w:tc>
          <w:tcPr>
            <w:tcW w:w="1067" w:type="pct"/>
            <w:vMerge/>
            <w:shd w:val="clear" w:color="auto" w:fill="FFFFFF" w:themeFill="background1"/>
            <w:noWrap/>
            <w:vAlign w:val="center"/>
          </w:tcPr>
          <w:p w:rsidR="00F836CF" w:rsidRDefault="00F836CF">
            <w:pPr>
              <w:spacing w:line="360" w:lineRule="auto"/>
              <w:jc w:val="left"/>
            </w:pPr>
          </w:p>
        </w:tc>
      </w:tr>
      <w:tr w:rsidR="00F836CF">
        <w:trPr>
          <w:cantSplit/>
          <w:trHeight w:val="278"/>
          <w:tblHeader/>
        </w:trPr>
        <w:tc>
          <w:tcPr>
            <w:tcW w:w="581" w:type="pct"/>
            <w:shd w:val="clear" w:color="auto" w:fill="FFFFFF" w:themeFill="background1"/>
            <w:noWrap/>
            <w:vAlign w:val="center"/>
          </w:tcPr>
          <w:p w:rsidR="00F836CF" w:rsidRDefault="001C7D36">
            <w:pPr>
              <w:spacing w:line="360" w:lineRule="auto"/>
              <w:jc w:val="left"/>
            </w:pPr>
            <w:r>
              <w:rPr>
                <w:rFonts w:hint="eastAsia"/>
              </w:rPr>
              <w:t>510550</w:t>
            </w:r>
          </w:p>
        </w:tc>
        <w:tc>
          <w:tcPr>
            <w:tcW w:w="2219" w:type="pct"/>
            <w:shd w:val="clear" w:color="auto" w:fill="FFFFFF" w:themeFill="background1"/>
            <w:noWrap/>
            <w:vAlign w:val="center"/>
          </w:tcPr>
          <w:p w:rsidR="00F836CF" w:rsidRDefault="001C7D36">
            <w:pPr>
              <w:spacing w:line="360" w:lineRule="auto"/>
              <w:jc w:val="left"/>
            </w:pPr>
            <w:r>
              <w:rPr>
                <w:rFonts w:hint="eastAsia"/>
              </w:rPr>
              <w:t>方正富邦中证</w:t>
            </w:r>
            <w:r>
              <w:rPr>
                <w:rFonts w:hint="eastAsia"/>
              </w:rPr>
              <w:t>500</w:t>
            </w:r>
            <w:r>
              <w:rPr>
                <w:rFonts w:hint="eastAsia"/>
              </w:rPr>
              <w:t>交易型开放式指数证券投资基金</w:t>
            </w:r>
          </w:p>
        </w:tc>
        <w:tc>
          <w:tcPr>
            <w:tcW w:w="440" w:type="pct"/>
            <w:shd w:val="clear" w:color="auto" w:fill="FFFFFF" w:themeFill="background1"/>
            <w:noWrap/>
            <w:vAlign w:val="center"/>
          </w:tcPr>
          <w:p w:rsidR="00F836CF" w:rsidRDefault="001C7D36">
            <w:pPr>
              <w:spacing w:line="360" w:lineRule="auto"/>
              <w:jc w:val="left"/>
            </w:pPr>
            <w:r>
              <w:rPr>
                <w:rFonts w:hint="eastAsia"/>
              </w:rPr>
              <w:t>方正</w:t>
            </w:r>
            <w:r>
              <w:rPr>
                <w:rFonts w:hint="eastAsia"/>
              </w:rPr>
              <w:t>500</w:t>
            </w:r>
          </w:p>
        </w:tc>
        <w:tc>
          <w:tcPr>
            <w:tcW w:w="691" w:type="pct"/>
            <w:shd w:val="clear" w:color="auto" w:fill="FFFFFF" w:themeFill="background1"/>
            <w:noWrap/>
            <w:vAlign w:val="center"/>
          </w:tcPr>
          <w:p w:rsidR="00F836CF" w:rsidRDefault="001C7D36">
            <w:pPr>
              <w:spacing w:line="360" w:lineRule="auto"/>
              <w:jc w:val="left"/>
            </w:pPr>
            <w:r>
              <w:rPr>
                <w:rFonts w:hint="eastAsia"/>
              </w:rPr>
              <w:t>方正中证</w:t>
            </w:r>
            <w:r>
              <w:rPr>
                <w:rFonts w:hint="eastAsia"/>
              </w:rPr>
              <w:t>500ETF</w:t>
            </w:r>
          </w:p>
        </w:tc>
        <w:tc>
          <w:tcPr>
            <w:tcW w:w="1067" w:type="pct"/>
            <w:vMerge w:val="restart"/>
            <w:shd w:val="clear" w:color="auto" w:fill="FFFFFF" w:themeFill="background1"/>
            <w:noWrap/>
            <w:vAlign w:val="center"/>
          </w:tcPr>
          <w:p w:rsidR="00F836CF" w:rsidRDefault="001C7D36">
            <w:pPr>
              <w:spacing w:line="360" w:lineRule="auto"/>
              <w:jc w:val="left"/>
            </w:pPr>
            <w:r>
              <w:rPr>
                <w:rFonts w:hint="eastAsia"/>
              </w:rPr>
              <w:t>国信证券股份有限公司</w:t>
            </w:r>
          </w:p>
        </w:tc>
      </w:tr>
      <w:tr w:rsidR="00F836CF">
        <w:trPr>
          <w:cantSplit/>
          <w:trHeight w:val="278"/>
          <w:tblHeader/>
        </w:trPr>
        <w:tc>
          <w:tcPr>
            <w:tcW w:w="581" w:type="pct"/>
            <w:shd w:val="clear" w:color="auto" w:fill="FFFFFF" w:themeFill="background1"/>
            <w:noWrap/>
            <w:vAlign w:val="center"/>
          </w:tcPr>
          <w:p w:rsidR="00F836CF" w:rsidRDefault="001C7D36">
            <w:pPr>
              <w:spacing w:line="360" w:lineRule="auto"/>
              <w:jc w:val="left"/>
            </w:pPr>
            <w:r>
              <w:rPr>
                <w:rFonts w:hint="eastAsia"/>
              </w:rPr>
              <w:t>517800</w:t>
            </w:r>
          </w:p>
        </w:tc>
        <w:tc>
          <w:tcPr>
            <w:tcW w:w="2219" w:type="pct"/>
            <w:shd w:val="clear" w:color="auto" w:fill="FFFFFF" w:themeFill="background1"/>
            <w:noWrap/>
            <w:vAlign w:val="center"/>
          </w:tcPr>
          <w:p w:rsidR="00F836CF" w:rsidRDefault="001C7D36">
            <w:pPr>
              <w:spacing w:line="360" w:lineRule="auto"/>
              <w:jc w:val="left"/>
            </w:pPr>
            <w:r>
              <w:rPr>
                <w:rFonts w:hint="eastAsia"/>
              </w:rPr>
              <w:t>方正富邦中证沪港深人工智能</w:t>
            </w:r>
            <w:r>
              <w:rPr>
                <w:rFonts w:hint="eastAsia"/>
              </w:rPr>
              <w:t>50</w:t>
            </w:r>
            <w:r>
              <w:rPr>
                <w:rFonts w:hint="eastAsia"/>
              </w:rPr>
              <w:t>交易型开放式指数证券投资基金</w:t>
            </w:r>
          </w:p>
        </w:tc>
        <w:tc>
          <w:tcPr>
            <w:tcW w:w="440" w:type="pct"/>
            <w:shd w:val="clear" w:color="auto" w:fill="FFFFFF" w:themeFill="background1"/>
            <w:noWrap/>
            <w:vAlign w:val="center"/>
          </w:tcPr>
          <w:p w:rsidR="00F836CF" w:rsidRDefault="001C7D36">
            <w:pPr>
              <w:spacing w:line="360" w:lineRule="auto"/>
              <w:jc w:val="left"/>
            </w:pPr>
            <w:r>
              <w:rPr>
                <w:rFonts w:hint="eastAsia"/>
              </w:rPr>
              <w:t>AI50</w:t>
            </w:r>
          </w:p>
        </w:tc>
        <w:tc>
          <w:tcPr>
            <w:tcW w:w="691" w:type="pct"/>
            <w:shd w:val="clear" w:color="auto" w:fill="FFFFFF" w:themeFill="background1"/>
            <w:noWrap/>
            <w:vAlign w:val="center"/>
          </w:tcPr>
          <w:p w:rsidR="00F836CF" w:rsidRDefault="001C7D36">
            <w:pPr>
              <w:spacing w:line="360" w:lineRule="auto"/>
              <w:jc w:val="left"/>
            </w:pPr>
            <w:r>
              <w:rPr>
                <w:rFonts w:hint="eastAsia"/>
              </w:rPr>
              <w:t>人工智能</w:t>
            </w:r>
            <w:r>
              <w:rPr>
                <w:rFonts w:hint="eastAsia"/>
              </w:rPr>
              <w:t>50ETF</w:t>
            </w:r>
          </w:p>
        </w:tc>
        <w:tc>
          <w:tcPr>
            <w:tcW w:w="1067" w:type="pct"/>
            <w:vMerge/>
            <w:shd w:val="clear" w:color="auto" w:fill="FFFFFF" w:themeFill="background1"/>
            <w:noWrap/>
            <w:vAlign w:val="center"/>
          </w:tcPr>
          <w:p w:rsidR="00F836CF" w:rsidRDefault="00F836CF">
            <w:pPr>
              <w:spacing w:line="360" w:lineRule="auto"/>
              <w:jc w:val="left"/>
            </w:pPr>
          </w:p>
        </w:tc>
      </w:tr>
      <w:tr w:rsidR="00F836CF">
        <w:trPr>
          <w:cantSplit/>
          <w:trHeight w:val="278"/>
          <w:tblHeader/>
        </w:trPr>
        <w:tc>
          <w:tcPr>
            <w:tcW w:w="581" w:type="pct"/>
            <w:shd w:val="clear" w:color="auto" w:fill="FFFFFF" w:themeFill="background1"/>
            <w:noWrap/>
            <w:vAlign w:val="center"/>
          </w:tcPr>
          <w:p w:rsidR="00F836CF" w:rsidRDefault="001C7D36">
            <w:pPr>
              <w:spacing w:line="360" w:lineRule="auto"/>
              <w:jc w:val="left"/>
            </w:pPr>
            <w:r>
              <w:rPr>
                <w:rFonts w:hint="eastAsia"/>
              </w:rPr>
              <w:t>588310</w:t>
            </w:r>
          </w:p>
        </w:tc>
        <w:tc>
          <w:tcPr>
            <w:tcW w:w="2219" w:type="pct"/>
            <w:shd w:val="clear" w:color="auto" w:fill="FFFFFF" w:themeFill="background1"/>
            <w:noWrap/>
            <w:vAlign w:val="center"/>
          </w:tcPr>
          <w:p w:rsidR="00F836CF" w:rsidRDefault="001C7D36">
            <w:pPr>
              <w:spacing w:line="360" w:lineRule="auto"/>
              <w:jc w:val="left"/>
            </w:pPr>
            <w:r>
              <w:rPr>
                <w:rFonts w:hint="eastAsia"/>
              </w:rPr>
              <w:t>方正富邦中证科创创业</w:t>
            </w:r>
            <w:r>
              <w:rPr>
                <w:rFonts w:hint="eastAsia"/>
              </w:rPr>
              <w:t>50</w:t>
            </w:r>
            <w:r>
              <w:rPr>
                <w:rFonts w:hint="eastAsia"/>
              </w:rPr>
              <w:t>交易型开放式指数证券投资基金</w:t>
            </w:r>
          </w:p>
        </w:tc>
        <w:tc>
          <w:tcPr>
            <w:tcW w:w="440" w:type="pct"/>
            <w:shd w:val="clear" w:color="auto" w:fill="FFFFFF" w:themeFill="background1"/>
            <w:noWrap/>
            <w:vAlign w:val="center"/>
          </w:tcPr>
          <w:p w:rsidR="00F836CF" w:rsidRDefault="001C7D36">
            <w:pPr>
              <w:spacing w:line="360" w:lineRule="auto"/>
              <w:jc w:val="left"/>
            </w:pPr>
            <w:r>
              <w:rPr>
                <w:rFonts w:hint="eastAsia"/>
              </w:rPr>
              <w:t>双创基金</w:t>
            </w:r>
          </w:p>
        </w:tc>
        <w:tc>
          <w:tcPr>
            <w:tcW w:w="691" w:type="pct"/>
            <w:shd w:val="clear" w:color="auto" w:fill="FFFFFF" w:themeFill="background1"/>
            <w:noWrap/>
            <w:vAlign w:val="center"/>
          </w:tcPr>
          <w:p w:rsidR="00F836CF" w:rsidRDefault="001C7D36">
            <w:pPr>
              <w:spacing w:line="360" w:lineRule="auto"/>
              <w:jc w:val="left"/>
            </w:pPr>
            <w:r>
              <w:rPr>
                <w:rFonts w:hint="eastAsia"/>
              </w:rPr>
              <w:t>双创</w:t>
            </w:r>
            <w:r>
              <w:rPr>
                <w:rFonts w:hint="eastAsia"/>
              </w:rPr>
              <w:t>ETF</w:t>
            </w:r>
            <w:r>
              <w:rPr>
                <w:rFonts w:hint="eastAsia"/>
              </w:rPr>
              <w:t>基金</w:t>
            </w:r>
          </w:p>
        </w:tc>
        <w:tc>
          <w:tcPr>
            <w:tcW w:w="1067" w:type="pct"/>
            <w:vMerge/>
            <w:shd w:val="clear" w:color="auto" w:fill="FFFFFF" w:themeFill="background1"/>
            <w:noWrap/>
            <w:vAlign w:val="center"/>
          </w:tcPr>
          <w:p w:rsidR="00F836CF" w:rsidRDefault="00F836CF">
            <w:pPr>
              <w:spacing w:line="360" w:lineRule="auto"/>
              <w:jc w:val="left"/>
            </w:pPr>
          </w:p>
        </w:tc>
      </w:tr>
      <w:tr w:rsidR="00F836CF">
        <w:trPr>
          <w:cantSplit/>
          <w:trHeight w:val="278"/>
          <w:tblHeader/>
        </w:trPr>
        <w:tc>
          <w:tcPr>
            <w:tcW w:w="581" w:type="pct"/>
            <w:shd w:val="clear" w:color="auto" w:fill="FFFFFF" w:themeFill="background1"/>
            <w:noWrap/>
            <w:vAlign w:val="center"/>
          </w:tcPr>
          <w:p w:rsidR="00F836CF" w:rsidRDefault="001C7D36">
            <w:pPr>
              <w:spacing w:line="360" w:lineRule="auto"/>
              <w:jc w:val="left"/>
            </w:pPr>
            <w:r>
              <w:rPr>
                <w:rFonts w:hint="eastAsia"/>
              </w:rPr>
              <w:t>515360</w:t>
            </w:r>
          </w:p>
        </w:tc>
        <w:tc>
          <w:tcPr>
            <w:tcW w:w="2219" w:type="pct"/>
            <w:shd w:val="clear" w:color="auto" w:fill="FFFFFF" w:themeFill="background1"/>
            <w:noWrap/>
            <w:vAlign w:val="center"/>
          </w:tcPr>
          <w:p w:rsidR="00F836CF" w:rsidRDefault="001C7D36">
            <w:pPr>
              <w:spacing w:line="360" w:lineRule="auto"/>
              <w:jc w:val="left"/>
            </w:pPr>
            <w:r>
              <w:rPr>
                <w:rFonts w:hint="eastAsia"/>
              </w:rPr>
              <w:t>方正富邦沪深</w:t>
            </w:r>
            <w:r>
              <w:rPr>
                <w:rFonts w:hint="eastAsia"/>
              </w:rPr>
              <w:t>300</w:t>
            </w:r>
            <w:r>
              <w:rPr>
                <w:rFonts w:hint="eastAsia"/>
              </w:rPr>
              <w:t>交易型开放式指数证券投资基金</w:t>
            </w:r>
          </w:p>
        </w:tc>
        <w:tc>
          <w:tcPr>
            <w:tcW w:w="440" w:type="pct"/>
            <w:shd w:val="clear" w:color="auto" w:fill="FFFFFF" w:themeFill="background1"/>
            <w:noWrap/>
            <w:vAlign w:val="center"/>
          </w:tcPr>
          <w:p w:rsidR="00F836CF" w:rsidRDefault="001C7D36">
            <w:pPr>
              <w:spacing w:line="360" w:lineRule="auto"/>
              <w:jc w:val="left"/>
            </w:pPr>
            <w:r>
              <w:rPr>
                <w:rFonts w:hint="eastAsia"/>
              </w:rPr>
              <w:t>方正</w:t>
            </w:r>
            <w:r>
              <w:rPr>
                <w:rFonts w:hint="eastAsia"/>
              </w:rPr>
              <w:t>300</w:t>
            </w:r>
          </w:p>
        </w:tc>
        <w:tc>
          <w:tcPr>
            <w:tcW w:w="691" w:type="pct"/>
            <w:shd w:val="clear" w:color="auto" w:fill="FFFFFF" w:themeFill="background1"/>
            <w:noWrap/>
            <w:vAlign w:val="center"/>
          </w:tcPr>
          <w:p w:rsidR="00F836CF" w:rsidRDefault="001C7D36">
            <w:pPr>
              <w:spacing w:line="360" w:lineRule="auto"/>
              <w:jc w:val="left"/>
            </w:pPr>
            <w:r>
              <w:rPr>
                <w:rFonts w:hint="eastAsia"/>
              </w:rPr>
              <w:t>方正沪深</w:t>
            </w:r>
            <w:r>
              <w:rPr>
                <w:rFonts w:hint="eastAsia"/>
              </w:rPr>
              <w:t>300ETF</w:t>
            </w:r>
          </w:p>
        </w:tc>
        <w:tc>
          <w:tcPr>
            <w:tcW w:w="1067" w:type="pct"/>
            <w:vMerge w:val="restart"/>
            <w:shd w:val="clear" w:color="auto" w:fill="FFFFFF" w:themeFill="background1"/>
            <w:noWrap/>
            <w:vAlign w:val="center"/>
          </w:tcPr>
          <w:p w:rsidR="00F836CF" w:rsidRDefault="001C7D36">
            <w:pPr>
              <w:spacing w:line="360" w:lineRule="auto"/>
              <w:jc w:val="left"/>
            </w:pPr>
            <w:r>
              <w:rPr>
                <w:rFonts w:hint="eastAsia"/>
              </w:rPr>
              <w:t>华泰证券</w:t>
            </w:r>
            <w:r>
              <w:t>股份有限公司</w:t>
            </w:r>
          </w:p>
        </w:tc>
      </w:tr>
      <w:tr w:rsidR="00F836CF">
        <w:trPr>
          <w:cantSplit/>
          <w:trHeight w:val="278"/>
          <w:tblHeader/>
        </w:trPr>
        <w:tc>
          <w:tcPr>
            <w:tcW w:w="581" w:type="pct"/>
            <w:shd w:val="clear" w:color="auto" w:fill="FFFFFF" w:themeFill="background1"/>
            <w:noWrap/>
            <w:vAlign w:val="center"/>
          </w:tcPr>
          <w:p w:rsidR="00F836CF" w:rsidRDefault="001C7D36">
            <w:pPr>
              <w:spacing w:line="360" w:lineRule="auto"/>
              <w:jc w:val="left"/>
            </w:pPr>
            <w:r>
              <w:rPr>
                <w:rFonts w:hint="eastAsia"/>
              </w:rPr>
              <w:t>517800</w:t>
            </w:r>
          </w:p>
        </w:tc>
        <w:tc>
          <w:tcPr>
            <w:tcW w:w="2219" w:type="pct"/>
            <w:shd w:val="clear" w:color="auto" w:fill="FFFFFF" w:themeFill="background1"/>
            <w:noWrap/>
            <w:vAlign w:val="center"/>
          </w:tcPr>
          <w:p w:rsidR="00F836CF" w:rsidRDefault="001C7D36">
            <w:pPr>
              <w:spacing w:line="360" w:lineRule="auto"/>
              <w:jc w:val="left"/>
            </w:pPr>
            <w:r>
              <w:rPr>
                <w:rFonts w:hint="eastAsia"/>
              </w:rPr>
              <w:t>方正富邦中证沪港深人工智能</w:t>
            </w:r>
            <w:r>
              <w:rPr>
                <w:rFonts w:hint="eastAsia"/>
              </w:rPr>
              <w:t>50</w:t>
            </w:r>
            <w:r>
              <w:rPr>
                <w:rFonts w:hint="eastAsia"/>
              </w:rPr>
              <w:t>交易型开放式指数证券投资基金</w:t>
            </w:r>
          </w:p>
        </w:tc>
        <w:tc>
          <w:tcPr>
            <w:tcW w:w="440" w:type="pct"/>
            <w:shd w:val="clear" w:color="auto" w:fill="FFFFFF" w:themeFill="background1"/>
            <w:noWrap/>
            <w:vAlign w:val="center"/>
          </w:tcPr>
          <w:p w:rsidR="00F836CF" w:rsidRDefault="001C7D36">
            <w:pPr>
              <w:spacing w:line="360" w:lineRule="auto"/>
              <w:jc w:val="left"/>
            </w:pPr>
            <w:r>
              <w:rPr>
                <w:rFonts w:hint="eastAsia"/>
              </w:rPr>
              <w:t>AI50</w:t>
            </w:r>
          </w:p>
        </w:tc>
        <w:tc>
          <w:tcPr>
            <w:tcW w:w="691" w:type="pct"/>
            <w:shd w:val="clear" w:color="auto" w:fill="FFFFFF" w:themeFill="background1"/>
            <w:noWrap/>
            <w:vAlign w:val="center"/>
          </w:tcPr>
          <w:p w:rsidR="00F836CF" w:rsidRDefault="001C7D36">
            <w:pPr>
              <w:spacing w:line="360" w:lineRule="auto"/>
              <w:jc w:val="left"/>
            </w:pPr>
            <w:r>
              <w:rPr>
                <w:rFonts w:hint="eastAsia"/>
              </w:rPr>
              <w:t>人工智能</w:t>
            </w:r>
            <w:r>
              <w:rPr>
                <w:rFonts w:hint="eastAsia"/>
              </w:rPr>
              <w:t>50ETF</w:t>
            </w:r>
          </w:p>
        </w:tc>
        <w:tc>
          <w:tcPr>
            <w:tcW w:w="1067" w:type="pct"/>
            <w:vMerge/>
            <w:shd w:val="clear" w:color="auto" w:fill="FFFFFF" w:themeFill="background1"/>
            <w:noWrap/>
            <w:vAlign w:val="center"/>
          </w:tcPr>
          <w:p w:rsidR="00F836CF" w:rsidRDefault="00F836CF">
            <w:pPr>
              <w:rPr>
                <w:rFonts w:ascii="楷体" w:eastAsia="楷体" w:hAnsi="楷体" w:cs="楷体"/>
                <w:color w:val="000000"/>
                <w:sz w:val="20"/>
                <w:szCs w:val="20"/>
              </w:rPr>
            </w:pPr>
          </w:p>
        </w:tc>
      </w:tr>
    </w:tbl>
    <w:p w:rsidR="00F836CF" w:rsidRDefault="001C7D36">
      <w:pPr>
        <w:pStyle w:val="a8"/>
        <w:spacing w:before="0" w:beforeAutospacing="0" w:after="0" w:afterAutospacing="0" w:line="360" w:lineRule="auto"/>
        <w:ind w:firstLineChars="200" w:firstLine="420"/>
        <w:jc w:val="both"/>
        <w:rPr>
          <w:sz w:val="21"/>
          <w:szCs w:val="21"/>
        </w:rPr>
      </w:pPr>
      <w:r>
        <w:rPr>
          <w:rFonts w:hint="eastAsia"/>
          <w:sz w:val="21"/>
          <w:szCs w:val="21"/>
        </w:rPr>
        <w:lastRenderedPageBreak/>
        <w:t>投资者可自</w:t>
      </w:r>
      <w:r>
        <w:rPr>
          <w:rFonts w:hint="eastAsia"/>
          <w:sz w:val="21"/>
          <w:szCs w:val="21"/>
        </w:rPr>
        <w:t>2024</w:t>
      </w:r>
      <w:r>
        <w:rPr>
          <w:rFonts w:hint="eastAsia"/>
          <w:sz w:val="21"/>
          <w:szCs w:val="21"/>
        </w:rPr>
        <w:t>年</w:t>
      </w:r>
      <w:r>
        <w:rPr>
          <w:rFonts w:hint="eastAsia"/>
          <w:sz w:val="21"/>
          <w:szCs w:val="21"/>
        </w:rPr>
        <w:t>7</w:t>
      </w:r>
      <w:r>
        <w:rPr>
          <w:rFonts w:hint="eastAsia"/>
          <w:sz w:val="21"/>
          <w:szCs w:val="21"/>
        </w:rPr>
        <w:t>月</w:t>
      </w:r>
      <w:r>
        <w:rPr>
          <w:rFonts w:hint="eastAsia"/>
          <w:sz w:val="21"/>
          <w:szCs w:val="21"/>
        </w:rPr>
        <w:t>5</w:t>
      </w:r>
      <w:r>
        <w:rPr>
          <w:rFonts w:hint="eastAsia"/>
          <w:sz w:val="21"/>
          <w:szCs w:val="21"/>
        </w:rPr>
        <w:t>日起在上述销售机构办理对应基金的申购、赎回等业务，各基金申购赎回业务办理状态以其各自规定为准。投资者在销售机构办理基金申购赎回等业务的具体流程、规则等以各销售机构的规定为准，销售机构的业务办理状况亦请遵循其各自规定执行。</w:t>
      </w:r>
    </w:p>
    <w:p w:rsidR="00F836CF" w:rsidRDefault="001C7D36">
      <w:pPr>
        <w:pStyle w:val="a8"/>
        <w:spacing w:before="0" w:beforeAutospacing="0" w:after="0" w:afterAutospacing="0" w:line="360" w:lineRule="auto"/>
        <w:ind w:firstLineChars="200" w:firstLine="420"/>
        <w:jc w:val="both"/>
        <w:rPr>
          <w:sz w:val="21"/>
          <w:szCs w:val="21"/>
        </w:rPr>
      </w:pPr>
      <w:r>
        <w:rPr>
          <w:rFonts w:hint="eastAsia"/>
          <w:sz w:val="21"/>
          <w:szCs w:val="21"/>
        </w:rPr>
        <w:t>二、咨询渠道</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58"/>
        <w:gridCol w:w="2850"/>
        <w:gridCol w:w="1511"/>
      </w:tblGrid>
      <w:tr w:rsidR="00F836CF">
        <w:trPr>
          <w:trHeight w:val="280"/>
        </w:trPr>
        <w:tc>
          <w:tcPr>
            <w:tcW w:w="2439" w:type="pct"/>
            <w:shd w:val="clear" w:color="auto" w:fill="auto"/>
            <w:noWrap/>
            <w:vAlign w:val="center"/>
          </w:tcPr>
          <w:p w:rsidR="00F836CF" w:rsidRDefault="001C7D36">
            <w:pPr>
              <w:spacing w:line="360" w:lineRule="auto"/>
              <w:jc w:val="center"/>
              <w:rPr>
                <w:b/>
                <w:bCs/>
              </w:rPr>
            </w:pPr>
            <w:r>
              <w:rPr>
                <w:rFonts w:hint="eastAsia"/>
                <w:b/>
                <w:bCs/>
              </w:rPr>
              <w:t>销售机构名称</w:t>
            </w:r>
          </w:p>
        </w:tc>
        <w:tc>
          <w:tcPr>
            <w:tcW w:w="1672" w:type="pct"/>
            <w:shd w:val="clear" w:color="auto" w:fill="auto"/>
            <w:noWrap/>
            <w:vAlign w:val="center"/>
          </w:tcPr>
          <w:p w:rsidR="00F836CF" w:rsidRDefault="001C7D36">
            <w:pPr>
              <w:spacing w:line="360" w:lineRule="auto"/>
              <w:jc w:val="center"/>
              <w:rPr>
                <w:b/>
                <w:bCs/>
              </w:rPr>
            </w:pPr>
            <w:r>
              <w:rPr>
                <w:rFonts w:hint="eastAsia"/>
                <w:b/>
                <w:bCs/>
              </w:rPr>
              <w:t>网址</w:t>
            </w:r>
          </w:p>
        </w:tc>
        <w:tc>
          <w:tcPr>
            <w:tcW w:w="887" w:type="pct"/>
            <w:shd w:val="clear" w:color="auto" w:fill="auto"/>
            <w:noWrap/>
            <w:vAlign w:val="center"/>
          </w:tcPr>
          <w:p w:rsidR="00F836CF" w:rsidRDefault="001C7D36">
            <w:pPr>
              <w:spacing w:line="360" w:lineRule="auto"/>
              <w:jc w:val="center"/>
              <w:rPr>
                <w:b/>
                <w:bCs/>
              </w:rPr>
            </w:pPr>
            <w:r>
              <w:rPr>
                <w:rFonts w:hint="eastAsia"/>
                <w:b/>
                <w:bCs/>
              </w:rPr>
              <w:t>客户服务电话</w:t>
            </w:r>
          </w:p>
        </w:tc>
      </w:tr>
      <w:tr w:rsidR="00F836CF">
        <w:trPr>
          <w:trHeight w:val="280"/>
        </w:trPr>
        <w:tc>
          <w:tcPr>
            <w:tcW w:w="4157" w:type="dxa"/>
            <w:shd w:val="clear" w:color="auto" w:fill="auto"/>
            <w:noWrap/>
            <w:vAlign w:val="center"/>
          </w:tcPr>
          <w:p w:rsidR="00F836CF" w:rsidRDefault="001C7D36">
            <w:pPr>
              <w:spacing w:line="360" w:lineRule="auto"/>
            </w:pPr>
            <w:r>
              <w:rPr>
                <w:rFonts w:hint="eastAsia"/>
              </w:rPr>
              <w:t>招商证券股份有限公司</w:t>
            </w:r>
          </w:p>
        </w:tc>
        <w:tc>
          <w:tcPr>
            <w:tcW w:w="1672" w:type="pct"/>
            <w:shd w:val="clear" w:color="auto" w:fill="auto"/>
            <w:noWrap/>
            <w:vAlign w:val="center"/>
          </w:tcPr>
          <w:p w:rsidR="00F836CF" w:rsidRDefault="001C7D36">
            <w:pPr>
              <w:spacing w:line="360" w:lineRule="auto"/>
            </w:pPr>
            <w:r>
              <w:rPr>
                <w:rFonts w:hint="eastAsia"/>
              </w:rPr>
              <w:t>www.cmschina.com</w:t>
            </w:r>
          </w:p>
        </w:tc>
        <w:tc>
          <w:tcPr>
            <w:tcW w:w="887" w:type="pct"/>
            <w:shd w:val="clear" w:color="auto" w:fill="auto"/>
            <w:noWrap/>
            <w:vAlign w:val="center"/>
          </w:tcPr>
          <w:p w:rsidR="00F836CF" w:rsidRDefault="001C7D36">
            <w:pPr>
              <w:spacing w:line="360" w:lineRule="auto"/>
            </w:pPr>
            <w:r>
              <w:rPr>
                <w:rFonts w:hint="eastAsia"/>
              </w:rPr>
              <w:t>95565</w:t>
            </w:r>
          </w:p>
        </w:tc>
      </w:tr>
      <w:tr w:rsidR="00F836CF">
        <w:trPr>
          <w:trHeight w:val="280"/>
        </w:trPr>
        <w:tc>
          <w:tcPr>
            <w:tcW w:w="4157" w:type="dxa"/>
            <w:shd w:val="clear" w:color="auto" w:fill="auto"/>
            <w:noWrap/>
            <w:vAlign w:val="center"/>
          </w:tcPr>
          <w:p w:rsidR="00F836CF" w:rsidRDefault="001C7D36">
            <w:pPr>
              <w:spacing w:line="360" w:lineRule="auto"/>
            </w:pPr>
            <w:r>
              <w:rPr>
                <w:rFonts w:hint="eastAsia"/>
              </w:rPr>
              <w:t>国信证券股份有限公司</w:t>
            </w:r>
          </w:p>
        </w:tc>
        <w:tc>
          <w:tcPr>
            <w:tcW w:w="1672" w:type="pct"/>
            <w:shd w:val="clear" w:color="auto" w:fill="auto"/>
            <w:noWrap/>
            <w:vAlign w:val="center"/>
          </w:tcPr>
          <w:p w:rsidR="00F836CF" w:rsidRDefault="001C7D36">
            <w:pPr>
              <w:spacing w:line="360" w:lineRule="auto"/>
            </w:pPr>
            <w:r>
              <w:rPr>
                <w:rFonts w:hint="eastAsia"/>
              </w:rPr>
              <w:t>www.guosen.com.cn</w:t>
            </w:r>
          </w:p>
        </w:tc>
        <w:tc>
          <w:tcPr>
            <w:tcW w:w="887" w:type="pct"/>
            <w:shd w:val="clear" w:color="auto" w:fill="auto"/>
            <w:noWrap/>
            <w:vAlign w:val="center"/>
          </w:tcPr>
          <w:p w:rsidR="00F836CF" w:rsidRDefault="001C7D36">
            <w:pPr>
              <w:spacing w:line="360" w:lineRule="auto"/>
            </w:pPr>
            <w:r>
              <w:rPr>
                <w:rFonts w:hint="eastAsia"/>
              </w:rPr>
              <w:t>95536</w:t>
            </w:r>
          </w:p>
        </w:tc>
      </w:tr>
      <w:tr w:rsidR="00F836CF">
        <w:trPr>
          <w:trHeight w:val="280"/>
        </w:trPr>
        <w:tc>
          <w:tcPr>
            <w:tcW w:w="4157" w:type="dxa"/>
            <w:shd w:val="clear" w:color="auto" w:fill="auto"/>
            <w:noWrap/>
            <w:vAlign w:val="center"/>
          </w:tcPr>
          <w:p w:rsidR="00F836CF" w:rsidRDefault="001C7D36">
            <w:pPr>
              <w:spacing w:line="360" w:lineRule="auto"/>
            </w:pPr>
            <w:r>
              <w:rPr>
                <w:rFonts w:hint="eastAsia"/>
              </w:rPr>
              <w:t>渤海证券股份有限公司</w:t>
            </w:r>
          </w:p>
        </w:tc>
        <w:tc>
          <w:tcPr>
            <w:tcW w:w="1672" w:type="pct"/>
            <w:shd w:val="clear" w:color="auto" w:fill="auto"/>
            <w:noWrap/>
            <w:vAlign w:val="center"/>
          </w:tcPr>
          <w:p w:rsidR="00F836CF" w:rsidRDefault="001C7D36">
            <w:pPr>
              <w:spacing w:line="360" w:lineRule="auto"/>
            </w:pPr>
            <w:r>
              <w:rPr>
                <w:rFonts w:hint="eastAsia"/>
              </w:rPr>
              <w:t>www.ewww.com.cn</w:t>
            </w:r>
          </w:p>
        </w:tc>
        <w:tc>
          <w:tcPr>
            <w:tcW w:w="887" w:type="pct"/>
            <w:shd w:val="clear" w:color="auto" w:fill="auto"/>
            <w:noWrap/>
            <w:vAlign w:val="center"/>
          </w:tcPr>
          <w:p w:rsidR="00F836CF" w:rsidRDefault="001C7D36">
            <w:pPr>
              <w:spacing w:line="360" w:lineRule="auto"/>
            </w:pPr>
            <w:r>
              <w:rPr>
                <w:rFonts w:hint="eastAsia"/>
              </w:rPr>
              <w:t>956066</w:t>
            </w:r>
          </w:p>
        </w:tc>
      </w:tr>
      <w:tr w:rsidR="00F836CF">
        <w:trPr>
          <w:trHeight w:val="280"/>
        </w:trPr>
        <w:tc>
          <w:tcPr>
            <w:tcW w:w="4157" w:type="dxa"/>
            <w:shd w:val="clear" w:color="auto" w:fill="auto"/>
            <w:noWrap/>
            <w:vAlign w:val="center"/>
          </w:tcPr>
          <w:p w:rsidR="00F836CF" w:rsidRDefault="001C7D36">
            <w:pPr>
              <w:spacing w:line="360" w:lineRule="auto"/>
            </w:pPr>
            <w:r>
              <w:rPr>
                <w:rFonts w:hint="eastAsia"/>
              </w:rPr>
              <w:t>江海证券</w:t>
            </w:r>
            <w:r>
              <w:t>有限公司</w:t>
            </w:r>
          </w:p>
        </w:tc>
        <w:tc>
          <w:tcPr>
            <w:tcW w:w="1672" w:type="pct"/>
            <w:shd w:val="clear" w:color="auto" w:fill="auto"/>
            <w:noWrap/>
            <w:vAlign w:val="center"/>
          </w:tcPr>
          <w:p w:rsidR="00F836CF" w:rsidRDefault="001C7D36">
            <w:pPr>
              <w:spacing w:line="360" w:lineRule="auto"/>
            </w:pPr>
            <w:r>
              <w:rPr>
                <w:rFonts w:hint="eastAsia"/>
              </w:rPr>
              <w:t>www.jhzq.com.cn</w:t>
            </w:r>
          </w:p>
        </w:tc>
        <w:tc>
          <w:tcPr>
            <w:tcW w:w="887" w:type="pct"/>
            <w:shd w:val="clear" w:color="auto" w:fill="auto"/>
            <w:noWrap/>
            <w:vAlign w:val="center"/>
          </w:tcPr>
          <w:p w:rsidR="00F836CF" w:rsidRDefault="001C7D36">
            <w:pPr>
              <w:spacing w:line="360" w:lineRule="auto"/>
            </w:pPr>
            <w:r>
              <w:rPr>
                <w:rFonts w:hint="eastAsia"/>
              </w:rPr>
              <w:t>956007</w:t>
            </w:r>
          </w:p>
        </w:tc>
      </w:tr>
      <w:tr w:rsidR="00F836CF">
        <w:trPr>
          <w:trHeight w:val="280"/>
        </w:trPr>
        <w:tc>
          <w:tcPr>
            <w:tcW w:w="4157" w:type="dxa"/>
            <w:shd w:val="clear" w:color="auto" w:fill="auto"/>
            <w:noWrap/>
            <w:vAlign w:val="center"/>
          </w:tcPr>
          <w:p w:rsidR="00F836CF" w:rsidRDefault="001C7D36">
            <w:pPr>
              <w:spacing w:line="360" w:lineRule="auto"/>
            </w:pPr>
            <w:r>
              <w:rPr>
                <w:rFonts w:hint="eastAsia"/>
              </w:rPr>
              <w:t>华泰证券</w:t>
            </w:r>
            <w:r>
              <w:t>股份有限公司</w:t>
            </w:r>
          </w:p>
        </w:tc>
        <w:tc>
          <w:tcPr>
            <w:tcW w:w="1672" w:type="pct"/>
            <w:shd w:val="clear" w:color="auto" w:fill="auto"/>
            <w:noWrap/>
            <w:vAlign w:val="center"/>
          </w:tcPr>
          <w:p w:rsidR="00F836CF" w:rsidRDefault="001C7D36">
            <w:pPr>
              <w:spacing w:line="360" w:lineRule="auto"/>
            </w:pPr>
            <w:r>
              <w:rPr>
                <w:rFonts w:hint="eastAsia"/>
              </w:rPr>
              <w:t>www.htsc.com.cn</w:t>
            </w:r>
          </w:p>
        </w:tc>
        <w:tc>
          <w:tcPr>
            <w:tcW w:w="887" w:type="pct"/>
            <w:shd w:val="clear" w:color="auto" w:fill="auto"/>
            <w:noWrap/>
            <w:vAlign w:val="center"/>
          </w:tcPr>
          <w:p w:rsidR="00F836CF" w:rsidRDefault="001C7D36">
            <w:pPr>
              <w:spacing w:line="360" w:lineRule="auto"/>
            </w:pPr>
            <w:r>
              <w:rPr>
                <w:rFonts w:hint="eastAsia"/>
              </w:rPr>
              <w:t>95597</w:t>
            </w:r>
          </w:p>
        </w:tc>
      </w:tr>
      <w:tr w:rsidR="00F836CF">
        <w:trPr>
          <w:trHeight w:val="280"/>
        </w:trPr>
        <w:tc>
          <w:tcPr>
            <w:tcW w:w="4157" w:type="dxa"/>
            <w:shd w:val="clear" w:color="auto" w:fill="auto"/>
            <w:noWrap/>
            <w:vAlign w:val="center"/>
          </w:tcPr>
          <w:p w:rsidR="00F836CF" w:rsidRDefault="001C7D36">
            <w:pPr>
              <w:spacing w:line="360" w:lineRule="auto"/>
            </w:pPr>
            <w:r>
              <w:rPr>
                <w:rFonts w:hint="eastAsia"/>
              </w:rPr>
              <w:t>湘财证券</w:t>
            </w:r>
            <w:r>
              <w:t>股份有限公司</w:t>
            </w:r>
          </w:p>
        </w:tc>
        <w:tc>
          <w:tcPr>
            <w:tcW w:w="1672" w:type="pct"/>
            <w:shd w:val="clear" w:color="auto" w:fill="auto"/>
            <w:noWrap/>
            <w:vAlign w:val="center"/>
          </w:tcPr>
          <w:p w:rsidR="00F836CF" w:rsidRDefault="001C7D36">
            <w:pPr>
              <w:spacing w:line="360" w:lineRule="auto"/>
            </w:pPr>
            <w:r>
              <w:rPr>
                <w:rFonts w:hint="eastAsia"/>
              </w:rPr>
              <w:t>www.xcsc.com</w:t>
            </w:r>
          </w:p>
        </w:tc>
        <w:tc>
          <w:tcPr>
            <w:tcW w:w="887" w:type="pct"/>
            <w:shd w:val="clear" w:color="auto" w:fill="auto"/>
            <w:noWrap/>
            <w:vAlign w:val="center"/>
          </w:tcPr>
          <w:p w:rsidR="00F836CF" w:rsidRDefault="001C7D36">
            <w:pPr>
              <w:spacing w:line="360" w:lineRule="auto"/>
            </w:pPr>
            <w:r>
              <w:rPr>
                <w:rFonts w:hint="eastAsia"/>
              </w:rPr>
              <w:t>95351</w:t>
            </w:r>
          </w:p>
        </w:tc>
      </w:tr>
      <w:tr w:rsidR="00F836CF">
        <w:trPr>
          <w:trHeight w:val="280"/>
        </w:trPr>
        <w:tc>
          <w:tcPr>
            <w:tcW w:w="4157" w:type="dxa"/>
            <w:shd w:val="clear" w:color="auto" w:fill="auto"/>
            <w:noWrap/>
            <w:vAlign w:val="center"/>
          </w:tcPr>
          <w:p w:rsidR="00F836CF" w:rsidRDefault="001C7D36">
            <w:pPr>
              <w:spacing w:line="360" w:lineRule="auto"/>
            </w:pPr>
            <w:r>
              <w:rPr>
                <w:rFonts w:hint="eastAsia"/>
              </w:rPr>
              <w:t>华宝证券</w:t>
            </w:r>
            <w:r>
              <w:t>股份有限公司</w:t>
            </w:r>
          </w:p>
        </w:tc>
        <w:tc>
          <w:tcPr>
            <w:tcW w:w="1672" w:type="pct"/>
            <w:shd w:val="clear" w:color="auto" w:fill="auto"/>
            <w:noWrap/>
            <w:vAlign w:val="center"/>
          </w:tcPr>
          <w:p w:rsidR="00F836CF" w:rsidRDefault="001C7D36">
            <w:pPr>
              <w:spacing w:line="360" w:lineRule="auto"/>
            </w:pPr>
            <w:r>
              <w:rPr>
                <w:rFonts w:hint="eastAsia"/>
              </w:rPr>
              <w:t>www.cnhbstock.com</w:t>
            </w:r>
          </w:p>
        </w:tc>
        <w:tc>
          <w:tcPr>
            <w:tcW w:w="887" w:type="pct"/>
            <w:shd w:val="clear" w:color="auto" w:fill="auto"/>
            <w:noWrap/>
            <w:vAlign w:val="center"/>
          </w:tcPr>
          <w:p w:rsidR="00F836CF" w:rsidRDefault="00F836CF">
            <w:pPr>
              <w:spacing w:line="360" w:lineRule="auto"/>
            </w:pPr>
            <w:hyperlink r:id="rId6" w:history="1">
              <w:r w:rsidR="001C7D36">
                <w:rPr>
                  <w:rFonts w:hint="eastAsia"/>
                </w:rPr>
                <w:t>400-820-9898</w:t>
              </w:r>
            </w:hyperlink>
          </w:p>
        </w:tc>
      </w:tr>
    </w:tbl>
    <w:p w:rsidR="00F836CF" w:rsidRDefault="001C7D36">
      <w:pPr>
        <w:pStyle w:val="a8"/>
        <w:spacing w:before="0" w:beforeAutospacing="0" w:after="0" w:afterAutospacing="0" w:line="360" w:lineRule="auto"/>
        <w:ind w:firstLineChars="200" w:firstLine="420"/>
        <w:jc w:val="both"/>
        <w:rPr>
          <w:sz w:val="21"/>
          <w:szCs w:val="21"/>
        </w:rPr>
      </w:pPr>
      <w:r>
        <w:rPr>
          <w:rFonts w:hint="eastAsia"/>
          <w:sz w:val="21"/>
          <w:szCs w:val="21"/>
        </w:rPr>
        <w:t>投资者可拨打本公司客户服务电话（</w:t>
      </w:r>
      <w:r>
        <w:rPr>
          <w:rFonts w:hint="eastAsia"/>
          <w:sz w:val="21"/>
          <w:szCs w:val="21"/>
        </w:rPr>
        <w:t>400-818-0990</w:t>
      </w:r>
      <w:r>
        <w:rPr>
          <w:rFonts w:hint="eastAsia"/>
          <w:sz w:val="21"/>
          <w:szCs w:val="21"/>
        </w:rPr>
        <w:t>）或登录本公司网站</w:t>
      </w:r>
      <w:r>
        <w:rPr>
          <w:rFonts w:hint="eastAsia"/>
          <w:sz w:val="21"/>
          <w:szCs w:val="21"/>
        </w:rPr>
        <w:t xml:space="preserve"> </w:t>
      </w:r>
      <w:r>
        <w:rPr>
          <w:rFonts w:hint="eastAsia"/>
          <w:sz w:val="21"/>
          <w:szCs w:val="21"/>
        </w:rPr>
        <w:t>（</w:t>
      </w:r>
      <w:r>
        <w:rPr>
          <w:rFonts w:hint="eastAsia"/>
          <w:sz w:val="21"/>
          <w:szCs w:val="21"/>
        </w:rPr>
        <w:t>www.founderff.com</w:t>
      </w:r>
      <w:r>
        <w:rPr>
          <w:rFonts w:hint="eastAsia"/>
          <w:sz w:val="21"/>
          <w:szCs w:val="21"/>
        </w:rPr>
        <w:t>）了解相关信息。</w:t>
      </w:r>
      <w:r>
        <w:rPr>
          <w:rFonts w:hint="eastAsia"/>
          <w:sz w:val="21"/>
          <w:szCs w:val="21"/>
        </w:rPr>
        <w:t xml:space="preserve"> </w:t>
      </w:r>
      <w:r>
        <w:rPr>
          <w:rFonts w:hint="eastAsia"/>
          <w:sz w:val="21"/>
          <w:szCs w:val="21"/>
        </w:rPr>
        <w:t>上述基金的申购赎回代办证券公司可通过本公司网站进行查询。</w:t>
      </w:r>
    </w:p>
    <w:p w:rsidR="00F836CF" w:rsidRDefault="001C7D36">
      <w:pPr>
        <w:pStyle w:val="a8"/>
        <w:spacing w:before="0" w:beforeAutospacing="0" w:after="0" w:afterAutospacing="0" w:line="360" w:lineRule="auto"/>
        <w:ind w:firstLineChars="200" w:firstLine="420"/>
        <w:jc w:val="both"/>
        <w:rPr>
          <w:sz w:val="21"/>
          <w:szCs w:val="21"/>
        </w:rPr>
      </w:pPr>
      <w:r>
        <w:rPr>
          <w:rFonts w:hint="eastAsia"/>
          <w:sz w:val="21"/>
          <w:szCs w:val="21"/>
        </w:rPr>
        <w:t>风险提示：</w:t>
      </w:r>
    </w:p>
    <w:p w:rsidR="00F836CF" w:rsidRDefault="001C7D36">
      <w:pPr>
        <w:pStyle w:val="a8"/>
        <w:spacing w:before="0" w:beforeAutospacing="0" w:after="0" w:afterAutospacing="0" w:line="360" w:lineRule="auto"/>
        <w:ind w:firstLineChars="200" w:firstLine="420"/>
        <w:jc w:val="both"/>
        <w:rPr>
          <w:sz w:val="21"/>
          <w:szCs w:val="21"/>
        </w:rPr>
      </w:pPr>
      <w:r>
        <w:rPr>
          <w:rFonts w:hint="eastAsia"/>
          <w:sz w:val="21"/>
          <w:szCs w:val="21"/>
        </w:rPr>
        <w:t>基金管理人承诺以恪尽职守、诚实信用、谨慎勤勉的原则管理和运用基金资产，但不保证基金一定盈利，也不保证最低收益。基金管理人提醒投资者在做出投资决策前应全面了解基金的产品特性并充分考虑自身的风险承受能力，理性判断市场，投资者自行承担基金运营状况与基金净值变化引致的投资风险。投资有风险，选择须谨慎。敬请投资者于投资前认真阅读基金的基金合同、最新招募说明书及其他法律文件。</w:t>
      </w:r>
    </w:p>
    <w:p w:rsidR="00F836CF" w:rsidRDefault="001C7D36">
      <w:pPr>
        <w:pStyle w:val="a8"/>
        <w:spacing w:before="0" w:beforeAutospacing="0" w:after="0" w:afterAutospacing="0" w:line="360" w:lineRule="auto"/>
        <w:ind w:firstLineChars="200" w:firstLine="420"/>
        <w:jc w:val="both"/>
        <w:rPr>
          <w:sz w:val="21"/>
          <w:szCs w:val="21"/>
        </w:rPr>
      </w:pPr>
      <w:r>
        <w:rPr>
          <w:sz w:val="21"/>
          <w:szCs w:val="21"/>
        </w:rPr>
        <w:t>特此公告。</w:t>
      </w:r>
    </w:p>
    <w:p w:rsidR="00F836CF" w:rsidRDefault="00F836CF">
      <w:pPr>
        <w:pStyle w:val="a8"/>
        <w:spacing w:before="0" w:beforeAutospacing="0" w:after="0" w:afterAutospacing="0" w:line="360" w:lineRule="auto"/>
        <w:ind w:firstLineChars="200" w:firstLine="420"/>
        <w:jc w:val="right"/>
        <w:rPr>
          <w:sz w:val="21"/>
          <w:szCs w:val="21"/>
        </w:rPr>
      </w:pPr>
    </w:p>
    <w:p w:rsidR="00F836CF" w:rsidRDefault="001C7D36">
      <w:pPr>
        <w:pStyle w:val="a8"/>
        <w:spacing w:before="0" w:beforeAutospacing="0" w:after="0" w:afterAutospacing="0" w:line="360" w:lineRule="auto"/>
        <w:ind w:firstLineChars="200" w:firstLine="420"/>
        <w:jc w:val="right"/>
        <w:rPr>
          <w:sz w:val="21"/>
          <w:szCs w:val="21"/>
        </w:rPr>
      </w:pPr>
      <w:r>
        <w:rPr>
          <w:rFonts w:hint="eastAsia"/>
          <w:sz w:val="21"/>
          <w:szCs w:val="21"/>
        </w:rPr>
        <w:t>方正富邦基金管理有限公司</w:t>
      </w:r>
    </w:p>
    <w:p w:rsidR="00F836CF" w:rsidRDefault="001C7D36">
      <w:pPr>
        <w:pStyle w:val="a8"/>
        <w:spacing w:before="0" w:beforeAutospacing="0" w:after="0" w:afterAutospacing="0" w:line="360" w:lineRule="auto"/>
        <w:ind w:firstLineChars="200" w:firstLine="420"/>
        <w:jc w:val="right"/>
        <w:rPr>
          <w:sz w:val="21"/>
          <w:szCs w:val="21"/>
        </w:rPr>
      </w:pPr>
      <w:r>
        <w:rPr>
          <w:rFonts w:hint="eastAsia"/>
          <w:sz w:val="21"/>
          <w:szCs w:val="21"/>
        </w:rPr>
        <w:t>202</w:t>
      </w:r>
      <w:r>
        <w:rPr>
          <w:rFonts w:hint="eastAsia"/>
          <w:sz w:val="21"/>
          <w:szCs w:val="21"/>
        </w:rPr>
        <w:t>4</w:t>
      </w:r>
      <w:r>
        <w:rPr>
          <w:rFonts w:hint="eastAsia"/>
          <w:sz w:val="21"/>
          <w:szCs w:val="21"/>
        </w:rPr>
        <w:t>年</w:t>
      </w:r>
      <w:r>
        <w:rPr>
          <w:rFonts w:hint="eastAsia"/>
          <w:sz w:val="21"/>
          <w:szCs w:val="21"/>
        </w:rPr>
        <w:t>8</w:t>
      </w:r>
      <w:r>
        <w:rPr>
          <w:rFonts w:hint="eastAsia"/>
          <w:sz w:val="21"/>
          <w:szCs w:val="21"/>
        </w:rPr>
        <w:t>月</w:t>
      </w:r>
      <w:r>
        <w:rPr>
          <w:rFonts w:hint="eastAsia"/>
          <w:sz w:val="21"/>
          <w:szCs w:val="21"/>
        </w:rPr>
        <w:t>26</w:t>
      </w:r>
      <w:r>
        <w:rPr>
          <w:rFonts w:hint="eastAsia"/>
          <w:sz w:val="21"/>
          <w:szCs w:val="21"/>
        </w:rPr>
        <w:t>日</w:t>
      </w:r>
    </w:p>
    <w:sectPr w:rsidR="00F836CF" w:rsidSect="00F836C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楷体">
    <w:charset w:val="86"/>
    <w:family w:val="auto"/>
    <w:pitch w:val="default"/>
    <w:sig w:usb0="800002BF" w:usb1="38CF7CFA" w:usb2="00000016" w:usb3="00000000" w:csb0="00040001" w:csb1="00000000"/>
  </w:font>
  <w:font w:name="Calibri Light">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3B3E60"/>
    <w:multiLevelType w:val="multilevel"/>
    <w:tmpl w:val="393B3E60"/>
    <w:lvl w:ilvl="0">
      <w:start w:val="1"/>
      <w:numFmt w:val="chineseCountingThousand"/>
      <w:pStyle w:val="1"/>
      <w:suff w:val="nothing"/>
      <w:lvlText w:val="%1、"/>
      <w:lvlJc w:val="center"/>
      <w:pPr>
        <w:ind w:left="0" w:firstLine="288"/>
      </w:pPr>
    </w:lvl>
    <w:lvl w:ilvl="1">
      <w:start w:val="1"/>
      <w:numFmt w:val="chineseCountingThousand"/>
      <w:pStyle w:val="2"/>
      <w:lvlText w:val="（%2）"/>
      <w:lvlJc w:val="left"/>
      <w:pPr>
        <w:tabs>
          <w:tab w:val="left" w:pos="1260"/>
        </w:tabs>
        <w:ind w:left="180" w:firstLine="0"/>
      </w:pPr>
      <w:rPr>
        <w:sz w:val="21"/>
        <w:szCs w:val="21"/>
      </w:rPr>
    </w:lvl>
    <w:lvl w:ilvl="2">
      <w:start w:val="1"/>
      <w:numFmt w:val="decimal"/>
      <w:pStyle w:val="3"/>
      <w:lvlText w:val="%3."/>
      <w:lvlJc w:val="left"/>
      <w:pPr>
        <w:tabs>
          <w:tab w:val="left" w:pos="454"/>
        </w:tabs>
        <w:ind w:left="454" w:hanging="454"/>
      </w:pPr>
      <w:rPr>
        <w:rFonts w:ascii="Arial" w:eastAsia="宋体" w:hAnsi="Arial" w:cs="Arial" w:hint="default"/>
        <w:b w:val="0"/>
        <w:i w:val="0"/>
        <w:sz w:val="21"/>
      </w:rPr>
    </w:lvl>
    <w:lvl w:ilvl="3">
      <w:start w:val="1"/>
      <w:numFmt w:val="decimal"/>
      <w:pStyle w:val="4"/>
      <w:lvlText w:val="（%4）"/>
      <w:lvlJc w:val="left"/>
      <w:pPr>
        <w:tabs>
          <w:tab w:val="left" w:pos="720"/>
        </w:tabs>
        <w:ind w:left="0" w:firstLine="0"/>
      </w:pPr>
      <w:rPr>
        <w:rFonts w:ascii="Arial" w:eastAsia="宋体" w:hAnsi="Arial" w:cs="Arial" w:hint="default"/>
        <w:sz w:val="21"/>
      </w:rPr>
    </w:lvl>
    <w:lvl w:ilvl="4">
      <w:start w:val="1"/>
      <w:numFmt w:val="none"/>
      <w:pStyle w:val="5"/>
      <w:lvlText w:val=""/>
      <w:lvlJc w:val="left"/>
      <w:pPr>
        <w:tabs>
          <w:tab w:val="left" w:pos="360"/>
        </w:tabs>
        <w:ind w:left="0" w:firstLine="0"/>
      </w:pPr>
      <w:rPr>
        <w:sz w:val="24"/>
      </w:rPr>
    </w:lvl>
    <w:lvl w:ilvl="5">
      <w:start w:val="1"/>
      <w:numFmt w:val="upperLetter"/>
      <w:pStyle w:val="6"/>
      <w:lvlText w:val="%6."/>
      <w:lvlJc w:val="left"/>
      <w:pPr>
        <w:tabs>
          <w:tab w:val="left" w:pos="927"/>
        </w:tabs>
        <w:ind w:left="0" w:firstLine="567"/>
      </w:pPr>
      <w:rPr>
        <w:sz w:val="21"/>
        <w:szCs w:val="21"/>
      </w:rPr>
    </w:lvl>
    <w:lvl w:ilvl="6">
      <w:start w:val="1"/>
      <w:numFmt w:val="none"/>
      <w:lvlText w:val=""/>
      <w:lvlJc w:val="left"/>
      <w:pPr>
        <w:tabs>
          <w:tab w:val="left" w:pos="3827"/>
        </w:tabs>
        <w:ind w:left="3827" w:hanging="1276"/>
      </w:pPr>
    </w:lvl>
    <w:lvl w:ilvl="7">
      <w:start w:val="1"/>
      <w:numFmt w:val="none"/>
      <w:lvlText w:val=""/>
      <w:lvlJc w:val="left"/>
      <w:pPr>
        <w:tabs>
          <w:tab w:val="left" w:pos="4394"/>
        </w:tabs>
        <w:ind w:left="4394" w:hanging="1418"/>
      </w:pPr>
    </w:lvl>
    <w:lvl w:ilvl="8">
      <w:start w:val="1"/>
      <w:numFmt w:val="none"/>
      <w:lvlText w:val=""/>
      <w:lvlJc w:val="left"/>
      <w:pPr>
        <w:tabs>
          <w:tab w:val="left" w:pos="5102"/>
        </w:tabs>
        <w:ind w:left="5102" w:hanging="17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TQ2ZGRiMGU3M2Q0NjcyMmI5ZWQ4NjIxOWE5MDBiOTkifQ=="/>
  </w:docVars>
  <w:rsids>
    <w:rsidRoot w:val="006A0830"/>
    <w:rsid w:val="00011F4E"/>
    <w:rsid w:val="00014BE6"/>
    <w:rsid w:val="00017DDD"/>
    <w:rsid w:val="00025620"/>
    <w:rsid w:val="000262E9"/>
    <w:rsid w:val="00042EC1"/>
    <w:rsid w:val="00044747"/>
    <w:rsid w:val="00045A0E"/>
    <w:rsid w:val="00084143"/>
    <w:rsid w:val="000A2C45"/>
    <w:rsid w:val="000A7122"/>
    <w:rsid w:val="000B0370"/>
    <w:rsid w:val="000B3A13"/>
    <w:rsid w:val="000B3BD6"/>
    <w:rsid w:val="000D15C4"/>
    <w:rsid w:val="000F3B48"/>
    <w:rsid w:val="001038A6"/>
    <w:rsid w:val="001165AD"/>
    <w:rsid w:val="00120F9A"/>
    <w:rsid w:val="00121E2D"/>
    <w:rsid w:val="00141AFF"/>
    <w:rsid w:val="0014441D"/>
    <w:rsid w:val="00151F96"/>
    <w:rsid w:val="00165CDD"/>
    <w:rsid w:val="00173A58"/>
    <w:rsid w:val="001808A0"/>
    <w:rsid w:val="001819D2"/>
    <w:rsid w:val="00193E6E"/>
    <w:rsid w:val="0019516D"/>
    <w:rsid w:val="001A14A9"/>
    <w:rsid w:val="001A31F7"/>
    <w:rsid w:val="001A3E3D"/>
    <w:rsid w:val="001A6D8B"/>
    <w:rsid w:val="001B3566"/>
    <w:rsid w:val="001C5AF1"/>
    <w:rsid w:val="001C5EAB"/>
    <w:rsid w:val="001C7D36"/>
    <w:rsid w:val="001E2A48"/>
    <w:rsid w:val="001E6DB8"/>
    <w:rsid w:val="001E7F8D"/>
    <w:rsid w:val="001F2D87"/>
    <w:rsid w:val="001F75C3"/>
    <w:rsid w:val="001F7FD0"/>
    <w:rsid w:val="00201EC6"/>
    <w:rsid w:val="002028E3"/>
    <w:rsid w:val="00202A9B"/>
    <w:rsid w:val="00217FFA"/>
    <w:rsid w:val="002257DD"/>
    <w:rsid w:val="00232682"/>
    <w:rsid w:val="002357EF"/>
    <w:rsid w:val="0025469F"/>
    <w:rsid w:val="00257040"/>
    <w:rsid w:val="0025750C"/>
    <w:rsid w:val="00261318"/>
    <w:rsid w:val="00265CB1"/>
    <w:rsid w:val="00273C17"/>
    <w:rsid w:val="00280BE6"/>
    <w:rsid w:val="0029335A"/>
    <w:rsid w:val="002A0B56"/>
    <w:rsid w:val="002A2BB4"/>
    <w:rsid w:val="002A7439"/>
    <w:rsid w:val="002B09D8"/>
    <w:rsid w:val="002B6FC9"/>
    <w:rsid w:val="002D45F1"/>
    <w:rsid w:val="002D53F6"/>
    <w:rsid w:val="002D6ACC"/>
    <w:rsid w:val="002E654E"/>
    <w:rsid w:val="002F70D2"/>
    <w:rsid w:val="00302059"/>
    <w:rsid w:val="00302847"/>
    <w:rsid w:val="00311946"/>
    <w:rsid w:val="003338E1"/>
    <w:rsid w:val="00352CC9"/>
    <w:rsid w:val="00355307"/>
    <w:rsid w:val="00357E57"/>
    <w:rsid w:val="0036505C"/>
    <w:rsid w:val="0038178C"/>
    <w:rsid w:val="003A1B6F"/>
    <w:rsid w:val="003A25D0"/>
    <w:rsid w:val="003A4D70"/>
    <w:rsid w:val="003A747A"/>
    <w:rsid w:val="003B04F1"/>
    <w:rsid w:val="003B0C13"/>
    <w:rsid w:val="003B3112"/>
    <w:rsid w:val="003D2861"/>
    <w:rsid w:val="003D570A"/>
    <w:rsid w:val="003D5FE5"/>
    <w:rsid w:val="003F1032"/>
    <w:rsid w:val="003F10D9"/>
    <w:rsid w:val="003F3D99"/>
    <w:rsid w:val="00400AAC"/>
    <w:rsid w:val="00402BC7"/>
    <w:rsid w:val="004145A7"/>
    <w:rsid w:val="004222A2"/>
    <w:rsid w:val="0044010A"/>
    <w:rsid w:val="004446E7"/>
    <w:rsid w:val="0045561A"/>
    <w:rsid w:val="00456FBB"/>
    <w:rsid w:val="004607C6"/>
    <w:rsid w:val="00463E58"/>
    <w:rsid w:val="004643CF"/>
    <w:rsid w:val="004676E4"/>
    <w:rsid w:val="004A3A9E"/>
    <w:rsid w:val="004A75FB"/>
    <w:rsid w:val="004B0D22"/>
    <w:rsid w:val="004B6D39"/>
    <w:rsid w:val="004C3CB1"/>
    <w:rsid w:val="004D059D"/>
    <w:rsid w:val="004D55CF"/>
    <w:rsid w:val="004E296D"/>
    <w:rsid w:val="004E57D3"/>
    <w:rsid w:val="004F42C5"/>
    <w:rsid w:val="004F58BF"/>
    <w:rsid w:val="00507619"/>
    <w:rsid w:val="005079A3"/>
    <w:rsid w:val="00520806"/>
    <w:rsid w:val="005214B7"/>
    <w:rsid w:val="005265DE"/>
    <w:rsid w:val="00531CF6"/>
    <w:rsid w:val="00532A7E"/>
    <w:rsid w:val="00561A39"/>
    <w:rsid w:val="005632D0"/>
    <w:rsid w:val="005705C5"/>
    <w:rsid w:val="005859FE"/>
    <w:rsid w:val="005A00E5"/>
    <w:rsid w:val="005A16BC"/>
    <w:rsid w:val="005A2F60"/>
    <w:rsid w:val="005A7AD9"/>
    <w:rsid w:val="005B1D81"/>
    <w:rsid w:val="005B2B1A"/>
    <w:rsid w:val="005E5E01"/>
    <w:rsid w:val="005F666C"/>
    <w:rsid w:val="0060101A"/>
    <w:rsid w:val="00607B7F"/>
    <w:rsid w:val="00607F17"/>
    <w:rsid w:val="00614B88"/>
    <w:rsid w:val="006167DC"/>
    <w:rsid w:val="00631D6A"/>
    <w:rsid w:val="00695567"/>
    <w:rsid w:val="00697171"/>
    <w:rsid w:val="006A0830"/>
    <w:rsid w:val="006A1424"/>
    <w:rsid w:val="006A619C"/>
    <w:rsid w:val="006B15C9"/>
    <w:rsid w:val="006C50A6"/>
    <w:rsid w:val="006C6AB8"/>
    <w:rsid w:val="006E63F3"/>
    <w:rsid w:val="006F029E"/>
    <w:rsid w:val="007101C2"/>
    <w:rsid w:val="00711FC4"/>
    <w:rsid w:val="007156D0"/>
    <w:rsid w:val="00717066"/>
    <w:rsid w:val="00720724"/>
    <w:rsid w:val="00735650"/>
    <w:rsid w:val="00761E58"/>
    <w:rsid w:val="0076431E"/>
    <w:rsid w:val="00781E12"/>
    <w:rsid w:val="0078258E"/>
    <w:rsid w:val="00782C35"/>
    <w:rsid w:val="007868D1"/>
    <w:rsid w:val="00794FD5"/>
    <w:rsid w:val="007A0DAB"/>
    <w:rsid w:val="007A1137"/>
    <w:rsid w:val="007A48E7"/>
    <w:rsid w:val="007A5779"/>
    <w:rsid w:val="007A6323"/>
    <w:rsid w:val="007A7087"/>
    <w:rsid w:val="007B3D64"/>
    <w:rsid w:val="007C3CF0"/>
    <w:rsid w:val="007D2B1B"/>
    <w:rsid w:val="007D5192"/>
    <w:rsid w:val="007D5FB8"/>
    <w:rsid w:val="007D7579"/>
    <w:rsid w:val="007E6C8A"/>
    <w:rsid w:val="007F5A3D"/>
    <w:rsid w:val="00801511"/>
    <w:rsid w:val="00821A3D"/>
    <w:rsid w:val="008272E6"/>
    <w:rsid w:val="00834D3C"/>
    <w:rsid w:val="00844A5F"/>
    <w:rsid w:val="00850E20"/>
    <w:rsid w:val="00852B66"/>
    <w:rsid w:val="0085509C"/>
    <w:rsid w:val="0085633F"/>
    <w:rsid w:val="0086097C"/>
    <w:rsid w:val="00863A97"/>
    <w:rsid w:val="00865974"/>
    <w:rsid w:val="008706BE"/>
    <w:rsid w:val="008732A2"/>
    <w:rsid w:val="00881526"/>
    <w:rsid w:val="00890117"/>
    <w:rsid w:val="00893FA1"/>
    <w:rsid w:val="008A0A79"/>
    <w:rsid w:val="008A21A6"/>
    <w:rsid w:val="008A638D"/>
    <w:rsid w:val="008C3C67"/>
    <w:rsid w:val="008D1A42"/>
    <w:rsid w:val="008D7F49"/>
    <w:rsid w:val="008E0DC6"/>
    <w:rsid w:val="008F190D"/>
    <w:rsid w:val="008F668D"/>
    <w:rsid w:val="008F689F"/>
    <w:rsid w:val="00901C2B"/>
    <w:rsid w:val="00903291"/>
    <w:rsid w:val="00911614"/>
    <w:rsid w:val="00934E30"/>
    <w:rsid w:val="0094189F"/>
    <w:rsid w:val="00946E90"/>
    <w:rsid w:val="00963C1E"/>
    <w:rsid w:val="00966E8C"/>
    <w:rsid w:val="00971D49"/>
    <w:rsid w:val="0097574B"/>
    <w:rsid w:val="00975B98"/>
    <w:rsid w:val="00976626"/>
    <w:rsid w:val="00984F52"/>
    <w:rsid w:val="00987D25"/>
    <w:rsid w:val="00993B77"/>
    <w:rsid w:val="009B01FA"/>
    <w:rsid w:val="009B1BD5"/>
    <w:rsid w:val="009B64D9"/>
    <w:rsid w:val="009D2F87"/>
    <w:rsid w:val="009E69CD"/>
    <w:rsid w:val="009E7E79"/>
    <w:rsid w:val="00A05D44"/>
    <w:rsid w:val="00A11F2F"/>
    <w:rsid w:val="00A127FD"/>
    <w:rsid w:val="00A220A1"/>
    <w:rsid w:val="00A258B9"/>
    <w:rsid w:val="00A264FB"/>
    <w:rsid w:val="00A421BF"/>
    <w:rsid w:val="00A44777"/>
    <w:rsid w:val="00A51C00"/>
    <w:rsid w:val="00A52649"/>
    <w:rsid w:val="00A57615"/>
    <w:rsid w:val="00A66AD1"/>
    <w:rsid w:val="00A80275"/>
    <w:rsid w:val="00A80836"/>
    <w:rsid w:val="00A819D8"/>
    <w:rsid w:val="00A910CF"/>
    <w:rsid w:val="00AA1AFD"/>
    <w:rsid w:val="00AA6FC0"/>
    <w:rsid w:val="00AB42FE"/>
    <w:rsid w:val="00AB6DE6"/>
    <w:rsid w:val="00AB7397"/>
    <w:rsid w:val="00AC10A5"/>
    <w:rsid w:val="00AC7F99"/>
    <w:rsid w:val="00AD4395"/>
    <w:rsid w:val="00AE2B97"/>
    <w:rsid w:val="00AE42D8"/>
    <w:rsid w:val="00AE53D6"/>
    <w:rsid w:val="00AE6810"/>
    <w:rsid w:val="00AF0531"/>
    <w:rsid w:val="00B001AE"/>
    <w:rsid w:val="00B337DC"/>
    <w:rsid w:val="00B4473E"/>
    <w:rsid w:val="00B524DA"/>
    <w:rsid w:val="00B70928"/>
    <w:rsid w:val="00B7144D"/>
    <w:rsid w:val="00B72A3B"/>
    <w:rsid w:val="00B742E2"/>
    <w:rsid w:val="00B80165"/>
    <w:rsid w:val="00B91CBC"/>
    <w:rsid w:val="00B9456F"/>
    <w:rsid w:val="00BA13F1"/>
    <w:rsid w:val="00BB140F"/>
    <w:rsid w:val="00BC40D5"/>
    <w:rsid w:val="00BD7589"/>
    <w:rsid w:val="00BF2899"/>
    <w:rsid w:val="00BF6130"/>
    <w:rsid w:val="00C044C1"/>
    <w:rsid w:val="00C230D0"/>
    <w:rsid w:val="00C4464A"/>
    <w:rsid w:val="00C52E07"/>
    <w:rsid w:val="00C66230"/>
    <w:rsid w:val="00C7079F"/>
    <w:rsid w:val="00C740E6"/>
    <w:rsid w:val="00C850CD"/>
    <w:rsid w:val="00C9532A"/>
    <w:rsid w:val="00CA6E3B"/>
    <w:rsid w:val="00CB1CCC"/>
    <w:rsid w:val="00CB32F8"/>
    <w:rsid w:val="00CB61AA"/>
    <w:rsid w:val="00CC1F49"/>
    <w:rsid w:val="00CE3B23"/>
    <w:rsid w:val="00CE43FA"/>
    <w:rsid w:val="00CF74AE"/>
    <w:rsid w:val="00D031BB"/>
    <w:rsid w:val="00D06EE7"/>
    <w:rsid w:val="00D14DDE"/>
    <w:rsid w:val="00D33485"/>
    <w:rsid w:val="00D55D54"/>
    <w:rsid w:val="00D563BD"/>
    <w:rsid w:val="00D6433F"/>
    <w:rsid w:val="00D65251"/>
    <w:rsid w:val="00D661AE"/>
    <w:rsid w:val="00D70F74"/>
    <w:rsid w:val="00D92EF2"/>
    <w:rsid w:val="00DA0531"/>
    <w:rsid w:val="00DA0B7F"/>
    <w:rsid w:val="00DA53AE"/>
    <w:rsid w:val="00DC699B"/>
    <w:rsid w:val="00DE2A52"/>
    <w:rsid w:val="00DE3010"/>
    <w:rsid w:val="00DE4556"/>
    <w:rsid w:val="00DF3F7F"/>
    <w:rsid w:val="00E124D3"/>
    <w:rsid w:val="00E13714"/>
    <w:rsid w:val="00E252C8"/>
    <w:rsid w:val="00E472B3"/>
    <w:rsid w:val="00E54D26"/>
    <w:rsid w:val="00E7025F"/>
    <w:rsid w:val="00E726FF"/>
    <w:rsid w:val="00E82AD8"/>
    <w:rsid w:val="00E844B3"/>
    <w:rsid w:val="00E84DA6"/>
    <w:rsid w:val="00E93DB3"/>
    <w:rsid w:val="00E95F0D"/>
    <w:rsid w:val="00E9709D"/>
    <w:rsid w:val="00EA47AC"/>
    <w:rsid w:val="00EB22B9"/>
    <w:rsid w:val="00EC44BE"/>
    <w:rsid w:val="00ED0851"/>
    <w:rsid w:val="00ED35BE"/>
    <w:rsid w:val="00ED3DA8"/>
    <w:rsid w:val="00EE1163"/>
    <w:rsid w:val="00EF292B"/>
    <w:rsid w:val="00EF4573"/>
    <w:rsid w:val="00EF7572"/>
    <w:rsid w:val="00F04B7A"/>
    <w:rsid w:val="00F1057F"/>
    <w:rsid w:val="00F23F5A"/>
    <w:rsid w:val="00F31659"/>
    <w:rsid w:val="00F34D27"/>
    <w:rsid w:val="00F3689A"/>
    <w:rsid w:val="00F43DF2"/>
    <w:rsid w:val="00F45B9A"/>
    <w:rsid w:val="00F53CE3"/>
    <w:rsid w:val="00F549AB"/>
    <w:rsid w:val="00F56EC4"/>
    <w:rsid w:val="00F611A8"/>
    <w:rsid w:val="00F66FD9"/>
    <w:rsid w:val="00F7660B"/>
    <w:rsid w:val="00F766F0"/>
    <w:rsid w:val="00F836CF"/>
    <w:rsid w:val="00F8777F"/>
    <w:rsid w:val="00FA4174"/>
    <w:rsid w:val="00FC44B9"/>
    <w:rsid w:val="00FD1D4D"/>
    <w:rsid w:val="00FF48DF"/>
    <w:rsid w:val="00FF4D81"/>
    <w:rsid w:val="08903721"/>
    <w:rsid w:val="09117B57"/>
    <w:rsid w:val="0F2C21D2"/>
    <w:rsid w:val="1357361A"/>
    <w:rsid w:val="166E6190"/>
    <w:rsid w:val="1DCF3C77"/>
    <w:rsid w:val="20611084"/>
    <w:rsid w:val="292F2A9F"/>
    <w:rsid w:val="489F5C43"/>
    <w:rsid w:val="50350355"/>
    <w:rsid w:val="54C477B4"/>
    <w:rsid w:val="580269AA"/>
    <w:rsid w:val="59D34755"/>
    <w:rsid w:val="5B164E41"/>
    <w:rsid w:val="60635F2D"/>
    <w:rsid w:val="65D44548"/>
    <w:rsid w:val="661323C2"/>
    <w:rsid w:val="6D0F7493"/>
    <w:rsid w:val="6D691DF6"/>
    <w:rsid w:val="6F404B55"/>
    <w:rsid w:val="6F4A1C4B"/>
    <w:rsid w:val="6FF762D7"/>
    <w:rsid w:val="72F549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F836CF"/>
    <w:pPr>
      <w:jc w:val="both"/>
    </w:pPr>
    <w:rPr>
      <w:rFonts w:ascii="Calibri" w:hAnsi="Calibri" w:cs="宋体"/>
      <w:sz w:val="21"/>
      <w:szCs w:val="21"/>
    </w:rPr>
  </w:style>
  <w:style w:type="paragraph" w:styleId="1">
    <w:name w:val="heading 1"/>
    <w:basedOn w:val="a"/>
    <w:next w:val="a"/>
    <w:link w:val="1Char"/>
    <w:autoRedefine/>
    <w:uiPriority w:val="9"/>
    <w:qFormat/>
    <w:rsid w:val="00F836CF"/>
    <w:pPr>
      <w:numPr>
        <w:numId w:val="1"/>
      </w:numPr>
      <w:spacing w:before="300" w:after="300" w:line="360" w:lineRule="auto"/>
      <w:outlineLvl w:val="0"/>
    </w:pPr>
    <w:rPr>
      <w:rFonts w:ascii="宋体" w:hAnsi="宋体"/>
      <w:b/>
      <w:bCs/>
      <w:color w:val="000000"/>
      <w:kern w:val="36"/>
      <w:sz w:val="30"/>
      <w:szCs w:val="30"/>
    </w:rPr>
  </w:style>
  <w:style w:type="paragraph" w:styleId="2">
    <w:name w:val="heading 2"/>
    <w:basedOn w:val="a"/>
    <w:next w:val="a"/>
    <w:link w:val="2Char"/>
    <w:uiPriority w:val="9"/>
    <w:semiHidden/>
    <w:unhideWhenUsed/>
    <w:qFormat/>
    <w:rsid w:val="00F836CF"/>
    <w:pPr>
      <w:numPr>
        <w:ilvl w:val="1"/>
        <w:numId w:val="1"/>
      </w:numPr>
      <w:spacing w:after="120" w:line="360" w:lineRule="auto"/>
      <w:outlineLvl w:val="1"/>
    </w:pPr>
    <w:rPr>
      <w:rFonts w:ascii="宋体" w:hAnsi="宋体"/>
      <w:color w:val="000000"/>
      <w:sz w:val="24"/>
      <w:szCs w:val="24"/>
    </w:rPr>
  </w:style>
  <w:style w:type="paragraph" w:styleId="3">
    <w:name w:val="heading 3"/>
    <w:basedOn w:val="a"/>
    <w:next w:val="a"/>
    <w:link w:val="3Char"/>
    <w:autoRedefine/>
    <w:uiPriority w:val="9"/>
    <w:semiHidden/>
    <w:unhideWhenUsed/>
    <w:qFormat/>
    <w:rsid w:val="00F836CF"/>
    <w:pPr>
      <w:numPr>
        <w:ilvl w:val="2"/>
        <w:numId w:val="1"/>
      </w:numPr>
      <w:spacing w:after="120" w:line="360" w:lineRule="auto"/>
      <w:outlineLvl w:val="2"/>
    </w:pPr>
    <w:rPr>
      <w:rFonts w:ascii="宋体" w:hAnsi="宋体"/>
      <w:color w:val="000000"/>
    </w:rPr>
  </w:style>
  <w:style w:type="paragraph" w:styleId="4">
    <w:name w:val="heading 4"/>
    <w:basedOn w:val="a"/>
    <w:next w:val="a"/>
    <w:link w:val="4Char"/>
    <w:autoRedefine/>
    <w:uiPriority w:val="9"/>
    <w:semiHidden/>
    <w:unhideWhenUsed/>
    <w:qFormat/>
    <w:rsid w:val="00F836CF"/>
    <w:pPr>
      <w:numPr>
        <w:ilvl w:val="3"/>
        <w:numId w:val="1"/>
      </w:numPr>
      <w:spacing w:after="120" w:line="360" w:lineRule="auto"/>
      <w:outlineLvl w:val="3"/>
    </w:pPr>
    <w:rPr>
      <w:rFonts w:ascii="宋体" w:hAnsi="宋体"/>
      <w:color w:val="000000"/>
    </w:rPr>
  </w:style>
  <w:style w:type="paragraph" w:styleId="5">
    <w:name w:val="heading 5"/>
    <w:basedOn w:val="a"/>
    <w:next w:val="a"/>
    <w:link w:val="5Char"/>
    <w:uiPriority w:val="9"/>
    <w:semiHidden/>
    <w:unhideWhenUsed/>
    <w:qFormat/>
    <w:rsid w:val="00F836CF"/>
    <w:pPr>
      <w:numPr>
        <w:ilvl w:val="4"/>
        <w:numId w:val="1"/>
      </w:numPr>
      <w:spacing w:after="120" w:line="360" w:lineRule="auto"/>
      <w:outlineLvl w:val="4"/>
    </w:pPr>
    <w:rPr>
      <w:rFonts w:ascii="宋体" w:hAnsi="宋体"/>
      <w:color w:val="000000"/>
    </w:rPr>
  </w:style>
  <w:style w:type="paragraph" w:styleId="6">
    <w:name w:val="heading 6"/>
    <w:basedOn w:val="a"/>
    <w:next w:val="a"/>
    <w:link w:val="6Char"/>
    <w:uiPriority w:val="9"/>
    <w:semiHidden/>
    <w:unhideWhenUsed/>
    <w:qFormat/>
    <w:rsid w:val="00F836CF"/>
    <w:pPr>
      <w:numPr>
        <w:ilvl w:val="5"/>
        <w:numId w:val="1"/>
      </w:numPr>
      <w:spacing w:after="120" w:line="360" w:lineRule="auto"/>
      <w:outlineLvl w:val="5"/>
    </w:pPr>
    <w:rPr>
      <w:rFonts w:ascii="宋体" w:hAnsi="宋体"/>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iPriority w:val="99"/>
    <w:semiHidden/>
    <w:unhideWhenUsed/>
    <w:qFormat/>
    <w:rsid w:val="00F836CF"/>
    <w:pPr>
      <w:jc w:val="left"/>
    </w:pPr>
  </w:style>
  <w:style w:type="paragraph" w:styleId="a4">
    <w:name w:val="Body Text"/>
    <w:basedOn w:val="a"/>
    <w:semiHidden/>
    <w:qFormat/>
    <w:rsid w:val="00F836CF"/>
    <w:rPr>
      <w:rFonts w:ascii="宋体" w:hAnsi="宋体"/>
      <w:sz w:val="24"/>
      <w:szCs w:val="24"/>
      <w:lang w:eastAsia="en-US"/>
    </w:rPr>
  </w:style>
  <w:style w:type="paragraph" w:styleId="a5">
    <w:name w:val="Balloon Text"/>
    <w:basedOn w:val="a"/>
    <w:link w:val="Char0"/>
    <w:autoRedefine/>
    <w:uiPriority w:val="99"/>
    <w:semiHidden/>
    <w:unhideWhenUsed/>
    <w:qFormat/>
    <w:rsid w:val="00F836CF"/>
    <w:rPr>
      <w:sz w:val="18"/>
      <w:szCs w:val="18"/>
    </w:rPr>
  </w:style>
  <w:style w:type="paragraph" w:styleId="a6">
    <w:name w:val="footer"/>
    <w:basedOn w:val="a"/>
    <w:link w:val="Char1"/>
    <w:autoRedefine/>
    <w:uiPriority w:val="99"/>
    <w:unhideWhenUsed/>
    <w:qFormat/>
    <w:rsid w:val="00F836CF"/>
    <w:pPr>
      <w:tabs>
        <w:tab w:val="center" w:pos="4153"/>
        <w:tab w:val="right" w:pos="8306"/>
      </w:tabs>
      <w:snapToGrid w:val="0"/>
      <w:jc w:val="left"/>
    </w:pPr>
    <w:rPr>
      <w:sz w:val="18"/>
      <w:szCs w:val="18"/>
    </w:rPr>
  </w:style>
  <w:style w:type="paragraph" w:styleId="a7">
    <w:name w:val="header"/>
    <w:basedOn w:val="a"/>
    <w:link w:val="Char2"/>
    <w:autoRedefine/>
    <w:uiPriority w:val="99"/>
    <w:unhideWhenUsed/>
    <w:qFormat/>
    <w:rsid w:val="00F836CF"/>
    <w:pPr>
      <w:pBdr>
        <w:bottom w:val="single" w:sz="6" w:space="1" w:color="auto"/>
      </w:pBdr>
      <w:tabs>
        <w:tab w:val="center" w:pos="4153"/>
        <w:tab w:val="right" w:pos="8306"/>
      </w:tabs>
      <w:snapToGrid w:val="0"/>
      <w:jc w:val="center"/>
    </w:pPr>
    <w:rPr>
      <w:sz w:val="18"/>
      <w:szCs w:val="18"/>
    </w:rPr>
  </w:style>
  <w:style w:type="paragraph" w:styleId="a8">
    <w:name w:val="Normal (Web)"/>
    <w:basedOn w:val="a"/>
    <w:autoRedefine/>
    <w:uiPriority w:val="99"/>
    <w:qFormat/>
    <w:rsid w:val="00F836CF"/>
    <w:pPr>
      <w:spacing w:before="100" w:beforeAutospacing="1" w:after="100" w:afterAutospacing="1"/>
      <w:jc w:val="left"/>
    </w:pPr>
    <w:rPr>
      <w:rFonts w:ascii="宋体" w:hAnsi="宋体"/>
      <w:sz w:val="24"/>
      <w:szCs w:val="24"/>
    </w:rPr>
  </w:style>
  <w:style w:type="paragraph" w:styleId="a9">
    <w:name w:val="annotation subject"/>
    <w:basedOn w:val="a3"/>
    <w:next w:val="a3"/>
    <w:link w:val="Char3"/>
    <w:autoRedefine/>
    <w:uiPriority w:val="99"/>
    <w:semiHidden/>
    <w:unhideWhenUsed/>
    <w:qFormat/>
    <w:rsid w:val="00F836CF"/>
    <w:rPr>
      <w:b/>
      <w:bCs/>
    </w:rPr>
  </w:style>
  <w:style w:type="table" w:styleId="aa">
    <w:name w:val="Table Grid"/>
    <w:basedOn w:val="a1"/>
    <w:autoRedefine/>
    <w:uiPriority w:val="59"/>
    <w:qFormat/>
    <w:rsid w:val="00F836C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Emphasis"/>
    <w:basedOn w:val="a0"/>
    <w:uiPriority w:val="20"/>
    <w:qFormat/>
    <w:rsid w:val="00F836CF"/>
    <w:rPr>
      <w:i/>
    </w:rPr>
  </w:style>
  <w:style w:type="character" w:styleId="ac">
    <w:name w:val="Hyperlink"/>
    <w:autoRedefine/>
    <w:uiPriority w:val="99"/>
    <w:unhideWhenUsed/>
    <w:qFormat/>
    <w:rsid w:val="00F836CF"/>
    <w:rPr>
      <w:color w:val="0000FF"/>
      <w:u w:val="single"/>
    </w:rPr>
  </w:style>
  <w:style w:type="character" w:styleId="ad">
    <w:name w:val="annotation reference"/>
    <w:uiPriority w:val="99"/>
    <w:semiHidden/>
    <w:unhideWhenUsed/>
    <w:qFormat/>
    <w:rsid w:val="00F836CF"/>
    <w:rPr>
      <w:sz w:val="21"/>
      <w:szCs w:val="21"/>
    </w:rPr>
  </w:style>
  <w:style w:type="character" w:customStyle="1" w:styleId="1Char">
    <w:name w:val="标题 1 Char"/>
    <w:link w:val="1"/>
    <w:autoRedefine/>
    <w:uiPriority w:val="9"/>
    <w:qFormat/>
    <w:rsid w:val="00F836CF"/>
    <w:rPr>
      <w:rFonts w:ascii="宋体" w:eastAsia="宋体" w:hAnsi="宋体" w:cs="宋体"/>
      <w:b/>
      <w:bCs/>
      <w:color w:val="000000"/>
      <w:kern w:val="36"/>
      <w:sz w:val="30"/>
      <w:szCs w:val="30"/>
    </w:rPr>
  </w:style>
  <w:style w:type="character" w:customStyle="1" w:styleId="2Char">
    <w:name w:val="标题 2 Char"/>
    <w:link w:val="2"/>
    <w:autoRedefine/>
    <w:uiPriority w:val="9"/>
    <w:semiHidden/>
    <w:qFormat/>
    <w:rsid w:val="00F836CF"/>
    <w:rPr>
      <w:rFonts w:ascii="宋体" w:eastAsia="宋体" w:hAnsi="宋体" w:cs="宋体"/>
      <w:color w:val="000000"/>
      <w:kern w:val="0"/>
      <w:sz w:val="24"/>
      <w:szCs w:val="24"/>
    </w:rPr>
  </w:style>
  <w:style w:type="character" w:customStyle="1" w:styleId="3Char">
    <w:name w:val="标题 3 Char"/>
    <w:link w:val="3"/>
    <w:autoRedefine/>
    <w:uiPriority w:val="9"/>
    <w:semiHidden/>
    <w:qFormat/>
    <w:rsid w:val="00F836CF"/>
    <w:rPr>
      <w:rFonts w:ascii="宋体" w:eastAsia="宋体" w:hAnsi="宋体" w:cs="宋体"/>
      <w:color w:val="000000"/>
      <w:kern w:val="0"/>
      <w:szCs w:val="21"/>
    </w:rPr>
  </w:style>
  <w:style w:type="character" w:customStyle="1" w:styleId="4Char">
    <w:name w:val="标题 4 Char"/>
    <w:link w:val="4"/>
    <w:autoRedefine/>
    <w:uiPriority w:val="9"/>
    <w:semiHidden/>
    <w:qFormat/>
    <w:rsid w:val="00F836CF"/>
    <w:rPr>
      <w:rFonts w:ascii="宋体" w:eastAsia="宋体" w:hAnsi="宋体" w:cs="宋体"/>
      <w:color w:val="000000"/>
      <w:kern w:val="0"/>
      <w:szCs w:val="21"/>
    </w:rPr>
  </w:style>
  <w:style w:type="character" w:customStyle="1" w:styleId="5Char">
    <w:name w:val="标题 5 Char"/>
    <w:link w:val="5"/>
    <w:autoRedefine/>
    <w:uiPriority w:val="9"/>
    <w:semiHidden/>
    <w:qFormat/>
    <w:rsid w:val="00F836CF"/>
    <w:rPr>
      <w:rFonts w:ascii="宋体" w:eastAsia="宋体" w:hAnsi="宋体" w:cs="宋体"/>
      <w:color w:val="000000"/>
      <w:kern w:val="0"/>
      <w:szCs w:val="21"/>
    </w:rPr>
  </w:style>
  <w:style w:type="character" w:customStyle="1" w:styleId="6Char">
    <w:name w:val="标题 6 Char"/>
    <w:link w:val="6"/>
    <w:autoRedefine/>
    <w:uiPriority w:val="9"/>
    <w:semiHidden/>
    <w:qFormat/>
    <w:rsid w:val="00F836CF"/>
    <w:rPr>
      <w:rFonts w:ascii="宋体" w:eastAsia="宋体" w:hAnsi="宋体" w:cs="宋体"/>
      <w:color w:val="000000"/>
      <w:kern w:val="0"/>
      <w:szCs w:val="21"/>
    </w:rPr>
  </w:style>
  <w:style w:type="character" w:customStyle="1" w:styleId="Char2">
    <w:name w:val="页眉 Char"/>
    <w:link w:val="a7"/>
    <w:autoRedefine/>
    <w:uiPriority w:val="99"/>
    <w:qFormat/>
    <w:rsid w:val="00F836CF"/>
    <w:rPr>
      <w:rFonts w:ascii="Calibri" w:eastAsia="宋体" w:hAnsi="Calibri" w:cs="宋体"/>
      <w:kern w:val="0"/>
      <w:sz w:val="18"/>
      <w:szCs w:val="18"/>
    </w:rPr>
  </w:style>
  <w:style w:type="character" w:customStyle="1" w:styleId="Char1">
    <w:name w:val="页脚 Char"/>
    <w:link w:val="a6"/>
    <w:autoRedefine/>
    <w:uiPriority w:val="99"/>
    <w:qFormat/>
    <w:rsid w:val="00F836CF"/>
    <w:rPr>
      <w:rFonts w:ascii="Calibri" w:eastAsia="宋体" w:hAnsi="Calibri" w:cs="宋体"/>
      <w:kern w:val="0"/>
      <w:sz w:val="18"/>
      <w:szCs w:val="18"/>
    </w:rPr>
  </w:style>
  <w:style w:type="character" w:customStyle="1" w:styleId="Char0">
    <w:name w:val="批注框文本 Char"/>
    <w:link w:val="a5"/>
    <w:autoRedefine/>
    <w:uiPriority w:val="99"/>
    <w:semiHidden/>
    <w:qFormat/>
    <w:rsid w:val="00F836CF"/>
    <w:rPr>
      <w:rFonts w:ascii="Calibri" w:eastAsia="宋体" w:hAnsi="Calibri" w:cs="宋体"/>
      <w:kern w:val="0"/>
      <w:sz w:val="18"/>
      <w:szCs w:val="18"/>
    </w:rPr>
  </w:style>
  <w:style w:type="character" w:customStyle="1" w:styleId="Char">
    <w:name w:val="批注文字 Char"/>
    <w:link w:val="a3"/>
    <w:autoRedefine/>
    <w:uiPriority w:val="99"/>
    <w:semiHidden/>
    <w:qFormat/>
    <w:rsid w:val="00F836CF"/>
    <w:rPr>
      <w:rFonts w:cs="宋体"/>
      <w:sz w:val="21"/>
      <w:szCs w:val="21"/>
    </w:rPr>
  </w:style>
  <w:style w:type="character" w:customStyle="1" w:styleId="Char3">
    <w:name w:val="批注主题 Char"/>
    <w:link w:val="a9"/>
    <w:autoRedefine/>
    <w:uiPriority w:val="99"/>
    <w:semiHidden/>
    <w:qFormat/>
    <w:rsid w:val="00F836CF"/>
    <w:rPr>
      <w:rFonts w:cs="宋体"/>
      <w:b/>
      <w:bCs/>
      <w:sz w:val="21"/>
      <w:szCs w:val="21"/>
    </w:rPr>
  </w:style>
  <w:style w:type="paragraph" w:customStyle="1" w:styleId="10">
    <w:name w:val="修订1"/>
    <w:hidden/>
    <w:uiPriority w:val="99"/>
    <w:semiHidden/>
    <w:qFormat/>
    <w:rsid w:val="00F836CF"/>
    <w:rPr>
      <w:rFonts w:ascii="Calibri" w:hAnsi="Calibri" w:cs="宋体"/>
      <w:sz w:val="21"/>
      <w:szCs w:val="21"/>
    </w:rPr>
  </w:style>
  <w:style w:type="paragraph" w:customStyle="1" w:styleId="080318">
    <w:name w:val="产品方案正文080318"/>
    <w:basedOn w:val="a"/>
    <w:autoRedefine/>
    <w:qFormat/>
    <w:rsid w:val="00F836CF"/>
    <w:pPr>
      <w:widowControl w:val="0"/>
      <w:autoSpaceDE w:val="0"/>
      <w:autoSpaceDN w:val="0"/>
      <w:adjustRightInd w:val="0"/>
      <w:snapToGrid w:val="0"/>
      <w:spacing w:line="360" w:lineRule="auto"/>
      <w:ind w:firstLineChars="200" w:firstLine="200"/>
    </w:pPr>
    <w:rPr>
      <w:rFonts w:ascii="宋体" w:hAnsi="Times New Roman"/>
      <w:kern w:val="2"/>
      <w:szCs w:val="20"/>
      <w:lang w:val="zh-CN"/>
    </w:rPr>
  </w:style>
  <w:style w:type="paragraph" w:styleId="ae">
    <w:name w:val="List Paragraph"/>
    <w:basedOn w:val="a"/>
    <w:autoRedefine/>
    <w:uiPriority w:val="34"/>
    <w:qFormat/>
    <w:rsid w:val="00F836CF"/>
    <w:pPr>
      <w:widowControl w:val="0"/>
      <w:ind w:firstLineChars="200" w:firstLine="420"/>
    </w:pPr>
    <w:rPr>
      <w:rFonts w:ascii="Times New Roman" w:hAnsi="Times New Roman" w:cs="Times New Roman"/>
      <w:kern w:val="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nhbstock.com/view/software/software.html?col=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DFF36-63D9-4166-83E1-07B5DB0E9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335</Words>
  <Characters>1912</Characters>
  <Application>Microsoft Office Word</Application>
  <DocSecurity>4</DocSecurity>
  <Lines>15</Lines>
  <Paragraphs>4</Paragraphs>
  <ScaleCrop>false</ScaleCrop>
  <Company>bosera</Company>
  <LinksUpToDate>false</LinksUpToDate>
  <CharactersWithSpaces>2243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zhoulei</dc:creator>
  <cp:lastModifiedBy>ZHONGM</cp:lastModifiedBy>
  <cp:revision>2</cp:revision>
  <dcterms:created xsi:type="dcterms:W3CDTF">2024-08-25T16:00:00Z</dcterms:created>
  <dcterms:modified xsi:type="dcterms:W3CDTF">2024-08-25T16:00:00Z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17801869B2A4454A9B40EEE50F0F6D9E_13</vt:lpwstr>
  </property>
</Properties>
</file>