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3B" w:rsidRPr="001F12D1" w:rsidRDefault="00C107D0" w:rsidP="00177B3B">
      <w:pPr>
        <w:pStyle w:val="font14"/>
        <w:jc w:val="center"/>
        <w:rPr>
          <w:rFonts w:asciiTheme="majorEastAsia" w:eastAsiaTheme="majorEastAsia" w:hAnsiTheme="majorEastAsia"/>
        </w:rPr>
      </w:pPr>
      <w:r w:rsidRPr="001F12D1">
        <w:rPr>
          <w:rStyle w:val="a8"/>
          <w:rFonts w:asciiTheme="majorEastAsia" w:eastAsiaTheme="majorEastAsia" w:hAnsiTheme="majorEastAsia" w:hint="eastAsia"/>
          <w:sz w:val="24"/>
          <w:szCs w:val="24"/>
        </w:rPr>
        <w:t>易方达基金管理有限公司</w:t>
      </w:r>
      <w:r w:rsidR="002B36C1">
        <w:rPr>
          <w:rStyle w:val="a8"/>
          <w:rFonts w:asciiTheme="majorEastAsia" w:eastAsiaTheme="majorEastAsia" w:hAnsiTheme="majorEastAsia" w:hint="eastAsia"/>
          <w:sz w:val="24"/>
          <w:szCs w:val="24"/>
        </w:rPr>
        <w:t>关于旗下基金</w:t>
      </w:r>
      <w:r w:rsidRPr="00C251FE">
        <w:rPr>
          <w:rStyle w:val="a8"/>
          <w:rFonts w:asciiTheme="majorEastAsia" w:eastAsiaTheme="majorEastAsia" w:hAnsiTheme="majorEastAsia" w:hint="eastAsia"/>
          <w:sz w:val="24"/>
          <w:szCs w:val="24"/>
        </w:rPr>
        <w:t>关联交易事项的公告</w:t>
      </w:r>
    </w:p>
    <w:p w:rsidR="00177B3B" w:rsidRPr="001F12D1" w:rsidRDefault="00C107D0" w:rsidP="00943C05">
      <w:pPr>
        <w:pStyle w:val="Default"/>
        <w:spacing w:line="360" w:lineRule="auto"/>
        <w:ind w:firstLineChars="210" w:firstLine="504"/>
        <w:rPr>
          <w:rFonts w:asciiTheme="majorEastAsia" w:eastAsiaTheme="majorEastAsia" w:hAnsiTheme="majorEastAsia"/>
        </w:rPr>
      </w:pPr>
      <w:r w:rsidRPr="006B6352">
        <w:rPr>
          <w:rFonts w:asciiTheme="majorEastAsia" w:eastAsiaTheme="majorEastAsia" w:hAnsiTheme="majorEastAsia" w:hint="eastAsia"/>
        </w:rPr>
        <w:t>根据《公开募集证券投资基金运作管理办法》《公开募集证券投资基金信息披露管理办法》及相关法律法规、基金合同及招募说明书等规定，在履行规定审批程序并经基金托管人同意后，</w:t>
      </w:r>
      <w:r w:rsidR="00E620F6">
        <w:rPr>
          <w:rFonts w:asciiTheme="majorEastAsia" w:eastAsiaTheme="majorEastAsia" w:hAnsiTheme="majorEastAsia" w:hint="eastAsia"/>
        </w:rPr>
        <w:t>易方达基金管理有限公司旗下部分</w:t>
      </w:r>
      <w:r w:rsidR="00943C05">
        <w:rPr>
          <w:rFonts w:asciiTheme="majorEastAsia" w:eastAsiaTheme="majorEastAsia" w:hAnsiTheme="majorEastAsia" w:hint="eastAsia"/>
        </w:rPr>
        <w:t>公募</w:t>
      </w:r>
      <w:r w:rsidR="00E620F6">
        <w:rPr>
          <w:rFonts w:asciiTheme="majorEastAsia" w:eastAsiaTheme="majorEastAsia" w:hAnsiTheme="majorEastAsia" w:hint="eastAsia"/>
        </w:rPr>
        <w:t>基金参加了</w:t>
      </w:r>
      <w:r w:rsidR="00943C05" w:rsidRPr="00943C05">
        <w:rPr>
          <w:rFonts w:asciiTheme="majorEastAsia" w:eastAsiaTheme="majorEastAsia" w:hAnsiTheme="majorEastAsia" w:hint="eastAsia"/>
          <w:bCs/>
        </w:rPr>
        <w:t>成都成电光信科技股份有限公司</w:t>
      </w:r>
      <w:r w:rsidR="00943C05">
        <w:rPr>
          <w:rFonts w:asciiTheme="majorEastAsia" w:eastAsiaTheme="majorEastAsia" w:hAnsiTheme="majorEastAsia" w:hint="eastAsia"/>
          <w:bCs/>
        </w:rPr>
        <w:t>（以下简称“</w:t>
      </w:r>
      <w:r w:rsidR="00943C05" w:rsidRPr="00943C05">
        <w:rPr>
          <w:rFonts w:asciiTheme="majorEastAsia" w:eastAsiaTheme="majorEastAsia" w:hAnsiTheme="majorEastAsia" w:hint="eastAsia"/>
          <w:bCs/>
        </w:rPr>
        <w:t>成电光信</w:t>
      </w:r>
      <w:r w:rsidR="00943C05">
        <w:rPr>
          <w:rFonts w:asciiTheme="majorEastAsia" w:eastAsiaTheme="majorEastAsia" w:hAnsiTheme="majorEastAsia" w:hint="eastAsia"/>
          <w:bCs/>
        </w:rPr>
        <w:t>”）</w:t>
      </w:r>
      <w:r w:rsidR="004E4625" w:rsidRPr="004E4625">
        <w:rPr>
          <w:rFonts w:asciiTheme="majorEastAsia" w:eastAsiaTheme="majorEastAsia" w:hAnsiTheme="majorEastAsia" w:hint="eastAsia"/>
        </w:rPr>
        <w:t>向不特定合格投资者公开发行股票</w:t>
      </w:r>
      <w:r w:rsidR="00E620F6">
        <w:rPr>
          <w:rFonts w:asciiTheme="majorEastAsia" w:eastAsiaTheme="majorEastAsia" w:hAnsiTheme="majorEastAsia" w:hint="eastAsia"/>
        </w:rPr>
        <w:t>的</w:t>
      </w:r>
      <w:r w:rsidR="005C0C8B">
        <w:rPr>
          <w:rFonts w:asciiTheme="majorEastAsia" w:eastAsiaTheme="majorEastAsia" w:hAnsiTheme="majorEastAsia" w:hint="eastAsia"/>
        </w:rPr>
        <w:t>网</w:t>
      </w:r>
      <w:r w:rsidR="00943C05">
        <w:rPr>
          <w:rFonts w:asciiTheme="majorEastAsia" w:eastAsiaTheme="majorEastAsia" w:hAnsiTheme="majorEastAsia" w:hint="eastAsia"/>
        </w:rPr>
        <w:t>上</w:t>
      </w:r>
      <w:r w:rsidR="00E620F6">
        <w:rPr>
          <w:rFonts w:asciiTheme="majorEastAsia" w:eastAsiaTheme="majorEastAsia" w:hAnsiTheme="majorEastAsia" w:hint="eastAsia"/>
        </w:rPr>
        <w:t>申购，</w:t>
      </w:r>
      <w:r w:rsidR="00943C05" w:rsidRPr="00943C05">
        <w:rPr>
          <w:rFonts w:asciiTheme="majorEastAsia" w:eastAsiaTheme="majorEastAsia" w:hAnsiTheme="majorEastAsia" w:hint="eastAsia"/>
          <w:bCs/>
        </w:rPr>
        <w:t>成电光信</w:t>
      </w:r>
      <w:r w:rsidR="00E620F6">
        <w:rPr>
          <w:rFonts w:asciiTheme="majorEastAsia" w:eastAsiaTheme="majorEastAsia" w:hAnsiTheme="majorEastAsia" w:hint="eastAsia"/>
        </w:rPr>
        <w:t>本次发行的主承销商</w:t>
      </w:r>
      <w:r w:rsidR="00943C05">
        <w:rPr>
          <w:rFonts w:asciiTheme="majorEastAsia" w:eastAsiaTheme="majorEastAsia" w:hAnsiTheme="majorEastAsia" w:hint="eastAsia"/>
        </w:rPr>
        <w:t>广发证券股份有限公司为基金管理人的非控股股东</w:t>
      </w:r>
      <w:r w:rsidR="00E620F6">
        <w:rPr>
          <w:rFonts w:asciiTheme="majorEastAsia" w:eastAsiaTheme="majorEastAsia" w:hAnsiTheme="majorEastAsia" w:hint="eastAsia"/>
        </w:rPr>
        <w:t>。</w:t>
      </w:r>
      <w:r w:rsidRPr="007F4EDD">
        <w:rPr>
          <w:rFonts w:asciiTheme="majorEastAsia" w:eastAsiaTheme="majorEastAsia" w:hAnsiTheme="majorEastAsia" w:hint="eastAsia"/>
        </w:rPr>
        <w:t>成电光信</w:t>
      </w:r>
      <w:r w:rsidRPr="00C251FE">
        <w:rPr>
          <w:rFonts w:asciiTheme="majorEastAsia" w:eastAsiaTheme="majorEastAsia" w:hAnsiTheme="majorEastAsia" w:hint="eastAsia"/>
        </w:rPr>
        <w:t>本次发行价格为</w:t>
      </w:r>
      <w:r w:rsidR="00943C05" w:rsidRPr="00943C05">
        <w:rPr>
          <w:rFonts w:asciiTheme="majorEastAsia" w:eastAsiaTheme="majorEastAsia" w:hAnsiTheme="majorEastAsia"/>
        </w:rPr>
        <w:t>10.00</w:t>
      </w:r>
      <w:r w:rsidRPr="00C251FE">
        <w:rPr>
          <w:rFonts w:asciiTheme="majorEastAsia" w:eastAsiaTheme="majorEastAsia" w:hAnsiTheme="majorEastAsia" w:hint="eastAsia"/>
        </w:rPr>
        <w:t>元</w:t>
      </w:r>
      <w:r w:rsidRPr="00C251FE">
        <w:rPr>
          <w:rFonts w:asciiTheme="majorEastAsia" w:eastAsiaTheme="majorEastAsia" w:hAnsiTheme="majorEastAsia" w:hint="eastAsia"/>
        </w:rPr>
        <w:t>/</w:t>
      </w:r>
      <w:r w:rsidRPr="00C251FE">
        <w:rPr>
          <w:rFonts w:asciiTheme="majorEastAsia" w:eastAsiaTheme="majorEastAsia" w:hAnsiTheme="majorEastAsia" w:hint="eastAsia"/>
        </w:rPr>
        <w:t>股，</w:t>
      </w:r>
      <w:r w:rsidRPr="009F700D">
        <w:rPr>
          <w:rFonts w:asciiTheme="majorEastAsia" w:eastAsiaTheme="majorEastAsia" w:hAnsiTheme="majorEastAsia" w:hint="eastAsia"/>
        </w:rPr>
        <w:t>由</w:t>
      </w:r>
      <w:r w:rsidR="00943C05" w:rsidRPr="00943C05">
        <w:rPr>
          <w:rFonts w:asciiTheme="majorEastAsia" w:eastAsiaTheme="majorEastAsia" w:hAnsiTheme="majorEastAsia" w:hint="eastAsia"/>
        </w:rPr>
        <w:t>发行人和保荐机构（主承销商）根据发行人所属行业、市场情况、同行业可比公司估值水平、募集资金需求等因素</w:t>
      </w:r>
      <w:r w:rsidR="00954324">
        <w:rPr>
          <w:rFonts w:asciiTheme="majorEastAsia" w:eastAsiaTheme="majorEastAsia" w:hAnsiTheme="majorEastAsia" w:hint="eastAsia"/>
        </w:rPr>
        <w:t>协商</w:t>
      </w:r>
      <w:r w:rsidRPr="00C251FE">
        <w:rPr>
          <w:rFonts w:asciiTheme="majorEastAsia" w:eastAsiaTheme="majorEastAsia" w:hAnsiTheme="majorEastAsia" w:hint="eastAsia"/>
        </w:rPr>
        <w:t>确定。</w:t>
      </w:r>
    </w:p>
    <w:p w:rsidR="00177B3B" w:rsidRDefault="00C107D0" w:rsidP="00177B3B">
      <w:pPr>
        <w:pStyle w:val="Default"/>
        <w:spacing w:line="360" w:lineRule="auto"/>
        <w:ind w:firstLineChars="210" w:firstLine="504"/>
        <w:rPr>
          <w:rFonts w:asciiTheme="majorEastAsia" w:eastAsiaTheme="majorEastAsia" w:hAnsiTheme="majorEastAsia"/>
        </w:rPr>
      </w:pPr>
      <w:r w:rsidRPr="001F12D1">
        <w:rPr>
          <w:rFonts w:asciiTheme="majorEastAsia" w:eastAsiaTheme="majorEastAsia" w:hAnsiTheme="majorEastAsia" w:hint="eastAsia"/>
        </w:rPr>
        <w:t>现将获配结果披露如下表：</w:t>
      </w:r>
    </w:p>
    <w:p w:rsidR="00943C05" w:rsidRPr="001F12D1" w:rsidRDefault="00943C05" w:rsidP="00177B3B">
      <w:pPr>
        <w:pStyle w:val="Default"/>
        <w:spacing w:line="360" w:lineRule="auto"/>
        <w:ind w:firstLineChars="210" w:firstLine="504"/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Look w:val="04A0"/>
      </w:tblPr>
      <w:tblGrid>
        <w:gridCol w:w="6096"/>
        <w:gridCol w:w="1134"/>
        <w:gridCol w:w="1184"/>
      </w:tblGrid>
      <w:tr w:rsidR="00BD4555" w:rsidTr="00943C05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获配金额（元）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易方达沪深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300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非银行金融交易型开放式指数证券投资基金联接基金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交易型开放式指数证券投资基金发起式联接基金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易方达上证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交易型开放式指数证券投资基金发起式联接基金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800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交易型开放式指数证券投资基金发起式联接基金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易方达中证红利交易型开放式指数证券投资基金发起式联接基金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易方达上证科创板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成份交易型开放式指数证券投资基金联接基金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易方达中证科创创业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易方达北交所精选两年定期开放混合型证券投资基金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易方达深证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100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易方达沪深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300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交易型开放式指数发起式证券投资基金联接基金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易方达创业板交易型开放式指数证券投资基金联接基金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质量成长交易型开放式指数证券投资基金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1000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易方达中证科创创业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易方达中证人工智能主题交易型开放式指数证券投资基金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易方达创业板交易型开放式指数证券投资基金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易方达中证银行交易型开放式指数证券投资基金联接基金（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LOF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易方达中证军工指数证券投资基金（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LOF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2,000.00</w:t>
            </w:r>
          </w:p>
        </w:tc>
      </w:tr>
      <w:tr w:rsidR="00BD4555" w:rsidTr="00943C05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易方达中证全指证券公司指数证券投资基金（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LOF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易方达上证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易方达沪深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300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交易型开放式指数发起式证券投资基金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易方达中证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易方达沪深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300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医药卫生交易型开放式指数证券投资基金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易方达沪深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300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非银行金融交易型开放式指数证券投资基金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MSCI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A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股国际通交易型开放式指数证券投资基金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易方达中证红利交易型开放式指数证券投资基金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800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易方达中证上海环交所碳中和交易型开放式指数证券投资基金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MSCI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A50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互联互通交易型开放式指数证券投资基金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  <w:tr w:rsidR="00BD4555" w:rsidTr="007F4EDD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易方达上证科创板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943C05">
              <w:rPr>
                <w:rFonts w:ascii="宋体" w:hAnsi="宋体" w:cs="Arial" w:hint="eastAsia"/>
                <w:color w:val="000000"/>
                <w:kern w:val="0"/>
                <w:szCs w:val="21"/>
              </w:rPr>
              <w:t>成份交易型开放式指数证券投资基金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05" w:rsidRPr="00943C05" w:rsidRDefault="00C107D0" w:rsidP="00943C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3C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3,000.00</w:t>
            </w:r>
          </w:p>
        </w:tc>
      </w:tr>
    </w:tbl>
    <w:p w:rsidR="00177B3B" w:rsidRPr="001F12D1" w:rsidRDefault="00177B3B" w:rsidP="00177B3B">
      <w:pPr>
        <w:widowControl/>
        <w:spacing w:line="360" w:lineRule="auto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77B3B" w:rsidRPr="001F12D1" w:rsidRDefault="00C107D0" w:rsidP="00177B3B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12D1">
        <w:rPr>
          <w:rFonts w:asciiTheme="majorEastAsia" w:eastAsiaTheme="majorEastAsia" w:hAnsiTheme="majorEastAsia" w:cs="宋体" w:hint="eastAsia"/>
          <w:kern w:val="0"/>
          <w:sz w:val="24"/>
        </w:rPr>
        <w:t>特此公告。</w:t>
      </w:r>
    </w:p>
    <w:p w:rsidR="00177B3B" w:rsidRPr="001F12D1" w:rsidRDefault="00C107D0" w:rsidP="00177B3B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/>
          <w:kern w:val="0"/>
          <w:sz w:val="24"/>
        </w:rPr>
      </w:pPr>
      <w:r w:rsidRPr="001F12D1">
        <w:rPr>
          <w:rFonts w:asciiTheme="majorEastAsia" w:eastAsiaTheme="majorEastAsia" w:hAnsiTheme="majorEastAsia"/>
          <w:kern w:val="0"/>
          <w:sz w:val="24"/>
        </w:rPr>
        <w:t> </w:t>
      </w:r>
    </w:p>
    <w:p w:rsidR="00177B3B" w:rsidRPr="001F12D1" w:rsidRDefault="00C107D0" w:rsidP="00177B3B">
      <w:pPr>
        <w:widowControl/>
        <w:ind w:firstLineChars="200" w:firstLine="480"/>
        <w:jc w:val="right"/>
        <w:rPr>
          <w:rFonts w:asciiTheme="majorEastAsia" w:eastAsiaTheme="majorEastAsia" w:hAnsiTheme="majorEastAsia" w:cs="宋体"/>
          <w:kern w:val="0"/>
          <w:sz w:val="24"/>
        </w:rPr>
      </w:pPr>
      <w:r w:rsidRPr="001F12D1">
        <w:rPr>
          <w:rFonts w:asciiTheme="majorEastAsia" w:eastAsiaTheme="majorEastAsia" w:hAnsiTheme="majorEastAsia"/>
          <w:kern w:val="0"/>
          <w:sz w:val="24"/>
        </w:rPr>
        <w:t xml:space="preserve">    </w:t>
      </w:r>
      <w:r w:rsidRPr="001F12D1">
        <w:rPr>
          <w:rFonts w:asciiTheme="majorEastAsia" w:eastAsiaTheme="majorEastAsia" w:hAnsiTheme="majorEastAsia" w:cs="宋体" w:hint="eastAsia"/>
          <w:kern w:val="0"/>
          <w:sz w:val="24"/>
        </w:rPr>
        <w:t xml:space="preserve">　　　　　　　</w:t>
      </w:r>
    </w:p>
    <w:p w:rsidR="00177B3B" w:rsidRPr="001F12D1" w:rsidRDefault="00C107D0" w:rsidP="00C107D0">
      <w:pPr>
        <w:widowControl/>
        <w:ind w:right="723" w:firstLineChars="200" w:firstLine="482"/>
        <w:jc w:val="right"/>
        <w:rPr>
          <w:rFonts w:asciiTheme="majorEastAsia" w:eastAsiaTheme="majorEastAsia" w:hAnsiTheme="majorEastAsia" w:cs="宋体"/>
          <w:b/>
          <w:kern w:val="0"/>
          <w:sz w:val="24"/>
        </w:rPr>
      </w:pPr>
      <w:r w:rsidRPr="001F12D1">
        <w:rPr>
          <w:rFonts w:asciiTheme="majorEastAsia" w:eastAsiaTheme="majorEastAsia" w:hAnsiTheme="majorEastAsia" w:cs="宋体" w:hint="eastAsia"/>
          <w:b/>
          <w:kern w:val="0"/>
          <w:sz w:val="24"/>
        </w:rPr>
        <w:t>易方达基金管理有限公司</w:t>
      </w:r>
    </w:p>
    <w:p w:rsidR="00177B3B" w:rsidRPr="001F12D1" w:rsidRDefault="00C107D0" w:rsidP="00177B3B">
      <w:pPr>
        <w:widowControl/>
        <w:wordWrap w:val="0"/>
        <w:ind w:right="964"/>
        <w:jc w:val="right"/>
        <w:rPr>
          <w:rFonts w:asciiTheme="majorEastAsia" w:eastAsiaTheme="majorEastAsia" w:hAnsiTheme="majorEastAsia" w:cs="宋体"/>
          <w:kern w:val="0"/>
          <w:szCs w:val="21"/>
        </w:rPr>
      </w:pPr>
      <w:r w:rsidRPr="001F12D1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202</w:t>
      </w:r>
      <w:r w:rsidR="00F26554">
        <w:rPr>
          <w:rFonts w:asciiTheme="majorEastAsia" w:eastAsiaTheme="majorEastAsia" w:hAnsiTheme="majorEastAsia" w:cs="宋体"/>
          <w:b/>
          <w:bCs/>
          <w:kern w:val="0"/>
          <w:szCs w:val="21"/>
        </w:rPr>
        <w:t>4</w:t>
      </w:r>
      <w:r w:rsidRPr="001F12D1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年</w:t>
      </w:r>
      <w:r w:rsidR="00943C05">
        <w:rPr>
          <w:rFonts w:asciiTheme="majorEastAsia" w:eastAsiaTheme="majorEastAsia" w:hAnsiTheme="majorEastAsia" w:cs="宋体"/>
          <w:b/>
          <w:bCs/>
          <w:kern w:val="0"/>
          <w:szCs w:val="21"/>
        </w:rPr>
        <w:t>8</w:t>
      </w:r>
      <w:r w:rsidRPr="001F12D1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月</w:t>
      </w:r>
      <w:r w:rsidR="00943C05">
        <w:rPr>
          <w:rFonts w:asciiTheme="majorEastAsia" w:eastAsiaTheme="majorEastAsia" w:hAnsiTheme="majorEastAsia" w:cs="宋体"/>
          <w:b/>
          <w:bCs/>
          <w:kern w:val="0"/>
          <w:szCs w:val="21"/>
        </w:rPr>
        <w:t>23</w:t>
      </w:r>
      <w:r w:rsidRPr="001F12D1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日</w:t>
      </w:r>
    </w:p>
    <w:p w:rsidR="00177B3B" w:rsidRPr="001F12D1" w:rsidRDefault="00177B3B" w:rsidP="00177B3B">
      <w:pPr>
        <w:rPr>
          <w:rFonts w:asciiTheme="majorEastAsia" w:eastAsiaTheme="majorEastAsia" w:hAnsiTheme="majorEastAsia"/>
        </w:rPr>
      </w:pPr>
    </w:p>
    <w:p w:rsidR="00177B3B" w:rsidRPr="001F12D1" w:rsidRDefault="00177B3B" w:rsidP="00177B3B">
      <w:pPr>
        <w:rPr>
          <w:rFonts w:asciiTheme="majorEastAsia" w:eastAsiaTheme="majorEastAsia" w:hAnsiTheme="majorEastAsia"/>
        </w:rPr>
      </w:pPr>
    </w:p>
    <w:p w:rsidR="00F561F7" w:rsidRPr="00177B3B" w:rsidRDefault="00F561F7" w:rsidP="00C85A50"/>
    <w:sectPr w:rsidR="00F561F7" w:rsidRPr="00177B3B" w:rsidSect="006D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李清芳">
    <w15:presenceInfo w15:providerId="None" w15:userId="李清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F64"/>
    <w:rsid w:val="00037F8D"/>
    <w:rsid w:val="000F1B3C"/>
    <w:rsid w:val="00177B3B"/>
    <w:rsid w:val="0018047E"/>
    <w:rsid w:val="001C62C9"/>
    <w:rsid w:val="001E31BA"/>
    <w:rsid w:val="001F12D1"/>
    <w:rsid w:val="00225437"/>
    <w:rsid w:val="00282BB5"/>
    <w:rsid w:val="002B36C1"/>
    <w:rsid w:val="002E42F7"/>
    <w:rsid w:val="002F12C4"/>
    <w:rsid w:val="00304C1B"/>
    <w:rsid w:val="00351EB9"/>
    <w:rsid w:val="003A7524"/>
    <w:rsid w:val="003C0DBE"/>
    <w:rsid w:val="003C560F"/>
    <w:rsid w:val="003F0261"/>
    <w:rsid w:val="0041754A"/>
    <w:rsid w:val="0042083E"/>
    <w:rsid w:val="00425E3F"/>
    <w:rsid w:val="00434C61"/>
    <w:rsid w:val="00445FC6"/>
    <w:rsid w:val="004A6BA6"/>
    <w:rsid w:val="004E4625"/>
    <w:rsid w:val="004E5A83"/>
    <w:rsid w:val="004F1B0A"/>
    <w:rsid w:val="005116B8"/>
    <w:rsid w:val="0052196E"/>
    <w:rsid w:val="00583174"/>
    <w:rsid w:val="005972B2"/>
    <w:rsid w:val="005C0C8B"/>
    <w:rsid w:val="005D572F"/>
    <w:rsid w:val="00632910"/>
    <w:rsid w:val="00636371"/>
    <w:rsid w:val="00643147"/>
    <w:rsid w:val="0069676A"/>
    <w:rsid w:val="006B006F"/>
    <w:rsid w:val="006B6352"/>
    <w:rsid w:val="006C066C"/>
    <w:rsid w:val="006D05F5"/>
    <w:rsid w:val="007124FD"/>
    <w:rsid w:val="0077544C"/>
    <w:rsid w:val="007A3C4F"/>
    <w:rsid w:val="007F4EDD"/>
    <w:rsid w:val="0091483B"/>
    <w:rsid w:val="00937D43"/>
    <w:rsid w:val="00943C05"/>
    <w:rsid w:val="00954324"/>
    <w:rsid w:val="009A02B9"/>
    <w:rsid w:val="009F5D05"/>
    <w:rsid w:val="009F700D"/>
    <w:rsid w:val="00A3075A"/>
    <w:rsid w:val="00A528BA"/>
    <w:rsid w:val="00AD1CEF"/>
    <w:rsid w:val="00B20F09"/>
    <w:rsid w:val="00B56F95"/>
    <w:rsid w:val="00BD4555"/>
    <w:rsid w:val="00C107D0"/>
    <w:rsid w:val="00C251FE"/>
    <w:rsid w:val="00C35CB6"/>
    <w:rsid w:val="00C85A50"/>
    <w:rsid w:val="00D11E8C"/>
    <w:rsid w:val="00D34298"/>
    <w:rsid w:val="00D40F64"/>
    <w:rsid w:val="00D75BCE"/>
    <w:rsid w:val="00DF5CDD"/>
    <w:rsid w:val="00E00FAE"/>
    <w:rsid w:val="00E620F6"/>
    <w:rsid w:val="00E905FC"/>
    <w:rsid w:val="00EE1D32"/>
    <w:rsid w:val="00EF58BF"/>
    <w:rsid w:val="00EF791A"/>
    <w:rsid w:val="00F254EC"/>
    <w:rsid w:val="00F26554"/>
    <w:rsid w:val="00F431E2"/>
    <w:rsid w:val="00F561F7"/>
    <w:rsid w:val="00F649D0"/>
    <w:rsid w:val="00F830F1"/>
    <w:rsid w:val="00FB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34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C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34C61"/>
    <w:rPr>
      <w:sz w:val="18"/>
      <w:szCs w:val="18"/>
    </w:rPr>
  </w:style>
  <w:style w:type="character" w:styleId="a5">
    <w:name w:val="annotation reference"/>
    <w:semiHidden/>
    <w:rsid w:val="00434C61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semiHidden/>
    <w:rsid w:val="00434C61"/>
    <w:pPr>
      <w:jc w:val="left"/>
    </w:pPr>
    <w:rPr>
      <w:kern w:val="0"/>
      <w:sz w:val="20"/>
      <w:szCs w:val="20"/>
    </w:rPr>
  </w:style>
  <w:style w:type="character" w:customStyle="1" w:styleId="Char1">
    <w:name w:val="批注文字 Char"/>
    <w:link w:val="a6"/>
    <w:semiHidden/>
    <w:rsid w:val="00434C61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434C6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434C61"/>
    <w:rPr>
      <w:rFonts w:ascii="Calibri" w:eastAsia="宋体" w:hAnsi="Calibri" w:cs="Times New Roman"/>
      <w:sz w:val="18"/>
      <w:szCs w:val="18"/>
    </w:rPr>
  </w:style>
  <w:style w:type="character" w:styleId="a8">
    <w:name w:val="Strong"/>
    <w:uiPriority w:val="99"/>
    <w:qFormat/>
    <w:rsid w:val="006B006F"/>
    <w:rPr>
      <w:rFonts w:ascii="Times New Roman" w:hAnsi="Times New Roman" w:cs="Times New Roman" w:hint="default"/>
      <w:b/>
      <w:bCs/>
    </w:rPr>
  </w:style>
  <w:style w:type="paragraph" w:customStyle="1" w:styleId="font14">
    <w:name w:val="font14"/>
    <w:basedOn w:val="a"/>
    <w:uiPriority w:val="99"/>
    <w:rsid w:val="006B006F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Default">
    <w:name w:val="Default"/>
    <w:rsid w:val="006B006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20C7-B9EA-4475-97FF-AE674676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4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2024-08-22T16:02:00Z</dcterms:created>
  <dcterms:modified xsi:type="dcterms:W3CDTF">2024-08-22T16:02:00Z</dcterms:modified>
</cp:coreProperties>
</file>