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41" w:rsidRDefault="0092249B">
      <w:pPr>
        <w:pStyle w:val="Default"/>
        <w:spacing w:line="360" w:lineRule="auto"/>
        <w:jc w:val="center"/>
        <w:rPr>
          <w:rFonts w:ascii="Times New Roman" w:eastAsia="宋体" w:hAnsi="Times New Roman" w:cs="Times New Roman"/>
          <w:b/>
        </w:rPr>
      </w:pPr>
      <w:r>
        <w:rPr>
          <w:rFonts w:ascii="Times New Roman" w:eastAsia="宋体" w:hAnsi="Times New Roman" w:cs="Times New Roman"/>
          <w:b/>
        </w:rPr>
        <w:t>平安广州交投广河</w:t>
      </w:r>
      <w:r>
        <w:rPr>
          <w:rFonts w:ascii="Times New Roman" w:eastAsia="宋体" w:hAnsi="Times New Roman" w:cs="Times New Roman" w:hint="eastAsia"/>
          <w:b/>
        </w:rPr>
        <w:t>高速公路</w:t>
      </w:r>
      <w:r>
        <w:rPr>
          <w:rFonts w:ascii="Times New Roman" w:eastAsia="宋体" w:hAnsi="Times New Roman" w:cs="Times New Roman"/>
          <w:b/>
        </w:rPr>
        <w:t>封闭式基础设施证券投资基金</w:t>
      </w:r>
    </w:p>
    <w:p w:rsidR="00C76941" w:rsidRDefault="0092249B">
      <w:pPr>
        <w:pStyle w:val="Default"/>
        <w:spacing w:line="360" w:lineRule="auto"/>
        <w:jc w:val="center"/>
        <w:rPr>
          <w:rFonts w:ascii="Times New Roman" w:eastAsia="宋体" w:hAnsi="Times New Roman" w:cs="Times New Roman"/>
          <w:b/>
        </w:rPr>
      </w:pPr>
      <w:r>
        <w:rPr>
          <w:rFonts w:ascii="Times New Roman" w:eastAsia="宋体" w:hAnsi="Times New Roman" w:cs="Times New Roman"/>
          <w:b/>
        </w:rPr>
        <w:t>关于二〇二</w:t>
      </w:r>
      <w:r>
        <w:rPr>
          <w:rFonts w:ascii="Times New Roman" w:eastAsia="宋体" w:hAnsi="Times New Roman" w:cs="Times New Roman" w:hint="eastAsia"/>
          <w:b/>
        </w:rPr>
        <w:t>四</w:t>
      </w:r>
      <w:r>
        <w:rPr>
          <w:rFonts w:ascii="Times New Roman" w:eastAsia="宋体" w:hAnsi="Times New Roman" w:cs="Times New Roman"/>
          <w:b/>
        </w:rPr>
        <w:t>年</w:t>
      </w:r>
      <w:r>
        <w:rPr>
          <w:rFonts w:ascii="Times New Roman" w:eastAsia="宋体" w:hAnsi="Times New Roman" w:cs="Times New Roman" w:hint="eastAsia"/>
          <w:b/>
        </w:rPr>
        <w:t>七月</w:t>
      </w:r>
      <w:r>
        <w:rPr>
          <w:rFonts w:ascii="Times New Roman" w:eastAsia="宋体" w:hAnsi="Times New Roman" w:cs="Times New Roman"/>
          <w:b/>
        </w:rPr>
        <w:t>主要运营数据的公告</w:t>
      </w:r>
    </w:p>
    <w:p w:rsidR="00C76941" w:rsidRDefault="0092249B">
      <w:pPr>
        <w:pStyle w:val="Default"/>
        <w:spacing w:line="360" w:lineRule="auto"/>
        <w:jc w:val="center"/>
        <w:rPr>
          <w:rFonts w:ascii="Times New Roman" w:eastAsia="宋体" w:hAnsi="Times New Roman" w:cs="Times New Roman"/>
          <w:b/>
        </w:rPr>
      </w:pPr>
      <w:r>
        <w:rPr>
          <w:rFonts w:ascii="Times New Roman" w:eastAsia="宋体" w:hAnsi="Times New Roman" w:cs="Times New Roman"/>
          <w:b/>
        </w:rPr>
        <w:t>公告送出日期：</w:t>
      </w:r>
      <w:r>
        <w:rPr>
          <w:rFonts w:ascii="Times New Roman" w:eastAsia="宋体" w:hAnsi="Times New Roman" w:cs="Times New Roman" w:hint="eastAsia"/>
          <w:b/>
        </w:rPr>
        <w:t>2</w:t>
      </w:r>
      <w:r>
        <w:rPr>
          <w:rFonts w:ascii="Times New Roman" w:eastAsia="宋体" w:hAnsi="Times New Roman" w:cs="Times New Roman"/>
          <w:b/>
        </w:rPr>
        <w:t>024</w:t>
      </w:r>
      <w:r>
        <w:rPr>
          <w:rFonts w:ascii="Times New Roman" w:eastAsia="宋体" w:hAnsi="Times New Roman" w:cs="Times New Roman" w:hint="eastAsia"/>
          <w:b/>
        </w:rPr>
        <w:t>年</w:t>
      </w:r>
      <w:r>
        <w:rPr>
          <w:rFonts w:ascii="Times New Roman" w:eastAsia="宋体" w:hAnsi="Times New Roman" w:cs="Times New Roman" w:hint="eastAsia"/>
          <w:b/>
        </w:rPr>
        <w:t>8</w:t>
      </w:r>
      <w:r>
        <w:rPr>
          <w:rFonts w:ascii="Times New Roman" w:eastAsia="宋体" w:hAnsi="Times New Roman" w:cs="Times New Roman" w:hint="eastAsia"/>
          <w:b/>
        </w:rPr>
        <w:t>月</w:t>
      </w:r>
      <w:r>
        <w:rPr>
          <w:rFonts w:ascii="Times New Roman" w:eastAsia="宋体" w:hAnsi="Times New Roman" w:cs="Times New Roman" w:hint="eastAsia"/>
          <w:b/>
        </w:rPr>
        <w:t>2</w:t>
      </w:r>
      <w:r w:rsidR="0012260F">
        <w:rPr>
          <w:rFonts w:ascii="Times New Roman" w:eastAsia="宋体" w:hAnsi="Times New Roman" w:cs="Times New Roman"/>
          <w:b/>
        </w:rPr>
        <w:t>3</w:t>
      </w:r>
      <w:r>
        <w:rPr>
          <w:rFonts w:ascii="Times New Roman" w:eastAsia="宋体" w:hAnsi="Times New Roman" w:cs="Times New Roman" w:hint="eastAsia"/>
          <w:b/>
        </w:rPr>
        <w:t>日</w:t>
      </w:r>
      <w:r>
        <w:rPr>
          <w:rFonts w:ascii="Times New Roman" w:eastAsia="宋体" w:hAnsi="Times New Roman" w:cs="Times New Roman"/>
          <w:b/>
        </w:rPr>
        <w:t xml:space="preserve"> </w:t>
      </w:r>
    </w:p>
    <w:p w:rsidR="00C76941" w:rsidRDefault="00C76941">
      <w:pPr>
        <w:pStyle w:val="Default"/>
        <w:spacing w:line="360" w:lineRule="auto"/>
        <w:jc w:val="center"/>
        <w:rPr>
          <w:rFonts w:ascii="Times New Roman" w:eastAsia="宋体" w:hAnsi="Times New Roman" w:cs="Times New Roman"/>
          <w:b/>
        </w:rPr>
      </w:pPr>
    </w:p>
    <w:p w:rsidR="00C76941" w:rsidRDefault="0092249B">
      <w:pPr>
        <w:pStyle w:val="aa"/>
        <w:numPr>
          <w:ilvl w:val="0"/>
          <w:numId w:val="1"/>
        </w:numPr>
        <w:snapToGrid w:val="0"/>
        <w:spacing w:line="360" w:lineRule="auto"/>
        <w:ind w:firstLineChars="0"/>
        <w:outlineLvl w:val="0"/>
        <w:rPr>
          <w:rFonts w:ascii="Times New Roman" w:eastAsia="宋体" w:hAnsi="Times New Roman" w:cs="Times New Roman"/>
          <w:b/>
          <w:sz w:val="24"/>
          <w:szCs w:val="24"/>
        </w:rPr>
      </w:pPr>
      <w:r>
        <w:rPr>
          <w:rFonts w:ascii="Times New Roman" w:eastAsia="宋体" w:hAnsi="Times New Roman" w:cs="Times New Roman"/>
          <w:b/>
          <w:sz w:val="24"/>
          <w:szCs w:val="24"/>
        </w:rPr>
        <w:t>公募</w:t>
      </w:r>
      <w:r>
        <w:rPr>
          <w:rFonts w:ascii="Times New Roman" w:eastAsia="宋体" w:hAnsi="Times New Roman" w:cs="Times New Roman"/>
          <w:b/>
          <w:sz w:val="24"/>
          <w:szCs w:val="24"/>
        </w:rPr>
        <w:t>REITs</w:t>
      </w:r>
      <w:r>
        <w:rPr>
          <w:rFonts w:ascii="Times New Roman" w:eastAsia="宋体" w:hAnsi="Times New Roman" w:cs="Times New Roman"/>
          <w:b/>
          <w:sz w:val="24"/>
          <w:szCs w:val="24"/>
        </w:rPr>
        <w:t>基本信息</w:t>
      </w:r>
    </w:p>
    <w:tbl>
      <w:tblPr>
        <w:tblStyle w:val="a8"/>
        <w:tblW w:w="8866" w:type="dxa"/>
        <w:jc w:val="center"/>
        <w:tblLook w:val="04A0"/>
      </w:tblPr>
      <w:tblGrid>
        <w:gridCol w:w="3596"/>
        <w:gridCol w:w="5270"/>
      </w:tblGrid>
      <w:tr w:rsidR="00C76941">
        <w:trPr>
          <w:trHeight w:val="27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公募REITs名称</w:t>
            </w:r>
          </w:p>
        </w:tc>
        <w:tc>
          <w:tcPr>
            <w:tcW w:w="5270" w:type="dxa"/>
            <w:vAlign w:val="center"/>
          </w:tcPr>
          <w:p w:rsidR="00C76941" w:rsidRDefault="0092249B">
            <w:pPr>
              <w:spacing w:line="360" w:lineRule="auto"/>
              <w:rPr>
                <w:rFonts w:ascii="宋体" w:eastAsia="宋体" w:hAnsi="宋体" w:cs="Times New Roman"/>
                <w:szCs w:val="21"/>
              </w:rPr>
            </w:pPr>
            <w:r>
              <w:rPr>
                <w:rFonts w:ascii="宋体" w:eastAsia="宋体" w:hAnsi="宋体" w:hint="eastAsia"/>
              </w:rPr>
              <w:t>平安广州交投广河</w:t>
            </w:r>
            <w:r>
              <w:rPr>
                <w:rFonts w:ascii="宋体" w:eastAsia="宋体" w:hAnsi="宋体" w:cs="Times New Roman"/>
                <w:szCs w:val="21"/>
              </w:rPr>
              <w:t>高速公路封闭式基础设施证券投资基金</w:t>
            </w:r>
          </w:p>
        </w:tc>
      </w:tr>
      <w:tr w:rsidR="00C76941">
        <w:trPr>
          <w:trHeight w:val="31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公募REITs简称</w:t>
            </w:r>
          </w:p>
        </w:tc>
        <w:tc>
          <w:tcPr>
            <w:tcW w:w="5270" w:type="dxa"/>
            <w:vAlign w:val="center"/>
          </w:tcPr>
          <w:p w:rsidR="00C76941" w:rsidRDefault="0092249B">
            <w:pPr>
              <w:spacing w:line="360" w:lineRule="auto"/>
              <w:rPr>
                <w:rFonts w:ascii="宋体" w:eastAsia="宋体" w:hAnsi="宋体" w:cs="Times New Roman"/>
                <w:szCs w:val="21"/>
              </w:rPr>
            </w:pPr>
            <w:r>
              <w:rPr>
                <w:rFonts w:ascii="宋体" w:eastAsia="宋体" w:hAnsi="宋体" w:hint="eastAsia"/>
              </w:rPr>
              <w:t>平安广交投广河高速</w:t>
            </w:r>
            <w:r>
              <w:rPr>
                <w:rFonts w:ascii="宋体" w:eastAsia="宋体" w:hAnsi="宋体"/>
              </w:rPr>
              <w:t>REIT</w:t>
            </w:r>
          </w:p>
        </w:tc>
      </w:tr>
      <w:tr w:rsidR="00C76941">
        <w:trPr>
          <w:trHeight w:val="31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场内简称</w:t>
            </w:r>
          </w:p>
        </w:tc>
        <w:tc>
          <w:tcPr>
            <w:tcW w:w="5270" w:type="dxa"/>
            <w:vAlign w:val="center"/>
          </w:tcPr>
          <w:p w:rsidR="00C76941" w:rsidRDefault="0092249B">
            <w:pPr>
              <w:spacing w:line="360" w:lineRule="auto"/>
              <w:rPr>
                <w:rFonts w:ascii="宋体" w:eastAsia="宋体" w:hAnsi="宋体" w:cs="Times New Roman"/>
                <w:szCs w:val="21"/>
              </w:rPr>
            </w:pPr>
            <w:r>
              <w:rPr>
                <w:rFonts w:ascii="宋体" w:eastAsia="宋体" w:hAnsi="宋体" w:hint="eastAsia"/>
              </w:rPr>
              <w:t>平安广州广河</w:t>
            </w:r>
            <w:r>
              <w:rPr>
                <w:rFonts w:ascii="宋体" w:eastAsia="宋体" w:hAnsi="宋体" w:cs="Times New Roman"/>
                <w:szCs w:val="21"/>
              </w:rPr>
              <w:t>REIT</w:t>
            </w:r>
          </w:p>
        </w:tc>
      </w:tr>
      <w:tr w:rsidR="00C76941">
        <w:trPr>
          <w:trHeight w:val="31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公募REITs代码</w:t>
            </w:r>
          </w:p>
        </w:tc>
        <w:tc>
          <w:tcPr>
            <w:tcW w:w="5270"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18020</w:t>
            </w:r>
            <w:r>
              <w:rPr>
                <w:rFonts w:ascii="宋体" w:eastAsia="宋体" w:hAnsi="宋体" w:cs="Times New Roman" w:hint="eastAsia"/>
                <w:szCs w:val="21"/>
              </w:rPr>
              <w:t>1</w:t>
            </w:r>
          </w:p>
        </w:tc>
      </w:tr>
      <w:tr w:rsidR="00C76941">
        <w:trPr>
          <w:trHeight w:val="31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公募REITs合同生效日期</w:t>
            </w:r>
          </w:p>
        </w:tc>
        <w:tc>
          <w:tcPr>
            <w:tcW w:w="5270"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2021年</w:t>
            </w:r>
            <w:r>
              <w:rPr>
                <w:rFonts w:ascii="宋体" w:eastAsia="宋体" w:hAnsi="宋体" w:cs="Times New Roman" w:hint="eastAsia"/>
                <w:szCs w:val="21"/>
              </w:rPr>
              <w:t>6</w:t>
            </w:r>
            <w:r>
              <w:rPr>
                <w:rFonts w:ascii="宋体" w:eastAsia="宋体" w:hAnsi="宋体" w:cs="Times New Roman"/>
                <w:szCs w:val="21"/>
              </w:rPr>
              <w:t>月</w:t>
            </w:r>
            <w:r>
              <w:rPr>
                <w:rFonts w:ascii="宋体" w:eastAsia="宋体" w:hAnsi="宋体" w:cs="Times New Roman" w:hint="eastAsia"/>
                <w:szCs w:val="21"/>
              </w:rPr>
              <w:t>7</w:t>
            </w:r>
            <w:r>
              <w:rPr>
                <w:rFonts w:ascii="宋体" w:eastAsia="宋体" w:hAnsi="宋体" w:cs="Times New Roman"/>
                <w:szCs w:val="21"/>
              </w:rPr>
              <w:t>日</w:t>
            </w:r>
          </w:p>
        </w:tc>
      </w:tr>
      <w:tr w:rsidR="00C76941">
        <w:trPr>
          <w:trHeight w:val="31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基金管理人名称</w:t>
            </w:r>
          </w:p>
        </w:tc>
        <w:tc>
          <w:tcPr>
            <w:tcW w:w="5270" w:type="dxa"/>
          </w:tcPr>
          <w:p w:rsidR="00C76941" w:rsidRDefault="0092249B">
            <w:pPr>
              <w:spacing w:line="360" w:lineRule="auto"/>
              <w:rPr>
                <w:rFonts w:ascii="宋体" w:eastAsia="宋体" w:hAnsi="宋体" w:cs="Times New Roman"/>
                <w:szCs w:val="21"/>
              </w:rPr>
            </w:pPr>
            <w:r>
              <w:rPr>
                <w:rFonts w:ascii="宋体" w:eastAsia="宋体" w:hAnsi="宋体" w:cs="Times New Roman" w:hint="eastAsia"/>
                <w:szCs w:val="21"/>
              </w:rPr>
              <w:t>平安</w:t>
            </w:r>
            <w:r>
              <w:rPr>
                <w:rFonts w:ascii="宋体" w:eastAsia="宋体" w:hAnsi="宋体" w:cs="Times New Roman"/>
                <w:szCs w:val="21"/>
              </w:rPr>
              <w:t>基金管理有限公司</w:t>
            </w:r>
          </w:p>
        </w:tc>
      </w:tr>
      <w:tr w:rsidR="00C76941">
        <w:trPr>
          <w:trHeight w:val="319"/>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基金托管人名称</w:t>
            </w:r>
          </w:p>
        </w:tc>
        <w:tc>
          <w:tcPr>
            <w:tcW w:w="5270" w:type="dxa"/>
          </w:tcPr>
          <w:p w:rsidR="00C76941" w:rsidRDefault="0092249B">
            <w:pPr>
              <w:spacing w:line="360" w:lineRule="auto"/>
              <w:rPr>
                <w:rFonts w:ascii="宋体" w:eastAsia="宋体" w:hAnsi="宋体" w:cs="Times New Roman"/>
                <w:szCs w:val="21"/>
              </w:rPr>
            </w:pPr>
            <w:r>
              <w:rPr>
                <w:rFonts w:ascii="宋体" w:eastAsia="宋体" w:hAnsi="宋体" w:hint="eastAsia"/>
              </w:rPr>
              <w:t>中国工商银行</w:t>
            </w:r>
            <w:r>
              <w:rPr>
                <w:rFonts w:ascii="宋体" w:eastAsia="宋体" w:hAnsi="宋体" w:cs="Times New Roman" w:hint="eastAsia"/>
                <w:szCs w:val="21"/>
              </w:rPr>
              <w:t>股份有限公司</w:t>
            </w:r>
          </w:p>
        </w:tc>
      </w:tr>
      <w:tr w:rsidR="00C76941">
        <w:trPr>
          <w:trHeight w:val="300"/>
          <w:jc w:val="center"/>
        </w:trPr>
        <w:tc>
          <w:tcPr>
            <w:tcW w:w="3596" w:type="dxa"/>
          </w:tcPr>
          <w:p w:rsidR="00C76941" w:rsidRDefault="0092249B">
            <w:pPr>
              <w:spacing w:line="360" w:lineRule="auto"/>
              <w:rPr>
                <w:rFonts w:ascii="宋体" w:eastAsia="宋体" w:hAnsi="宋体" w:cs="Times New Roman"/>
                <w:szCs w:val="21"/>
              </w:rPr>
            </w:pPr>
            <w:r>
              <w:rPr>
                <w:rFonts w:ascii="宋体" w:eastAsia="宋体" w:hAnsi="宋体" w:cs="Times New Roman"/>
                <w:szCs w:val="21"/>
              </w:rPr>
              <w:t>公告依据</w:t>
            </w:r>
          </w:p>
        </w:tc>
        <w:tc>
          <w:tcPr>
            <w:tcW w:w="5270" w:type="dxa"/>
          </w:tcPr>
          <w:p w:rsidR="00C76941" w:rsidRDefault="0092249B">
            <w:pPr>
              <w:spacing w:line="360" w:lineRule="auto"/>
              <w:rPr>
                <w:rFonts w:ascii="宋体" w:eastAsia="宋体" w:hAnsi="宋体" w:cs="Times New Roman"/>
                <w:szCs w:val="21"/>
              </w:rPr>
            </w:pPr>
            <w:r>
              <w:rPr>
                <w:rFonts w:ascii="宋体" w:eastAsia="宋体" w:hAnsi="宋体" w:cs="Times New Roman" w:hint="eastAsia"/>
                <w:szCs w:val="21"/>
              </w:rPr>
              <w:t>《中华人民共和国证券投资基金法》及其配套法规、《公开募集基础设施证券投资基金指引（试行）》</w:t>
            </w:r>
            <w:r>
              <w:rPr>
                <w:rFonts w:ascii="宋体" w:eastAsia="宋体" w:hAnsi="宋体" w:cs="Times New Roman"/>
                <w:szCs w:val="21"/>
              </w:rPr>
              <w:t>、</w:t>
            </w:r>
            <w:r>
              <w:rPr>
                <w:rFonts w:ascii="宋体" w:eastAsia="宋体" w:hAnsi="宋体" w:cs="Times New Roman" w:hint="eastAsia"/>
                <w:szCs w:val="21"/>
              </w:rPr>
              <w:t>《深圳证券交易所公开募集基础设施证券投资基金业务办法（试行）》、《深圳证券交易所公开募集基础设施证券投资基金业务指引第5号——临时报告（试行）》</w:t>
            </w:r>
            <w:r>
              <w:rPr>
                <w:rFonts w:ascii="宋体" w:eastAsia="宋体" w:hAnsi="宋体" w:cs="Times New Roman"/>
                <w:szCs w:val="21"/>
              </w:rPr>
              <w:t>等有关规定以及《</w:t>
            </w:r>
            <w:r>
              <w:rPr>
                <w:rFonts w:ascii="宋体" w:eastAsia="宋体" w:hAnsi="宋体" w:cs="Times New Roman" w:hint="eastAsia"/>
                <w:szCs w:val="21"/>
              </w:rPr>
              <w:t>平安广州交投广河高速公路</w:t>
            </w:r>
            <w:r>
              <w:rPr>
                <w:rFonts w:ascii="宋体" w:eastAsia="宋体" w:hAnsi="宋体" w:cs="Times New Roman"/>
                <w:szCs w:val="21"/>
              </w:rPr>
              <w:t>封闭式基础设施证券投资基金基金合同》、《</w:t>
            </w:r>
            <w:r>
              <w:rPr>
                <w:rFonts w:ascii="宋体" w:eastAsia="宋体" w:hAnsi="宋体" w:cs="Times New Roman" w:hint="eastAsia"/>
                <w:szCs w:val="21"/>
              </w:rPr>
              <w:t>平安广州交投广河高速公路</w:t>
            </w:r>
            <w:r>
              <w:rPr>
                <w:rFonts w:ascii="宋体" w:eastAsia="宋体" w:hAnsi="宋体" w:cs="Times New Roman"/>
                <w:szCs w:val="21"/>
              </w:rPr>
              <w:t>封闭式基础设施证券投资基金招募说明书》</w:t>
            </w:r>
            <w:r>
              <w:rPr>
                <w:rFonts w:ascii="宋体" w:eastAsia="宋体" w:hAnsi="宋体" w:cs="Times New Roman" w:hint="eastAsia"/>
                <w:szCs w:val="21"/>
              </w:rPr>
              <w:t>及其更新</w:t>
            </w:r>
          </w:p>
        </w:tc>
      </w:tr>
    </w:tbl>
    <w:p w:rsidR="00C76941" w:rsidRDefault="0092249B" w:rsidP="007A1072">
      <w:pPr>
        <w:pStyle w:val="aa"/>
        <w:numPr>
          <w:ilvl w:val="0"/>
          <w:numId w:val="1"/>
        </w:numPr>
        <w:snapToGrid w:val="0"/>
        <w:spacing w:beforeLines="50" w:line="360" w:lineRule="auto"/>
        <w:ind w:firstLineChars="0"/>
        <w:outlineLvl w:val="0"/>
        <w:rPr>
          <w:rFonts w:ascii="宋体" w:eastAsia="宋体" w:hAnsi="宋体" w:cs="Times New Roman"/>
          <w:b/>
          <w:sz w:val="24"/>
          <w:szCs w:val="24"/>
        </w:rPr>
      </w:pPr>
      <w:r>
        <w:rPr>
          <w:rFonts w:ascii="宋体" w:eastAsia="宋体" w:hAnsi="宋体" w:cs="Times New Roman"/>
          <w:b/>
          <w:sz w:val="24"/>
          <w:szCs w:val="24"/>
        </w:rPr>
        <w:t>2024</w:t>
      </w:r>
      <w:r>
        <w:rPr>
          <w:rFonts w:ascii="宋体" w:eastAsia="宋体" w:hAnsi="宋体" w:cs="Times New Roman" w:hint="eastAsia"/>
          <w:b/>
          <w:sz w:val="24"/>
          <w:szCs w:val="24"/>
        </w:rPr>
        <w:t>年7月</w:t>
      </w:r>
      <w:r>
        <w:rPr>
          <w:rFonts w:ascii="宋体" w:eastAsia="宋体" w:hAnsi="宋体" w:cs="Times New Roman"/>
          <w:b/>
          <w:sz w:val="24"/>
          <w:szCs w:val="24"/>
        </w:rPr>
        <w:t>主要运营数据</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本基金以获取基础设施项目</w:t>
      </w:r>
      <w:r>
        <w:rPr>
          <w:rFonts w:ascii="宋体" w:eastAsia="宋体" w:hAnsi="宋体" w:cs="Times New Roman" w:hint="eastAsia"/>
          <w:sz w:val="24"/>
          <w:szCs w:val="24"/>
        </w:rPr>
        <w:t>收费</w:t>
      </w:r>
      <w:r>
        <w:rPr>
          <w:rFonts w:ascii="宋体" w:eastAsia="宋体" w:hAnsi="宋体" w:cs="Times New Roman"/>
          <w:sz w:val="24"/>
          <w:szCs w:val="24"/>
        </w:rPr>
        <w:t>等稳定现金流为主要目的，通过积极主动运营管理基础设施项目，力求提升基础设施项目的运营收益水平，实现基础设施项目现金流长期稳健增长。</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202</w:t>
      </w:r>
      <w:r>
        <w:rPr>
          <w:rFonts w:ascii="宋体" w:eastAsia="宋体" w:hAnsi="宋体" w:cs="Times New Roman" w:hint="eastAsia"/>
          <w:sz w:val="24"/>
          <w:szCs w:val="24"/>
        </w:rPr>
        <w:t>4</w:t>
      </w:r>
      <w:r>
        <w:rPr>
          <w:rFonts w:ascii="宋体" w:eastAsia="宋体" w:hAnsi="宋体" w:cs="Times New Roman"/>
          <w:sz w:val="24"/>
          <w:szCs w:val="24"/>
        </w:rPr>
        <w:t>年</w:t>
      </w:r>
      <w:r>
        <w:rPr>
          <w:rFonts w:ascii="宋体" w:eastAsia="宋体" w:hAnsi="宋体" w:cs="Times New Roman" w:hint="eastAsia"/>
          <w:sz w:val="24"/>
          <w:szCs w:val="24"/>
        </w:rPr>
        <w:t>7月</w:t>
      </w:r>
      <w:r>
        <w:rPr>
          <w:rFonts w:ascii="宋体" w:eastAsia="宋体" w:hAnsi="宋体" w:cs="Times New Roman"/>
          <w:sz w:val="24"/>
          <w:szCs w:val="24"/>
        </w:rPr>
        <w:t>，基础设施项目公司整体运营情况良好，无安全生产事故</w:t>
      </w:r>
      <w:r>
        <w:rPr>
          <w:rFonts w:ascii="宋体" w:eastAsia="宋体" w:hAnsi="宋体" w:cs="Times New Roman" w:hint="eastAsia"/>
          <w:sz w:val="24"/>
          <w:szCs w:val="24"/>
        </w:rPr>
        <w:t>，本高速公路通行费收入来源分散，无重要现金流提供方</w:t>
      </w:r>
      <w:r>
        <w:rPr>
          <w:rFonts w:ascii="宋体" w:eastAsia="宋体" w:hAnsi="宋体" w:cs="Times New Roman"/>
          <w:sz w:val="24"/>
          <w:szCs w:val="24"/>
        </w:rPr>
        <w:t>，外部管理机构未发生变动。</w:t>
      </w:r>
      <w:r>
        <w:rPr>
          <w:rFonts w:ascii="宋体" w:eastAsia="宋体" w:hAnsi="宋体" w:cs="Times New Roman" w:hint="eastAsia"/>
          <w:sz w:val="24"/>
          <w:szCs w:val="24"/>
        </w:rPr>
        <w:t>2024年7月1日至2024年7月31日</w:t>
      </w:r>
      <w:r>
        <w:rPr>
          <w:rFonts w:ascii="宋体" w:eastAsia="宋体" w:hAnsi="宋体" w:cs="Times New Roman"/>
          <w:sz w:val="24"/>
          <w:szCs w:val="24"/>
        </w:rPr>
        <w:t>期间</w:t>
      </w:r>
      <w:r>
        <w:rPr>
          <w:rFonts w:ascii="宋体" w:eastAsia="宋体" w:hAnsi="宋体" w:cs="Times New Roman" w:hint="eastAsia"/>
          <w:sz w:val="24"/>
          <w:szCs w:val="24"/>
        </w:rPr>
        <w:t>，广河高速公路广州段项目</w:t>
      </w:r>
      <w:r>
        <w:rPr>
          <w:rFonts w:ascii="宋体" w:eastAsia="宋体" w:hAnsi="宋体" w:cs="Times New Roman"/>
          <w:sz w:val="24"/>
          <w:szCs w:val="24"/>
        </w:rPr>
        <w:t>主要运营</w:t>
      </w:r>
      <w:r>
        <w:rPr>
          <w:rFonts w:ascii="宋体" w:eastAsia="宋体" w:hAnsi="宋体" w:cs="Times New Roman"/>
          <w:sz w:val="24"/>
          <w:szCs w:val="24"/>
        </w:rPr>
        <w:lastRenderedPageBreak/>
        <w:t>数据如下：</w:t>
      </w:r>
    </w:p>
    <w:tbl>
      <w:tblPr>
        <w:tblStyle w:val="TableNormal1"/>
        <w:tblW w:w="93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872"/>
        <w:gridCol w:w="809"/>
        <w:gridCol w:w="833"/>
        <w:gridCol w:w="1141"/>
        <w:gridCol w:w="816"/>
        <w:gridCol w:w="708"/>
        <w:gridCol w:w="851"/>
        <w:gridCol w:w="850"/>
        <w:gridCol w:w="765"/>
        <w:gridCol w:w="795"/>
      </w:tblGrid>
      <w:tr w:rsidR="00C76941">
        <w:trPr>
          <w:trHeight w:val="120"/>
          <w:jc w:val="center"/>
        </w:trPr>
        <w:tc>
          <w:tcPr>
            <w:tcW w:w="913" w:type="dxa"/>
            <w:vMerge w:val="restart"/>
            <w:vAlign w:val="center"/>
          </w:tcPr>
          <w:p w:rsidR="00C76941" w:rsidRDefault="0092249B">
            <w:pPr>
              <w:pStyle w:val="TableParagraph"/>
              <w:spacing w:before="0" w:line="326" w:lineRule="exact"/>
              <w:ind w:left="118" w:right="0"/>
              <w:jc w:val="center"/>
              <w:rPr>
                <w:rFonts w:ascii="宋体" w:eastAsia="宋体" w:hAnsi="宋体"/>
                <w:b/>
                <w:sz w:val="21"/>
                <w:szCs w:val="21"/>
              </w:rPr>
            </w:pPr>
            <w:r>
              <w:rPr>
                <w:rFonts w:ascii="宋体" w:eastAsia="宋体" w:hAnsi="宋体" w:hint="eastAsia"/>
                <w:b/>
                <w:color w:val="231F20"/>
                <w:w w:val="90"/>
                <w:sz w:val="21"/>
                <w:szCs w:val="21"/>
                <w:lang w:eastAsia="zh-CN"/>
              </w:rPr>
              <w:t>项目</w:t>
            </w:r>
          </w:p>
        </w:tc>
        <w:tc>
          <w:tcPr>
            <w:tcW w:w="4471" w:type="dxa"/>
            <w:gridSpan w:val="5"/>
            <w:vAlign w:val="center"/>
          </w:tcPr>
          <w:p w:rsidR="00C76941" w:rsidRDefault="0092249B">
            <w:pPr>
              <w:pStyle w:val="TableParagraph"/>
              <w:spacing w:before="14" w:line="326" w:lineRule="exact"/>
              <w:ind w:right="0"/>
              <w:jc w:val="center"/>
              <w:rPr>
                <w:rFonts w:ascii="宋体" w:eastAsia="宋体" w:hAnsi="宋体"/>
                <w:b/>
                <w:sz w:val="21"/>
                <w:szCs w:val="21"/>
              </w:rPr>
            </w:pPr>
            <w:r>
              <w:rPr>
                <w:rFonts w:ascii="宋体" w:eastAsia="宋体" w:hAnsi="宋体" w:hint="eastAsia"/>
                <w:b/>
                <w:color w:val="231F20"/>
                <w:w w:val="90"/>
                <w:sz w:val="21"/>
                <w:szCs w:val="21"/>
                <w:lang w:eastAsia="zh-CN"/>
              </w:rPr>
              <w:t>日均收费车流量（辆次）</w:t>
            </w:r>
          </w:p>
        </w:tc>
        <w:tc>
          <w:tcPr>
            <w:tcW w:w="3969" w:type="dxa"/>
            <w:gridSpan w:val="5"/>
            <w:vAlign w:val="center"/>
          </w:tcPr>
          <w:p w:rsidR="00C76941" w:rsidRDefault="0092249B">
            <w:pPr>
              <w:pStyle w:val="TableParagraph"/>
              <w:spacing w:before="14" w:line="326" w:lineRule="exact"/>
              <w:ind w:right="0"/>
              <w:jc w:val="center"/>
              <w:rPr>
                <w:rFonts w:ascii="宋体" w:eastAsia="宋体" w:hAnsi="宋体"/>
                <w:b/>
                <w:sz w:val="21"/>
                <w:szCs w:val="21"/>
              </w:rPr>
            </w:pPr>
            <w:r>
              <w:rPr>
                <w:rFonts w:ascii="宋体" w:eastAsia="宋体" w:hAnsi="宋体" w:hint="eastAsia"/>
                <w:b/>
                <w:color w:val="231F20"/>
                <w:w w:val="90"/>
                <w:sz w:val="21"/>
                <w:szCs w:val="21"/>
                <w:lang w:eastAsia="zh-CN"/>
              </w:rPr>
              <w:t>路费收入（人民币，万元，含增值税）</w:t>
            </w:r>
          </w:p>
        </w:tc>
      </w:tr>
      <w:tr w:rsidR="00C76941">
        <w:trPr>
          <w:trHeight w:val="240"/>
          <w:jc w:val="center"/>
        </w:trPr>
        <w:tc>
          <w:tcPr>
            <w:tcW w:w="913" w:type="dxa"/>
            <w:vMerge/>
            <w:vAlign w:val="center"/>
          </w:tcPr>
          <w:p w:rsidR="00C76941" w:rsidRDefault="00C76941">
            <w:pPr>
              <w:jc w:val="center"/>
              <w:rPr>
                <w:rFonts w:ascii="宋体" w:eastAsia="宋体" w:hAnsi="宋体" w:cs="Times New Roman"/>
                <w:kern w:val="0"/>
                <w:szCs w:val="21"/>
              </w:rPr>
            </w:pPr>
          </w:p>
        </w:tc>
        <w:tc>
          <w:tcPr>
            <w:tcW w:w="872" w:type="dxa"/>
            <w:vAlign w:val="center"/>
          </w:tcPr>
          <w:p w:rsidR="00C76941" w:rsidRDefault="0092249B">
            <w:pPr>
              <w:pStyle w:val="TableParagraph"/>
              <w:spacing w:before="0" w:line="326" w:lineRule="exact"/>
              <w:jc w:val="center"/>
              <w:rPr>
                <w:rFonts w:ascii="宋体" w:eastAsia="宋体" w:hAnsi="宋体"/>
                <w:b/>
                <w:sz w:val="21"/>
                <w:szCs w:val="21"/>
              </w:rPr>
            </w:pPr>
            <w:r>
              <w:rPr>
                <w:rFonts w:ascii="宋体" w:eastAsia="宋体" w:hAnsi="宋体" w:hint="eastAsia"/>
                <w:b/>
                <w:color w:val="231F20"/>
                <w:w w:val="75"/>
                <w:sz w:val="21"/>
                <w:szCs w:val="21"/>
                <w:lang w:eastAsia="zh-CN"/>
              </w:rPr>
              <w:t>当月</w:t>
            </w:r>
          </w:p>
        </w:tc>
        <w:tc>
          <w:tcPr>
            <w:tcW w:w="809" w:type="dxa"/>
            <w:vAlign w:val="center"/>
          </w:tcPr>
          <w:p w:rsidR="00C76941" w:rsidRDefault="0092249B">
            <w:pPr>
              <w:pStyle w:val="TableParagraph"/>
              <w:spacing w:before="14"/>
              <w:ind w:right="98"/>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当月环比</w:t>
            </w:r>
          </w:p>
          <w:p w:rsidR="00C76941" w:rsidRDefault="0092249B">
            <w:pPr>
              <w:pStyle w:val="TableParagraph"/>
              <w:spacing w:before="14"/>
              <w:jc w:val="center"/>
              <w:rPr>
                <w:rFonts w:ascii="宋体" w:eastAsia="宋体" w:hAnsi="宋体"/>
                <w:b/>
                <w:color w:val="231F20"/>
                <w:spacing w:val="4"/>
                <w:w w:val="75"/>
                <w:sz w:val="21"/>
                <w:szCs w:val="21"/>
                <w:lang w:eastAsia="zh-CN"/>
              </w:rPr>
            </w:pPr>
            <w:r>
              <w:rPr>
                <w:rFonts w:ascii="宋体" w:eastAsia="宋体" w:hAnsi="宋体" w:hint="eastAsia"/>
                <w:b/>
                <w:color w:val="231F20"/>
                <w:spacing w:val="3"/>
                <w:w w:val="75"/>
                <w:sz w:val="21"/>
                <w:szCs w:val="21"/>
                <w:lang w:eastAsia="zh-CN"/>
              </w:rPr>
              <w:t>变动</w:t>
            </w:r>
          </w:p>
        </w:tc>
        <w:tc>
          <w:tcPr>
            <w:tcW w:w="833" w:type="dxa"/>
            <w:shd w:val="clear" w:color="auto" w:fill="auto"/>
            <w:vAlign w:val="center"/>
          </w:tcPr>
          <w:p w:rsidR="00C76941" w:rsidRDefault="0092249B">
            <w:pPr>
              <w:pStyle w:val="TableParagraph"/>
              <w:spacing w:before="14"/>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当月同比</w:t>
            </w:r>
          </w:p>
          <w:p w:rsidR="00C76941" w:rsidRDefault="0092249B">
            <w:pPr>
              <w:pStyle w:val="TableParagraph"/>
              <w:spacing w:before="15" w:line="326" w:lineRule="exact"/>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c>
          <w:tcPr>
            <w:tcW w:w="1141" w:type="dxa"/>
            <w:shd w:val="clear" w:color="auto" w:fill="auto"/>
            <w:vAlign w:val="center"/>
          </w:tcPr>
          <w:p w:rsidR="00C76941" w:rsidRDefault="0092249B">
            <w:pPr>
              <w:pStyle w:val="TableParagraph"/>
              <w:spacing w:before="14"/>
              <w:ind w:right="0"/>
              <w:jc w:val="center"/>
              <w:rPr>
                <w:rFonts w:ascii="宋体" w:eastAsia="宋体" w:hAnsi="宋体"/>
                <w:b/>
                <w:sz w:val="21"/>
                <w:szCs w:val="21"/>
              </w:rPr>
            </w:pPr>
            <w:r>
              <w:rPr>
                <w:rFonts w:ascii="宋体" w:eastAsia="宋体" w:hAnsi="宋体" w:hint="eastAsia"/>
                <w:b/>
                <w:color w:val="231F20"/>
                <w:spacing w:val="4"/>
                <w:w w:val="80"/>
                <w:sz w:val="21"/>
                <w:szCs w:val="21"/>
                <w:lang w:eastAsia="zh-CN"/>
              </w:rPr>
              <w:t>202</w:t>
            </w:r>
            <w:r>
              <w:rPr>
                <w:rFonts w:ascii="宋体" w:eastAsiaTheme="minorEastAsia" w:hAnsi="宋体" w:hint="eastAsia"/>
                <w:b/>
                <w:color w:val="231F20"/>
                <w:spacing w:val="4"/>
                <w:w w:val="80"/>
                <w:sz w:val="21"/>
                <w:szCs w:val="21"/>
                <w:lang w:eastAsia="zh-CN"/>
              </w:rPr>
              <w:t>4</w:t>
            </w:r>
            <w:r>
              <w:rPr>
                <w:rFonts w:ascii="宋体" w:eastAsia="宋体" w:hAnsi="宋体" w:hint="eastAsia"/>
                <w:b/>
                <w:color w:val="231F20"/>
                <w:spacing w:val="-17"/>
                <w:w w:val="80"/>
                <w:sz w:val="21"/>
                <w:szCs w:val="21"/>
                <w:lang w:eastAsia="zh-CN"/>
              </w:rPr>
              <w:t xml:space="preserve"> </w:t>
            </w:r>
            <w:r>
              <w:rPr>
                <w:rFonts w:ascii="宋体" w:eastAsia="宋体" w:hAnsi="宋体" w:hint="eastAsia"/>
                <w:b/>
                <w:color w:val="231F20"/>
                <w:w w:val="80"/>
                <w:sz w:val="21"/>
                <w:szCs w:val="21"/>
                <w:lang w:eastAsia="zh-CN"/>
              </w:rPr>
              <w:t>年</w:t>
            </w:r>
          </w:p>
          <w:p w:rsidR="00C76941" w:rsidRDefault="0092249B">
            <w:pPr>
              <w:pStyle w:val="TableParagraph"/>
              <w:spacing w:before="15" w:line="326" w:lineRule="exact"/>
              <w:ind w:right="0"/>
              <w:jc w:val="center"/>
              <w:rPr>
                <w:rFonts w:ascii="宋体" w:eastAsia="宋体" w:hAnsi="宋体"/>
                <w:b/>
                <w:sz w:val="21"/>
                <w:szCs w:val="21"/>
              </w:rPr>
            </w:pPr>
            <w:r>
              <w:rPr>
                <w:rFonts w:ascii="宋体" w:eastAsia="宋体" w:hAnsi="宋体" w:hint="eastAsia"/>
                <w:b/>
                <w:color w:val="231F20"/>
                <w:spacing w:val="3"/>
                <w:w w:val="75"/>
                <w:sz w:val="21"/>
                <w:szCs w:val="21"/>
                <w:lang w:eastAsia="zh-CN"/>
              </w:rPr>
              <w:t>累计</w:t>
            </w:r>
          </w:p>
        </w:tc>
        <w:tc>
          <w:tcPr>
            <w:tcW w:w="816" w:type="dxa"/>
            <w:shd w:val="clear" w:color="auto" w:fill="auto"/>
            <w:vAlign w:val="center"/>
          </w:tcPr>
          <w:p w:rsidR="00C76941" w:rsidRDefault="0092249B">
            <w:pPr>
              <w:pStyle w:val="TableParagraph"/>
              <w:spacing w:before="14"/>
              <w:ind w:right="99"/>
              <w:jc w:val="center"/>
              <w:rPr>
                <w:rFonts w:ascii="宋体" w:eastAsia="宋体" w:hAnsi="宋体"/>
                <w:b/>
                <w:sz w:val="21"/>
                <w:szCs w:val="21"/>
              </w:rPr>
            </w:pPr>
            <w:r>
              <w:rPr>
                <w:rFonts w:ascii="宋体" w:eastAsia="宋体" w:hAnsi="宋体" w:hint="eastAsia"/>
                <w:b/>
                <w:color w:val="231F20"/>
                <w:spacing w:val="4"/>
                <w:w w:val="75"/>
                <w:sz w:val="21"/>
                <w:szCs w:val="21"/>
                <w:lang w:eastAsia="zh-CN"/>
              </w:rPr>
              <w:t>累计同比</w:t>
            </w:r>
          </w:p>
          <w:p w:rsidR="00C76941" w:rsidRDefault="0092249B">
            <w:pPr>
              <w:pStyle w:val="TableParagraph"/>
              <w:spacing w:before="15" w:line="326" w:lineRule="exact"/>
              <w:ind w:right="99"/>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c>
          <w:tcPr>
            <w:tcW w:w="708" w:type="dxa"/>
            <w:shd w:val="clear" w:color="auto" w:fill="auto"/>
            <w:vAlign w:val="center"/>
          </w:tcPr>
          <w:p w:rsidR="00C76941" w:rsidRDefault="0092249B">
            <w:pPr>
              <w:pStyle w:val="TableParagraph"/>
              <w:spacing w:before="0" w:line="326" w:lineRule="exact"/>
              <w:ind w:right="100"/>
              <w:jc w:val="center"/>
              <w:rPr>
                <w:rFonts w:ascii="宋体" w:eastAsia="宋体" w:hAnsi="宋体"/>
                <w:b/>
                <w:sz w:val="21"/>
                <w:szCs w:val="21"/>
              </w:rPr>
            </w:pPr>
            <w:r>
              <w:rPr>
                <w:rFonts w:ascii="宋体" w:eastAsia="宋体" w:hAnsi="宋体" w:hint="eastAsia"/>
                <w:b/>
                <w:color w:val="231F20"/>
                <w:w w:val="75"/>
                <w:sz w:val="21"/>
                <w:szCs w:val="21"/>
                <w:lang w:eastAsia="zh-CN"/>
              </w:rPr>
              <w:t>当月</w:t>
            </w:r>
          </w:p>
        </w:tc>
        <w:tc>
          <w:tcPr>
            <w:tcW w:w="851" w:type="dxa"/>
            <w:vAlign w:val="center"/>
          </w:tcPr>
          <w:p w:rsidR="00C76941" w:rsidRDefault="0092249B">
            <w:pPr>
              <w:pStyle w:val="TableParagraph"/>
              <w:spacing w:before="14"/>
              <w:ind w:right="101"/>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当月环比</w:t>
            </w:r>
          </w:p>
          <w:p w:rsidR="00C76941" w:rsidRDefault="0092249B">
            <w:pPr>
              <w:pStyle w:val="TableParagraph"/>
              <w:spacing w:before="14"/>
              <w:ind w:right="100"/>
              <w:jc w:val="center"/>
              <w:rPr>
                <w:rFonts w:ascii="宋体" w:eastAsia="宋体" w:hAnsi="宋体"/>
                <w:b/>
                <w:color w:val="231F20"/>
                <w:spacing w:val="4"/>
                <w:w w:val="75"/>
                <w:sz w:val="21"/>
                <w:szCs w:val="21"/>
                <w:lang w:eastAsia="zh-CN"/>
              </w:rPr>
            </w:pPr>
            <w:r>
              <w:rPr>
                <w:rFonts w:ascii="宋体" w:eastAsia="宋体" w:hAnsi="宋体" w:hint="eastAsia"/>
                <w:b/>
                <w:color w:val="231F20"/>
                <w:spacing w:val="3"/>
                <w:w w:val="75"/>
                <w:sz w:val="21"/>
                <w:szCs w:val="21"/>
                <w:lang w:eastAsia="zh-CN"/>
              </w:rPr>
              <w:t>变动</w:t>
            </w:r>
          </w:p>
        </w:tc>
        <w:tc>
          <w:tcPr>
            <w:tcW w:w="850" w:type="dxa"/>
            <w:shd w:val="clear" w:color="auto" w:fill="auto"/>
            <w:vAlign w:val="center"/>
          </w:tcPr>
          <w:p w:rsidR="00C76941" w:rsidRDefault="0092249B">
            <w:pPr>
              <w:pStyle w:val="TableParagraph"/>
              <w:spacing w:before="14"/>
              <w:ind w:right="100"/>
              <w:jc w:val="center"/>
              <w:rPr>
                <w:rFonts w:ascii="宋体" w:eastAsia="宋体" w:hAnsi="宋体"/>
                <w:b/>
                <w:sz w:val="21"/>
                <w:szCs w:val="21"/>
              </w:rPr>
            </w:pPr>
            <w:r>
              <w:rPr>
                <w:rFonts w:ascii="宋体" w:eastAsia="宋体" w:hAnsi="宋体" w:hint="eastAsia"/>
                <w:b/>
                <w:color w:val="231F20"/>
                <w:spacing w:val="4"/>
                <w:w w:val="75"/>
                <w:sz w:val="21"/>
                <w:szCs w:val="21"/>
                <w:lang w:eastAsia="zh-CN"/>
              </w:rPr>
              <w:t>当月同比</w:t>
            </w:r>
          </w:p>
          <w:p w:rsidR="00C76941" w:rsidRDefault="0092249B">
            <w:pPr>
              <w:pStyle w:val="TableParagraph"/>
              <w:spacing w:before="15" w:line="326" w:lineRule="exact"/>
              <w:ind w:right="100"/>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c>
          <w:tcPr>
            <w:tcW w:w="765" w:type="dxa"/>
            <w:vAlign w:val="center"/>
          </w:tcPr>
          <w:p w:rsidR="00C76941" w:rsidRDefault="0092249B">
            <w:pPr>
              <w:pStyle w:val="TableParagraph"/>
              <w:spacing w:before="14"/>
              <w:ind w:right="0"/>
              <w:jc w:val="center"/>
              <w:rPr>
                <w:rFonts w:ascii="宋体" w:eastAsia="宋体" w:hAnsi="宋体"/>
                <w:b/>
                <w:sz w:val="21"/>
                <w:szCs w:val="21"/>
              </w:rPr>
            </w:pPr>
            <w:r>
              <w:rPr>
                <w:rFonts w:ascii="宋体" w:eastAsia="宋体" w:hAnsi="宋体" w:hint="eastAsia"/>
                <w:b/>
                <w:color w:val="231F20"/>
                <w:spacing w:val="4"/>
                <w:w w:val="80"/>
                <w:sz w:val="21"/>
                <w:szCs w:val="21"/>
                <w:lang w:eastAsia="zh-CN"/>
              </w:rPr>
              <w:t>202</w:t>
            </w:r>
            <w:r>
              <w:rPr>
                <w:rFonts w:ascii="宋体" w:eastAsiaTheme="minorEastAsia" w:hAnsi="宋体" w:hint="eastAsia"/>
                <w:b/>
                <w:color w:val="231F20"/>
                <w:spacing w:val="-17"/>
                <w:w w:val="80"/>
                <w:sz w:val="21"/>
                <w:szCs w:val="21"/>
                <w:lang w:eastAsia="zh-CN"/>
              </w:rPr>
              <w:t>4</w:t>
            </w:r>
            <w:r>
              <w:rPr>
                <w:rFonts w:ascii="宋体" w:eastAsia="宋体" w:hAnsi="宋体" w:hint="eastAsia"/>
                <w:b/>
                <w:color w:val="231F20"/>
                <w:w w:val="80"/>
                <w:sz w:val="21"/>
                <w:szCs w:val="21"/>
                <w:lang w:eastAsia="zh-CN"/>
              </w:rPr>
              <w:t>年</w:t>
            </w:r>
          </w:p>
          <w:p w:rsidR="00C76941" w:rsidRDefault="0092249B">
            <w:pPr>
              <w:pStyle w:val="TableParagraph"/>
              <w:spacing w:before="15" w:line="326" w:lineRule="exact"/>
              <w:ind w:right="0"/>
              <w:jc w:val="center"/>
              <w:rPr>
                <w:rFonts w:ascii="宋体" w:eastAsia="宋体" w:hAnsi="宋体"/>
                <w:b/>
                <w:sz w:val="21"/>
                <w:szCs w:val="21"/>
              </w:rPr>
            </w:pPr>
            <w:r>
              <w:rPr>
                <w:rFonts w:ascii="宋体" w:eastAsia="宋体" w:hAnsi="宋体" w:hint="eastAsia"/>
                <w:b/>
                <w:color w:val="231F20"/>
                <w:spacing w:val="3"/>
                <w:w w:val="75"/>
                <w:sz w:val="21"/>
                <w:szCs w:val="21"/>
                <w:lang w:eastAsia="zh-CN"/>
              </w:rPr>
              <w:t>累计</w:t>
            </w:r>
          </w:p>
        </w:tc>
        <w:tc>
          <w:tcPr>
            <w:tcW w:w="795" w:type="dxa"/>
            <w:vAlign w:val="center"/>
          </w:tcPr>
          <w:p w:rsidR="00C76941" w:rsidRDefault="0092249B">
            <w:pPr>
              <w:pStyle w:val="TableParagraph"/>
              <w:spacing w:before="14"/>
              <w:ind w:right="102"/>
              <w:jc w:val="center"/>
              <w:rPr>
                <w:rFonts w:ascii="宋体" w:eastAsia="宋体" w:hAnsi="宋体"/>
                <w:b/>
                <w:sz w:val="21"/>
                <w:szCs w:val="21"/>
              </w:rPr>
            </w:pPr>
            <w:r>
              <w:rPr>
                <w:rFonts w:ascii="宋体" w:eastAsia="宋体" w:hAnsi="宋体" w:hint="eastAsia"/>
                <w:b/>
                <w:color w:val="231F20"/>
                <w:spacing w:val="4"/>
                <w:w w:val="75"/>
                <w:sz w:val="21"/>
                <w:szCs w:val="21"/>
                <w:lang w:eastAsia="zh-CN"/>
              </w:rPr>
              <w:t>累计同比</w:t>
            </w:r>
          </w:p>
          <w:p w:rsidR="00C76941" w:rsidRDefault="0092249B">
            <w:pPr>
              <w:pStyle w:val="TableParagraph"/>
              <w:spacing w:before="15" w:line="326" w:lineRule="exact"/>
              <w:ind w:right="102"/>
              <w:jc w:val="center"/>
              <w:rPr>
                <w:rFonts w:ascii="宋体" w:eastAsia="宋体" w:hAnsi="宋体"/>
                <w:b/>
                <w:sz w:val="21"/>
                <w:szCs w:val="21"/>
              </w:rPr>
            </w:pPr>
            <w:r>
              <w:rPr>
                <w:rFonts w:ascii="宋体" w:eastAsia="宋体" w:hAnsi="宋体" w:hint="eastAsia"/>
                <w:b/>
                <w:color w:val="231F20"/>
                <w:spacing w:val="3"/>
                <w:w w:val="75"/>
                <w:sz w:val="21"/>
                <w:szCs w:val="21"/>
                <w:lang w:eastAsia="zh-CN"/>
              </w:rPr>
              <w:t>变动</w:t>
            </w:r>
          </w:p>
        </w:tc>
      </w:tr>
      <w:tr w:rsidR="00C76941">
        <w:trPr>
          <w:trHeight w:val="231"/>
          <w:jc w:val="center"/>
        </w:trPr>
        <w:tc>
          <w:tcPr>
            <w:tcW w:w="913" w:type="dxa"/>
            <w:vAlign w:val="center"/>
          </w:tcPr>
          <w:p w:rsidR="00C76941" w:rsidRDefault="0092249B">
            <w:pPr>
              <w:pStyle w:val="TableParagraph"/>
              <w:spacing w:before="13" w:line="326" w:lineRule="exact"/>
              <w:ind w:left="118" w:right="0"/>
              <w:jc w:val="center"/>
              <w:rPr>
                <w:rFonts w:ascii="宋体" w:eastAsia="宋体" w:hAnsi="宋体"/>
                <w:b/>
                <w:color w:val="231F20"/>
                <w:w w:val="90"/>
                <w:sz w:val="21"/>
                <w:szCs w:val="21"/>
                <w:lang w:eastAsia="zh-CN"/>
              </w:rPr>
            </w:pPr>
            <w:r>
              <w:rPr>
                <w:rFonts w:ascii="宋体" w:eastAsia="宋体" w:hAnsi="宋体" w:hint="eastAsia"/>
                <w:b/>
                <w:color w:val="231F20"/>
                <w:w w:val="90"/>
                <w:sz w:val="21"/>
                <w:szCs w:val="21"/>
                <w:lang w:val="en-US" w:eastAsia="zh-CN"/>
              </w:rPr>
              <w:t>广河</w:t>
            </w:r>
            <w:r>
              <w:rPr>
                <w:rFonts w:ascii="宋体" w:eastAsia="宋体" w:hAnsi="宋体" w:hint="eastAsia"/>
                <w:b/>
                <w:color w:val="231F20"/>
                <w:w w:val="90"/>
                <w:sz w:val="21"/>
                <w:szCs w:val="21"/>
                <w:lang w:eastAsia="zh-CN"/>
              </w:rPr>
              <w:t>高速</w:t>
            </w:r>
          </w:p>
          <w:p w:rsidR="00C76941" w:rsidRDefault="0092249B">
            <w:pPr>
              <w:pStyle w:val="TableParagraph"/>
              <w:spacing w:before="13" w:line="326" w:lineRule="exact"/>
              <w:ind w:left="118" w:right="0"/>
              <w:jc w:val="center"/>
              <w:rPr>
                <w:rFonts w:ascii="宋体" w:eastAsia="宋体" w:hAnsi="宋体"/>
                <w:b/>
                <w:sz w:val="21"/>
                <w:szCs w:val="21"/>
                <w:lang w:val="en-US"/>
              </w:rPr>
            </w:pPr>
            <w:r>
              <w:rPr>
                <w:rFonts w:ascii="宋体" w:eastAsia="宋体" w:hAnsi="宋体" w:hint="eastAsia"/>
                <w:b/>
                <w:color w:val="231F20"/>
                <w:w w:val="90"/>
                <w:sz w:val="21"/>
                <w:szCs w:val="21"/>
                <w:lang w:val="en-US" w:eastAsia="zh-CN"/>
              </w:rPr>
              <w:t>广州段</w:t>
            </w:r>
          </w:p>
        </w:tc>
        <w:tc>
          <w:tcPr>
            <w:tcW w:w="872"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 xml:space="preserve">150,597 </w:t>
            </w:r>
          </w:p>
        </w:tc>
        <w:tc>
          <w:tcPr>
            <w:tcW w:w="809" w:type="dxa"/>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5.8%</w:t>
            </w:r>
          </w:p>
        </w:tc>
        <w:tc>
          <w:tcPr>
            <w:tcW w:w="833"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-7.4%</w:t>
            </w:r>
          </w:p>
        </w:tc>
        <w:tc>
          <w:tcPr>
            <w:tcW w:w="1141"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 xml:space="preserve">134,974 </w:t>
            </w:r>
          </w:p>
        </w:tc>
        <w:tc>
          <w:tcPr>
            <w:tcW w:w="816"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-5.1%</w:t>
            </w:r>
          </w:p>
        </w:tc>
        <w:tc>
          <w:tcPr>
            <w:tcW w:w="708"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 xml:space="preserve">7,198 </w:t>
            </w:r>
          </w:p>
        </w:tc>
        <w:tc>
          <w:tcPr>
            <w:tcW w:w="851" w:type="dxa"/>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15.7%</w:t>
            </w:r>
          </w:p>
        </w:tc>
        <w:tc>
          <w:tcPr>
            <w:tcW w:w="850"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-11.5%</w:t>
            </w:r>
          </w:p>
        </w:tc>
        <w:tc>
          <w:tcPr>
            <w:tcW w:w="765"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 xml:space="preserve">43,696 </w:t>
            </w:r>
          </w:p>
        </w:tc>
        <w:tc>
          <w:tcPr>
            <w:tcW w:w="795" w:type="dxa"/>
            <w:shd w:val="clear" w:color="auto" w:fill="auto"/>
            <w:vAlign w:val="center"/>
          </w:tcPr>
          <w:p w:rsidR="00C76941" w:rsidRDefault="0092249B">
            <w:pPr>
              <w:widowControl/>
              <w:jc w:val="center"/>
              <w:textAlignment w:val="center"/>
              <w:rPr>
                <w:rFonts w:ascii="Times LT Std" w:eastAsia="Times LT Std" w:hAnsi="Times LT Std" w:cs="Times LT Std"/>
                <w:kern w:val="0"/>
                <w:sz w:val="22"/>
                <w:lang w:bidi="zh-TW"/>
              </w:rPr>
            </w:pPr>
            <w:r>
              <w:rPr>
                <w:rFonts w:ascii="Times LT Std" w:eastAsia="Times LT Std" w:hAnsi="Times LT Std" w:cs="Times LT Std" w:hint="eastAsia"/>
                <w:kern w:val="0"/>
                <w:sz w:val="22"/>
                <w:lang w:bidi="zh-TW"/>
              </w:rPr>
              <w:t>-7.6%</w:t>
            </w:r>
          </w:p>
        </w:tc>
      </w:tr>
    </w:tbl>
    <w:p w:rsidR="00C76941" w:rsidRDefault="0092249B">
      <w:pPr>
        <w:pStyle w:val="2"/>
        <w:spacing w:before="27"/>
        <w:ind w:left="0" w:right="0" w:firstLineChars="200" w:firstLine="482"/>
        <w:jc w:val="both"/>
        <w:rPr>
          <w:rFonts w:ascii="宋体" w:eastAsia="宋体" w:hAnsi="宋体"/>
          <w:color w:val="231F20"/>
          <w:lang w:eastAsia="zh-CN"/>
        </w:rPr>
      </w:pPr>
      <w:r>
        <w:rPr>
          <w:rFonts w:ascii="宋体" w:eastAsia="宋体" w:hAnsi="宋体" w:hint="eastAsia"/>
          <w:color w:val="231F20"/>
          <w:lang w:eastAsia="zh-CN"/>
        </w:rPr>
        <w:t>备注：</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1、日均收费车流量计算方法：当月总收费车流量/当月自然天数；</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、收费车流量口径说明：均为自然车流（veh）口径；</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、以上为广东省联网收费清分结算机构提供的当期清分数据，未经审计，最终以经审计后的数据为准。</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以上披露内容已经过本项目运营管理实施机构广州高速运营管理有限公司确认。</w:t>
      </w:r>
    </w:p>
    <w:p w:rsidR="00C76941" w:rsidRDefault="0092249B" w:rsidP="007A1072">
      <w:pPr>
        <w:pStyle w:val="aa"/>
        <w:numPr>
          <w:ilvl w:val="0"/>
          <w:numId w:val="1"/>
        </w:numPr>
        <w:snapToGrid w:val="0"/>
        <w:spacing w:beforeLines="50" w:line="360" w:lineRule="auto"/>
        <w:ind w:firstLineChars="0"/>
        <w:outlineLvl w:val="0"/>
        <w:rPr>
          <w:rFonts w:ascii="宋体" w:eastAsia="宋体" w:hAnsi="宋体" w:cs="Times New Roman"/>
          <w:b/>
          <w:sz w:val="24"/>
          <w:szCs w:val="24"/>
        </w:rPr>
      </w:pPr>
      <w:r>
        <w:rPr>
          <w:rFonts w:ascii="宋体" w:eastAsia="宋体" w:hAnsi="宋体" w:cs="Times New Roman" w:hint="eastAsia"/>
          <w:b/>
          <w:sz w:val="24"/>
          <w:szCs w:val="24"/>
        </w:rPr>
        <w:t>其他说明事项</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投资者可登陆平安基金管理有限公司网站www.fund.pingan.com或拨打客户服务电话：400-800-4800进行相关咨询。</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截至目前，本基金投资运作正常，无应披露而未披露的重大信息，基金管理人将严格按照法律法规及基金合同的规定进行投资运作，履行信息披露义务。</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基金管理人承诺以诚实信用、勤勉尽责的原则管理和运用基金资产，但不保证基金一定盈利，也不保证最低收益。</w:t>
      </w:r>
      <w:r>
        <w:rPr>
          <w:rFonts w:ascii="宋体" w:eastAsia="宋体" w:hAnsi="宋体" w:cs="Times New Roman" w:hint="eastAsia"/>
          <w:sz w:val="24"/>
          <w:szCs w:val="24"/>
        </w:rPr>
        <w:t>基金的过往业绩及其净值高低并不预示其未来业绩表现。基金管理人提醒投资者基金投资的“买者自负”原则，在做出投资决策后，基金运营状况与基金净值变化引致的投资风险，由投资者自行负担。</w:t>
      </w:r>
      <w:r>
        <w:rPr>
          <w:rFonts w:ascii="宋体" w:eastAsia="宋体" w:hAnsi="宋体" w:cs="Times New Roman"/>
          <w:sz w:val="24"/>
          <w:szCs w:val="24"/>
        </w:rPr>
        <w:t>销售机构根据法规要求对投资者类别、风险承受能力和基金的风险等级进行划分，并提出适当性匹配意见。投资者在投资</w:t>
      </w:r>
      <w:r>
        <w:rPr>
          <w:rFonts w:ascii="宋体" w:eastAsia="宋体" w:hAnsi="宋体" w:cs="Times New Roman" w:hint="eastAsia"/>
          <w:sz w:val="24"/>
          <w:szCs w:val="24"/>
        </w:rPr>
        <w:t>本</w:t>
      </w:r>
      <w:r>
        <w:rPr>
          <w:rFonts w:ascii="宋体" w:eastAsia="宋体" w:hAnsi="宋体" w:cs="Times New Roman"/>
          <w:sz w:val="24"/>
          <w:szCs w:val="24"/>
        </w:rPr>
        <w:t>基金前</w:t>
      </w:r>
      <w:r>
        <w:rPr>
          <w:rFonts w:ascii="宋体" w:eastAsia="宋体" w:hAnsi="宋体" w:cs="Times New Roman" w:hint="eastAsia"/>
          <w:sz w:val="24"/>
          <w:szCs w:val="24"/>
        </w:rPr>
        <w:t>，应当认真阅读本基金基金合同、招募说明书、基金产品资料概要等法律文件，</w:t>
      </w:r>
      <w:r>
        <w:rPr>
          <w:rFonts w:ascii="宋体" w:eastAsia="宋体" w:hAnsi="宋体" w:cs="Times New Roman"/>
          <w:sz w:val="24"/>
          <w:szCs w:val="24"/>
        </w:rPr>
        <w:t>全面认识</w:t>
      </w:r>
      <w:r>
        <w:rPr>
          <w:rFonts w:ascii="宋体" w:eastAsia="宋体" w:hAnsi="宋体" w:cs="Times New Roman" w:hint="eastAsia"/>
          <w:sz w:val="24"/>
          <w:szCs w:val="24"/>
        </w:rPr>
        <w:t>本</w:t>
      </w:r>
      <w:r>
        <w:rPr>
          <w:rFonts w:ascii="宋体" w:eastAsia="宋体" w:hAnsi="宋体" w:cs="Times New Roman"/>
          <w:sz w:val="24"/>
          <w:szCs w:val="24"/>
        </w:rPr>
        <w:t>基金的风险收益特征</w:t>
      </w:r>
      <w:r>
        <w:rPr>
          <w:rFonts w:ascii="宋体" w:eastAsia="宋体" w:hAnsi="宋体" w:cs="Times New Roman" w:hint="eastAsia"/>
          <w:sz w:val="24"/>
          <w:szCs w:val="24"/>
        </w:rPr>
        <w:t>和产品特性</w:t>
      </w:r>
      <w:r>
        <w:rPr>
          <w:rFonts w:ascii="宋体" w:eastAsia="宋体" w:hAnsi="宋体" w:cs="Times New Roman"/>
          <w:sz w:val="24"/>
          <w:szCs w:val="24"/>
        </w:rPr>
        <w:t>，在了解产品情况及销售机构适当性意见的基础上，</w:t>
      </w:r>
      <w:r>
        <w:rPr>
          <w:rFonts w:ascii="宋体" w:eastAsia="宋体" w:hAnsi="宋体" w:cs="Times New Roman" w:hint="eastAsia"/>
          <w:sz w:val="24"/>
          <w:szCs w:val="24"/>
        </w:rPr>
        <w:t>根据自身的投资目标、投资期限、投资经验、资产状况等判断基金是否和自身风险承受能力相适应，理性判断市场，自主判断基金投资价值，自主、谨慎做出投资决策，并自行承担投资风险。</w:t>
      </w:r>
    </w:p>
    <w:p w:rsidR="00C76941" w:rsidRDefault="0092249B">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特此公告</w:t>
      </w:r>
    </w:p>
    <w:p w:rsidR="00C76941" w:rsidRDefault="00C76941">
      <w:pPr>
        <w:spacing w:line="360" w:lineRule="auto"/>
        <w:ind w:firstLineChars="200" w:firstLine="480"/>
        <w:rPr>
          <w:rFonts w:ascii="宋体" w:eastAsia="宋体" w:hAnsi="宋体" w:cs="Times New Roman"/>
          <w:sz w:val="24"/>
          <w:szCs w:val="24"/>
        </w:rPr>
      </w:pPr>
    </w:p>
    <w:p w:rsidR="00C76941" w:rsidRDefault="0092249B">
      <w:pPr>
        <w:spacing w:line="360" w:lineRule="auto"/>
        <w:ind w:firstLineChars="200" w:firstLine="480"/>
        <w:jc w:val="right"/>
        <w:rPr>
          <w:rFonts w:ascii="宋体" w:eastAsia="宋体" w:hAnsi="宋体" w:cs="Times New Roman"/>
          <w:sz w:val="24"/>
          <w:szCs w:val="24"/>
        </w:rPr>
      </w:pPr>
      <w:r>
        <w:rPr>
          <w:rFonts w:ascii="宋体" w:eastAsia="宋体" w:hAnsi="宋体" w:cs="Times New Roman" w:hint="eastAsia"/>
          <w:sz w:val="24"/>
          <w:szCs w:val="24"/>
        </w:rPr>
        <w:lastRenderedPageBreak/>
        <w:t>平安</w:t>
      </w:r>
      <w:r>
        <w:rPr>
          <w:rFonts w:ascii="宋体" w:eastAsia="宋体" w:hAnsi="宋体" w:cs="Times New Roman"/>
          <w:sz w:val="24"/>
          <w:szCs w:val="24"/>
        </w:rPr>
        <w:t>基金管理有限公司</w:t>
      </w:r>
    </w:p>
    <w:p w:rsidR="00C76941" w:rsidRDefault="0092249B">
      <w:pPr>
        <w:spacing w:line="360" w:lineRule="auto"/>
        <w:ind w:firstLineChars="200" w:firstLine="480"/>
        <w:jc w:val="right"/>
        <w:rPr>
          <w:rFonts w:ascii="宋体" w:eastAsia="宋体" w:hAnsi="宋体" w:cs="Times New Roman"/>
          <w:sz w:val="24"/>
          <w:szCs w:val="24"/>
        </w:rPr>
      </w:pPr>
      <w:r>
        <w:rPr>
          <w:rFonts w:ascii="宋体" w:eastAsia="宋体" w:hAnsi="宋体" w:cs="Times New Roman"/>
          <w:sz w:val="24"/>
          <w:szCs w:val="24"/>
        </w:rPr>
        <w:t>二〇二</w:t>
      </w:r>
      <w:r>
        <w:rPr>
          <w:rFonts w:ascii="宋体" w:eastAsia="宋体" w:hAnsi="宋体" w:cs="Times New Roman" w:hint="eastAsia"/>
          <w:sz w:val="24"/>
          <w:szCs w:val="24"/>
        </w:rPr>
        <w:t>四</w:t>
      </w:r>
      <w:r>
        <w:rPr>
          <w:rFonts w:ascii="宋体" w:eastAsia="宋体" w:hAnsi="宋体" w:cs="Times New Roman"/>
          <w:sz w:val="24"/>
          <w:szCs w:val="24"/>
        </w:rPr>
        <w:t>年</w:t>
      </w:r>
      <w:r>
        <w:rPr>
          <w:rFonts w:ascii="宋体" w:eastAsia="宋体" w:hAnsi="宋体" w:cs="Times New Roman" w:hint="eastAsia"/>
          <w:sz w:val="24"/>
          <w:szCs w:val="24"/>
        </w:rPr>
        <w:t>八</w:t>
      </w:r>
      <w:r>
        <w:rPr>
          <w:rFonts w:ascii="宋体" w:eastAsia="宋体" w:hAnsi="宋体" w:cs="Times New Roman"/>
          <w:sz w:val="24"/>
          <w:szCs w:val="24"/>
        </w:rPr>
        <w:t>月</w:t>
      </w:r>
      <w:r>
        <w:rPr>
          <w:rFonts w:ascii="宋体" w:eastAsia="宋体" w:hAnsi="宋体" w:cs="Times New Roman" w:hint="eastAsia"/>
          <w:sz w:val="24"/>
          <w:szCs w:val="24"/>
        </w:rPr>
        <w:t>二十</w:t>
      </w:r>
      <w:r w:rsidR="0012260F">
        <w:rPr>
          <w:rFonts w:ascii="宋体" w:eastAsia="宋体" w:hAnsi="宋体" w:cs="Times New Roman" w:hint="eastAsia"/>
          <w:sz w:val="24"/>
          <w:szCs w:val="24"/>
        </w:rPr>
        <w:t>三</w:t>
      </w:r>
      <w:r>
        <w:rPr>
          <w:rFonts w:ascii="宋体" w:eastAsia="宋体" w:hAnsi="宋体" w:cs="Times New Roman"/>
          <w:sz w:val="24"/>
          <w:szCs w:val="24"/>
        </w:rPr>
        <w:t>日</w:t>
      </w:r>
    </w:p>
    <w:sectPr w:rsidR="00C76941" w:rsidSect="00A90F0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9B" w:rsidRDefault="0092249B">
      <w:r>
        <w:separator/>
      </w:r>
    </w:p>
  </w:endnote>
  <w:endnote w:type="continuationSeparator" w:id="0">
    <w:p w:rsidR="0092249B" w:rsidRDefault="00922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embedRegular r:id="rId1" w:subsetted="1" w:fontKey="{99550468-4ACA-4D0F-A23D-A0341C251639}"/>
  </w:font>
  <w:font w:name="MHeiHK-Bold">
    <w:altName w:val="Microsoft JhengHei"/>
    <w:charset w:val="88"/>
    <w:family w:val="modern"/>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Times LT Std">
    <w:altName w:val="Times New Roman"/>
    <w:charset w:val="00"/>
    <w:family w:val="roman"/>
    <w:pitch w:val="default"/>
    <w:sig w:usb0="00000000" w:usb1="00000000" w:usb2="00000000" w:usb3="00000000" w:csb0="00000000" w:csb1="00000000"/>
    <w:embedRegular r:id="rId2" w:subsetted="1" w:fontKey="{042EF95D-EA41-4516-8288-765421E030A3}"/>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126808"/>
    </w:sdtPr>
    <w:sdtContent>
      <w:p w:rsidR="00C76941" w:rsidRDefault="00A90F05">
        <w:pPr>
          <w:pStyle w:val="a5"/>
          <w:jc w:val="center"/>
        </w:pPr>
        <w:r>
          <w:fldChar w:fldCharType="begin"/>
        </w:r>
        <w:r w:rsidR="0092249B">
          <w:instrText>PAGE   \* MERGEFORMAT</w:instrText>
        </w:r>
        <w:r>
          <w:fldChar w:fldCharType="separate"/>
        </w:r>
        <w:r w:rsidR="007A1072" w:rsidRPr="007A1072">
          <w:rPr>
            <w:noProof/>
            <w:lang w:val="zh-CN"/>
          </w:rPr>
          <w:t>1</w:t>
        </w:r>
        <w:r>
          <w:fldChar w:fldCharType="end"/>
        </w:r>
      </w:p>
    </w:sdtContent>
  </w:sdt>
  <w:p w:rsidR="00C76941" w:rsidRDefault="00C769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9B" w:rsidRDefault="0092249B">
      <w:r>
        <w:separator/>
      </w:r>
    </w:p>
  </w:footnote>
  <w:footnote w:type="continuationSeparator" w:id="0">
    <w:p w:rsidR="0092249B" w:rsidRDefault="00922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41" w:rsidRDefault="00C7694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7B28"/>
    <w:multiLevelType w:val="multilevel"/>
    <w:tmpl w:val="2FDD7B2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TrueTypeFonts/>
  <w:saveSubset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djZTA0ZGNjY2EyNGI3MGJiZDVmZDNkNTMwODg0NjYifQ=="/>
  </w:docVars>
  <w:rsids>
    <w:rsidRoot w:val="007424C2"/>
    <w:rsid w:val="00005671"/>
    <w:rsid w:val="00007E4A"/>
    <w:rsid w:val="00013184"/>
    <w:rsid w:val="000412CE"/>
    <w:rsid w:val="000568B1"/>
    <w:rsid w:val="00064532"/>
    <w:rsid w:val="00070D5C"/>
    <w:rsid w:val="00071B7E"/>
    <w:rsid w:val="000720F1"/>
    <w:rsid w:val="0009198E"/>
    <w:rsid w:val="000926F9"/>
    <w:rsid w:val="000938D9"/>
    <w:rsid w:val="000B7300"/>
    <w:rsid w:val="000D3501"/>
    <w:rsid w:val="000E17C0"/>
    <w:rsid w:val="000E6095"/>
    <w:rsid w:val="000F537E"/>
    <w:rsid w:val="000F6620"/>
    <w:rsid w:val="00112907"/>
    <w:rsid w:val="0012260F"/>
    <w:rsid w:val="00126457"/>
    <w:rsid w:val="00136D2C"/>
    <w:rsid w:val="001452A6"/>
    <w:rsid w:val="00155A3D"/>
    <w:rsid w:val="0016059B"/>
    <w:rsid w:val="00161A8C"/>
    <w:rsid w:val="00166770"/>
    <w:rsid w:val="00173CB4"/>
    <w:rsid w:val="0017660A"/>
    <w:rsid w:val="00180EEA"/>
    <w:rsid w:val="0019304B"/>
    <w:rsid w:val="00196FF7"/>
    <w:rsid w:val="001A5A8D"/>
    <w:rsid w:val="001B715D"/>
    <w:rsid w:val="001E2C8E"/>
    <w:rsid w:val="001F461F"/>
    <w:rsid w:val="0021082F"/>
    <w:rsid w:val="0021254E"/>
    <w:rsid w:val="00214B41"/>
    <w:rsid w:val="00242771"/>
    <w:rsid w:val="002434DE"/>
    <w:rsid w:val="0024420F"/>
    <w:rsid w:val="00247E38"/>
    <w:rsid w:val="00251095"/>
    <w:rsid w:val="00264B37"/>
    <w:rsid w:val="002661D2"/>
    <w:rsid w:val="00270F77"/>
    <w:rsid w:val="00275EE4"/>
    <w:rsid w:val="0028776E"/>
    <w:rsid w:val="0029281E"/>
    <w:rsid w:val="002930C7"/>
    <w:rsid w:val="002A115D"/>
    <w:rsid w:val="002A59D0"/>
    <w:rsid w:val="002C49EB"/>
    <w:rsid w:val="002D2DD1"/>
    <w:rsid w:val="002D5A6C"/>
    <w:rsid w:val="002D6E7A"/>
    <w:rsid w:val="00301622"/>
    <w:rsid w:val="00317A8E"/>
    <w:rsid w:val="003308F5"/>
    <w:rsid w:val="00350614"/>
    <w:rsid w:val="003543CD"/>
    <w:rsid w:val="00366C0A"/>
    <w:rsid w:val="00393584"/>
    <w:rsid w:val="003A5C21"/>
    <w:rsid w:val="003B662B"/>
    <w:rsid w:val="003C7D54"/>
    <w:rsid w:val="003E36B6"/>
    <w:rsid w:val="003E58F6"/>
    <w:rsid w:val="00420D4E"/>
    <w:rsid w:val="004219BB"/>
    <w:rsid w:val="0043642E"/>
    <w:rsid w:val="00437603"/>
    <w:rsid w:val="00440200"/>
    <w:rsid w:val="00454525"/>
    <w:rsid w:val="004627A5"/>
    <w:rsid w:val="004961DE"/>
    <w:rsid w:val="004A702B"/>
    <w:rsid w:val="004B197B"/>
    <w:rsid w:val="004C74AE"/>
    <w:rsid w:val="004D4422"/>
    <w:rsid w:val="004D72A8"/>
    <w:rsid w:val="004F08DA"/>
    <w:rsid w:val="004F141E"/>
    <w:rsid w:val="00507CEC"/>
    <w:rsid w:val="00511829"/>
    <w:rsid w:val="00514F7F"/>
    <w:rsid w:val="00520C6C"/>
    <w:rsid w:val="00541D26"/>
    <w:rsid w:val="005460B0"/>
    <w:rsid w:val="0055034C"/>
    <w:rsid w:val="00552C67"/>
    <w:rsid w:val="00554C23"/>
    <w:rsid w:val="005713F4"/>
    <w:rsid w:val="005770B0"/>
    <w:rsid w:val="00593510"/>
    <w:rsid w:val="00595006"/>
    <w:rsid w:val="005A0CE9"/>
    <w:rsid w:val="005A6845"/>
    <w:rsid w:val="005B4CD8"/>
    <w:rsid w:val="005B7C34"/>
    <w:rsid w:val="005F4BD3"/>
    <w:rsid w:val="005F7C71"/>
    <w:rsid w:val="0060110D"/>
    <w:rsid w:val="006152A9"/>
    <w:rsid w:val="006219C3"/>
    <w:rsid w:val="0062303D"/>
    <w:rsid w:val="006313FB"/>
    <w:rsid w:val="00645BDB"/>
    <w:rsid w:val="00651F57"/>
    <w:rsid w:val="00654D54"/>
    <w:rsid w:val="006558C5"/>
    <w:rsid w:val="006C11B3"/>
    <w:rsid w:val="006C1798"/>
    <w:rsid w:val="006C3036"/>
    <w:rsid w:val="006C49F9"/>
    <w:rsid w:val="006D6E1A"/>
    <w:rsid w:val="006E2049"/>
    <w:rsid w:val="006E3CFD"/>
    <w:rsid w:val="006E474E"/>
    <w:rsid w:val="007108C1"/>
    <w:rsid w:val="00733C63"/>
    <w:rsid w:val="007348EA"/>
    <w:rsid w:val="00734BB8"/>
    <w:rsid w:val="0074219C"/>
    <w:rsid w:val="007424C2"/>
    <w:rsid w:val="00746318"/>
    <w:rsid w:val="00774D64"/>
    <w:rsid w:val="00783276"/>
    <w:rsid w:val="007A1072"/>
    <w:rsid w:val="007A25E7"/>
    <w:rsid w:val="007B211C"/>
    <w:rsid w:val="007C4E11"/>
    <w:rsid w:val="007D45AE"/>
    <w:rsid w:val="007E1470"/>
    <w:rsid w:val="007E4626"/>
    <w:rsid w:val="007F0523"/>
    <w:rsid w:val="00814655"/>
    <w:rsid w:val="00821433"/>
    <w:rsid w:val="00827E94"/>
    <w:rsid w:val="008336C6"/>
    <w:rsid w:val="008409F1"/>
    <w:rsid w:val="0085148B"/>
    <w:rsid w:val="008774CD"/>
    <w:rsid w:val="008811FB"/>
    <w:rsid w:val="008B20C6"/>
    <w:rsid w:val="008D7B8B"/>
    <w:rsid w:val="00900D18"/>
    <w:rsid w:val="00920AD7"/>
    <w:rsid w:val="0092249B"/>
    <w:rsid w:val="009343A1"/>
    <w:rsid w:val="00956487"/>
    <w:rsid w:val="00964D3F"/>
    <w:rsid w:val="009678E3"/>
    <w:rsid w:val="0098311A"/>
    <w:rsid w:val="0099683D"/>
    <w:rsid w:val="009A1D92"/>
    <w:rsid w:val="009B759F"/>
    <w:rsid w:val="009C3E87"/>
    <w:rsid w:val="009E18F0"/>
    <w:rsid w:val="009E37A9"/>
    <w:rsid w:val="009E5294"/>
    <w:rsid w:val="009F4025"/>
    <w:rsid w:val="009F4A83"/>
    <w:rsid w:val="00A20A9A"/>
    <w:rsid w:val="00A7013B"/>
    <w:rsid w:val="00A70A0B"/>
    <w:rsid w:val="00A83AD1"/>
    <w:rsid w:val="00A90F05"/>
    <w:rsid w:val="00AB29AA"/>
    <w:rsid w:val="00AC447D"/>
    <w:rsid w:val="00AE0EFE"/>
    <w:rsid w:val="00AE6205"/>
    <w:rsid w:val="00B13153"/>
    <w:rsid w:val="00B16D11"/>
    <w:rsid w:val="00B17E1C"/>
    <w:rsid w:val="00B32A52"/>
    <w:rsid w:val="00B35A36"/>
    <w:rsid w:val="00B51F9C"/>
    <w:rsid w:val="00B9360E"/>
    <w:rsid w:val="00B93BDD"/>
    <w:rsid w:val="00BA37ED"/>
    <w:rsid w:val="00BB2E84"/>
    <w:rsid w:val="00BC1BA7"/>
    <w:rsid w:val="00BF13A2"/>
    <w:rsid w:val="00BF2648"/>
    <w:rsid w:val="00BF724B"/>
    <w:rsid w:val="00C25201"/>
    <w:rsid w:val="00C6128B"/>
    <w:rsid w:val="00C63188"/>
    <w:rsid w:val="00C7054F"/>
    <w:rsid w:val="00C76941"/>
    <w:rsid w:val="00C7797B"/>
    <w:rsid w:val="00C84700"/>
    <w:rsid w:val="00C957D8"/>
    <w:rsid w:val="00C95DFD"/>
    <w:rsid w:val="00CD584E"/>
    <w:rsid w:val="00D05991"/>
    <w:rsid w:val="00D22791"/>
    <w:rsid w:val="00D23C20"/>
    <w:rsid w:val="00D42BC7"/>
    <w:rsid w:val="00D43EED"/>
    <w:rsid w:val="00D63EBA"/>
    <w:rsid w:val="00D74EB9"/>
    <w:rsid w:val="00D76EE1"/>
    <w:rsid w:val="00D8338A"/>
    <w:rsid w:val="00D9295A"/>
    <w:rsid w:val="00D963D9"/>
    <w:rsid w:val="00DA13FC"/>
    <w:rsid w:val="00DB54B5"/>
    <w:rsid w:val="00DE2618"/>
    <w:rsid w:val="00DF0D0B"/>
    <w:rsid w:val="00E0201B"/>
    <w:rsid w:val="00E17DD2"/>
    <w:rsid w:val="00E244FE"/>
    <w:rsid w:val="00E278A3"/>
    <w:rsid w:val="00E3436A"/>
    <w:rsid w:val="00E448FB"/>
    <w:rsid w:val="00E66950"/>
    <w:rsid w:val="00E66F05"/>
    <w:rsid w:val="00E91558"/>
    <w:rsid w:val="00E966E0"/>
    <w:rsid w:val="00EA02B4"/>
    <w:rsid w:val="00EB36F7"/>
    <w:rsid w:val="00EB7D8D"/>
    <w:rsid w:val="00ED538E"/>
    <w:rsid w:val="00F10BEA"/>
    <w:rsid w:val="00F15B13"/>
    <w:rsid w:val="00F269A3"/>
    <w:rsid w:val="00F30CAF"/>
    <w:rsid w:val="00F32EB0"/>
    <w:rsid w:val="00F70CBD"/>
    <w:rsid w:val="00F716A6"/>
    <w:rsid w:val="00F757B5"/>
    <w:rsid w:val="00F96BCE"/>
    <w:rsid w:val="00FD4A42"/>
    <w:rsid w:val="00FE2576"/>
    <w:rsid w:val="018241FE"/>
    <w:rsid w:val="022F2646"/>
    <w:rsid w:val="05151950"/>
    <w:rsid w:val="131071CE"/>
    <w:rsid w:val="15507C66"/>
    <w:rsid w:val="162344C7"/>
    <w:rsid w:val="1BCE12B7"/>
    <w:rsid w:val="21F81B03"/>
    <w:rsid w:val="27BD74F4"/>
    <w:rsid w:val="299762DC"/>
    <w:rsid w:val="29F40719"/>
    <w:rsid w:val="392F3454"/>
    <w:rsid w:val="3AFB107B"/>
    <w:rsid w:val="3C920BB5"/>
    <w:rsid w:val="43C73BDB"/>
    <w:rsid w:val="45EA683B"/>
    <w:rsid w:val="46D1347A"/>
    <w:rsid w:val="4B643A12"/>
    <w:rsid w:val="4B882362"/>
    <w:rsid w:val="4C7D0EC5"/>
    <w:rsid w:val="502B6EFE"/>
    <w:rsid w:val="5443460E"/>
    <w:rsid w:val="5A8F01E3"/>
    <w:rsid w:val="62F640DE"/>
    <w:rsid w:val="639B2C4E"/>
    <w:rsid w:val="6AD3005D"/>
    <w:rsid w:val="6C807CBC"/>
    <w:rsid w:val="73041B05"/>
    <w:rsid w:val="7711657D"/>
    <w:rsid w:val="7A7E53DA"/>
    <w:rsid w:val="7B1A51FC"/>
    <w:rsid w:val="7B763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90F0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uiPriority w:val="9"/>
    <w:unhideWhenUsed/>
    <w:qFormat/>
    <w:rsid w:val="00A90F05"/>
    <w:pPr>
      <w:autoSpaceDE w:val="0"/>
      <w:autoSpaceDN w:val="0"/>
      <w:ind w:left="130" w:right="154"/>
      <w:jc w:val="center"/>
      <w:outlineLvl w:val="1"/>
    </w:pPr>
    <w:rPr>
      <w:rFonts w:ascii="MHeiHK-Bold" w:eastAsia="MHeiHK-Bold" w:hAnsi="MHeiHK-Bold" w:cs="MHeiHK-Bold"/>
      <w:b/>
      <w:bCs/>
      <w:kern w:val="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A90F05"/>
    <w:pPr>
      <w:jc w:val="left"/>
    </w:pPr>
  </w:style>
  <w:style w:type="paragraph" w:styleId="a4">
    <w:name w:val="Balloon Text"/>
    <w:basedOn w:val="a"/>
    <w:link w:val="Char0"/>
    <w:autoRedefine/>
    <w:uiPriority w:val="99"/>
    <w:semiHidden/>
    <w:unhideWhenUsed/>
    <w:qFormat/>
    <w:rsid w:val="00A90F05"/>
    <w:rPr>
      <w:sz w:val="18"/>
      <w:szCs w:val="18"/>
    </w:rPr>
  </w:style>
  <w:style w:type="paragraph" w:styleId="a5">
    <w:name w:val="footer"/>
    <w:basedOn w:val="a"/>
    <w:link w:val="Char1"/>
    <w:autoRedefine/>
    <w:uiPriority w:val="99"/>
    <w:unhideWhenUsed/>
    <w:qFormat/>
    <w:rsid w:val="00A90F05"/>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A90F0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sid w:val="00A90F05"/>
    <w:rPr>
      <w:b/>
      <w:bCs/>
    </w:rPr>
  </w:style>
  <w:style w:type="table" w:styleId="a8">
    <w:name w:val="Table Grid"/>
    <w:basedOn w:val="a1"/>
    <w:autoRedefine/>
    <w:uiPriority w:val="39"/>
    <w:qFormat/>
    <w:rsid w:val="00A90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autoRedefine/>
    <w:uiPriority w:val="99"/>
    <w:semiHidden/>
    <w:unhideWhenUsed/>
    <w:qFormat/>
    <w:rsid w:val="00A90F05"/>
    <w:rPr>
      <w:sz w:val="21"/>
      <w:szCs w:val="21"/>
    </w:rPr>
  </w:style>
  <w:style w:type="character" w:customStyle="1" w:styleId="Char2">
    <w:name w:val="页眉 Char"/>
    <w:basedOn w:val="a0"/>
    <w:link w:val="a6"/>
    <w:autoRedefine/>
    <w:uiPriority w:val="99"/>
    <w:qFormat/>
    <w:rsid w:val="00A90F05"/>
    <w:rPr>
      <w:sz w:val="18"/>
      <w:szCs w:val="18"/>
    </w:rPr>
  </w:style>
  <w:style w:type="character" w:customStyle="1" w:styleId="Char1">
    <w:name w:val="页脚 Char"/>
    <w:basedOn w:val="a0"/>
    <w:link w:val="a5"/>
    <w:autoRedefine/>
    <w:uiPriority w:val="99"/>
    <w:qFormat/>
    <w:rsid w:val="00A90F05"/>
    <w:rPr>
      <w:sz w:val="18"/>
      <w:szCs w:val="18"/>
    </w:rPr>
  </w:style>
  <w:style w:type="paragraph" w:styleId="aa">
    <w:name w:val="List Paragraph"/>
    <w:basedOn w:val="a"/>
    <w:uiPriority w:val="1"/>
    <w:qFormat/>
    <w:rsid w:val="00A90F05"/>
    <w:pPr>
      <w:ind w:firstLineChars="200" w:firstLine="420"/>
    </w:pPr>
  </w:style>
  <w:style w:type="character" w:customStyle="1" w:styleId="Char">
    <w:name w:val="批注文字 Char"/>
    <w:basedOn w:val="a0"/>
    <w:link w:val="a3"/>
    <w:autoRedefine/>
    <w:uiPriority w:val="99"/>
    <w:semiHidden/>
    <w:qFormat/>
    <w:rsid w:val="00A90F05"/>
  </w:style>
  <w:style w:type="character" w:customStyle="1" w:styleId="Char3">
    <w:name w:val="批注主题 Char"/>
    <w:basedOn w:val="Char"/>
    <w:link w:val="a7"/>
    <w:autoRedefine/>
    <w:uiPriority w:val="99"/>
    <w:semiHidden/>
    <w:qFormat/>
    <w:rsid w:val="00A90F05"/>
    <w:rPr>
      <w:b/>
      <w:bCs/>
    </w:rPr>
  </w:style>
  <w:style w:type="paragraph" w:customStyle="1" w:styleId="1">
    <w:name w:val="修订1"/>
    <w:autoRedefine/>
    <w:hidden/>
    <w:uiPriority w:val="99"/>
    <w:semiHidden/>
    <w:qFormat/>
    <w:rsid w:val="00A90F05"/>
    <w:rPr>
      <w:rFonts w:asciiTheme="minorHAnsi" w:eastAsiaTheme="minorEastAsia" w:hAnsiTheme="minorHAnsi" w:cstheme="minorBidi"/>
      <w:kern w:val="2"/>
      <w:sz w:val="21"/>
      <w:szCs w:val="22"/>
    </w:rPr>
  </w:style>
  <w:style w:type="paragraph" w:customStyle="1" w:styleId="Default">
    <w:name w:val="Default"/>
    <w:autoRedefine/>
    <w:qFormat/>
    <w:rsid w:val="00A90F05"/>
    <w:pPr>
      <w:widowControl w:val="0"/>
      <w:autoSpaceDE w:val="0"/>
      <w:autoSpaceDN w:val="0"/>
      <w:adjustRightInd w:val="0"/>
    </w:pPr>
    <w:rPr>
      <w:rFonts w:ascii="黑体" w:eastAsia="黑体" w:hAnsiTheme="minorHAnsi" w:cs="黑体"/>
      <w:color w:val="000000"/>
      <w:sz w:val="24"/>
      <w:szCs w:val="24"/>
    </w:rPr>
  </w:style>
  <w:style w:type="character" w:customStyle="1" w:styleId="Char0">
    <w:name w:val="批注框文本 Char"/>
    <w:basedOn w:val="a0"/>
    <w:link w:val="a4"/>
    <w:autoRedefine/>
    <w:uiPriority w:val="99"/>
    <w:semiHidden/>
    <w:qFormat/>
    <w:rsid w:val="00A90F05"/>
    <w:rPr>
      <w:sz w:val="18"/>
      <w:szCs w:val="18"/>
    </w:rPr>
  </w:style>
  <w:style w:type="table" w:customStyle="1" w:styleId="TableNormal1">
    <w:name w:val="Table Normal1"/>
    <w:autoRedefine/>
    <w:uiPriority w:val="2"/>
    <w:semiHidden/>
    <w:unhideWhenUsed/>
    <w:qFormat/>
    <w:rsid w:val="00A90F05"/>
    <w:tblPr>
      <w:tblCellMar>
        <w:top w:w="0" w:type="dxa"/>
        <w:left w:w="0" w:type="dxa"/>
        <w:bottom w:w="0" w:type="dxa"/>
        <w:right w:w="0" w:type="dxa"/>
      </w:tblCellMar>
    </w:tblPr>
  </w:style>
  <w:style w:type="paragraph" w:customStyle="1" w:styleId="TableParagraph">
    <w:name w:val="Table Paragraph"/>
    <w:basedOn w:val="a"/>
    <w:autoRedefine/>
    <w:uiPriority w:val="1"/>
    <w:qFormat/>
    <w:rsid w:val="00A90F05"/>
    <w:pPr>
      <w:autoSpaceDE w:val="0"/>
      <w:autoSpaceDN w:val="0"/>
      <w:spacing w:before="95"/>
      <w:ind w:right="97"/>
      <w:jc w:val="right"/>
    </w:pPr>
    <w:rPr>
      <w:rFonts w:ascii="Times LT Std" w:eastAsia="Times LT Std" w:hAnsi="Times LT Std" w:cs="Times LT Std"/>
      <w:kern w:val="0"/>
      <w:sz w:val="22"/>
      <w:lang w:val="zh-TW" w:eastAsia="zh-TW" w:bidi="zh-TW"/>
    </w:rPr>
  </w:style>
  <w:style w:type="character" w:customStyle="1" w:styleId="2Char">
    <w:name w:val="标题 2 Char"/>
    <w:basedOn w:val="a0"/>
    <w:link w:val="2"/>
    <w:autoRedefine/>
    <w:uiPriority w:val="9"/>
    <w:qFormat/>
    <w:rsid w:val="00A90F05"/>
    <w:rPr>
      <w:rFonts w:ascii="MHeiHK-Bold" w:eastAsia="MHeiHK-Bold" w:hAnsi="MHeiHK-Bold" w:cs="MHeiHK-Bold"/>
      <w:b/>
      <w:bCs/>
      <w:kern w:val="0"/>
      <w:sz w:val="24"/>
      <w:szCs w:val="24"/>
      <w:lang w:val="zh-TW" w:eastAsia="zh-TW" w:bidi="zh-TW"/>
    </w:rPr>
  </w:style>
  <w:style w:type="paragraph" w:customStyle="1" w:styleId="20">
    <w:name w:val="修订2"/>
    <w:autoRedefine/>
    <w:hidden/>
    <w:uiPriority w:val="99"/>
    <w:unhideWhenUsed/>
    <w:qFormat/>
    <w:rsid w:val="00A90F05"/>
    <w:rPr>
      <w:rFonts w:asciiTheme="minorHAnsi" w:eastAsiaTheme="minorEastAsia" w:hAnsiTheme="minorHAnsi" w:cstheme="minorBidi"/>
      <w:kern w:val="2"/>
      <w:sz w:val="21"/>
      <w:szCs w:val="22"/>
    </w:rPr>
  </w:style>
  <w:style w:type="paragraph" w:customStyle="1" w:styleId="3">
    <w:name w:val="修订3"/>
    <w:autoRedefine/>
    <w:hidden/>
    <w:uiPriority w:val="99"/>
    <w:unhideWhenUsed/>
    <w:qFormat/>
    <w:rsid w:val="00A90F05"/>
    <w:rPr>
      <w:rFonts w:asciiTheme="minorHAnsi" w:eastAsiaTheme="minorEastAsia" w:hAnsiTheme="minorHAnsi" w:cstheme="minorBidi"/>
      <w:kern w:val="2"/>
      <w:sz w:val="21"/>
      <w:szCs w:val="22"/>
    </w:rPr>
  </w:style>
  <w:style w:type="paragraph" w:customStyle="1" w:styleId="4">
    <w:name w:val="修订4"/>
    <w:autoRedefine/>
    <w:hidden/>
    <w:uiPriority w:val="99"/>
    <w:unhideWhenUsed/>
    <w:qFormat/>
    <w:rsid w:val="00A90F05"/>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A90F0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9F59-C505-4F9B-BCC9-78778BF2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4</DocSecurity>
  <Lines>10</Lines>
  <Paragraphs>3</Paragraphs>
  <ScaleCrop>false</ScaleCrop>
  <Company>PAIG</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huiq</dc:creator>
  <cp:lastModifiedBy>ZHONGM</cp:lastModifiedBy>
  <cp:revision>2</cp:revision>
  <dcterms:created xsi:type="dcterms:W3CDTF">2024-08-22T16:01:00Z</dcterms:created>
  <dcterms:modified xsi:type="dcterms:W3CDTF">2024-08-22T16:01:00Z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9BDD62E2D3D74735A828684A24F00639</vt:lpwstr>
  </property>
</Properties>
</file>