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57" w:rsidRDefault="008C3057">
      <w:pPr>
        <w:spacing w:line="327" w:lineRule="auto"/>
      </w:pPr>
    </w:p>
    <w:p w:rsidR="008C3057" w:rsidRDefault="00475333">
      <w:pPr>
        <w:pStyle w:val="a3"/>
        <w:spacing w:before="91" w:line="219" w:lineRule="auto"/>
        <w:jc w:val="center"/>
        <w:outlineLvl w:val="0"/>
        <w:rPr>
          <w:sz w:val="28"/>
          <w:szCs w:val="28"/>
          <w:lang w:eastAsia="zh-CN"/>
        </w:rPr>
      </w:pPr>
      <w:r>
        <w:rPr>
          <w:rFonts w:hint="eastAsia"/>
          <w:b/>
          <w:bCs/>
          <w:color w:val="333333"/>
          <w:spacing w:val="-1"/>
          <w:sz w:val="28"/>
          <w:szCs w:val="28"/>
          <w:lang w:eastAsia="zh-CN"/>
        </w:rPr>
        <w:t>华富强化回报债券型证券投资基金</w:t>
      </w:r>
      <w:r>
        <w:rPr>
          <w:b/>
          <w:bCs/>
          <w:color w:val="333333"/>
          <w:spacing w:val="-1"/>
          <w:sz w:val="28"/>
          <w:szCs w:val="28"/>
          <w:lang w:eastAsia="zh-CN"/>
        </w:rPr>
        <w:t>溢价风险提示公告</w:t>
      </w:r>
    </w:p>
    <w:p w:rsidR="008C3057" w:rsidRDefault="008C3057">
      <w:pPr>
        <w:spacing w:line="400" w:lineRule="exact"/>
        <w:ind w:firstLineChars="200" w:firstLine="420"/>
        <w:jc w:val="both"/>
        <w:rPr>
          <w:lang w:eastAsia="zh-CN"/>
        </w:rPr>
      </w:pPr>
    </w:p>
    <w:p w:rsidR="008C3057" w:rsidRDefault="008C3057">
      <w:pPr>
        <w:spacing w:line="400" w:lineRule="exact"/>
        <w:ind w:firstLineChars="200" w:firstLine="420"/>
        <w:jc w:val="both"/>
        <w:rPr>
          <w:lang w:eastAsia="zh-CN"/>
        </w:rPr>
      </w:pPr>
    </w:p>
    <w:p w:rsidR="008C3057" w:rsidRDefault="00475333">
      <w:pPr>
        <w:pStyle w:val="a3"/>
        <w:spacing w:line="400" w:lineRule="exact"/>
        <w:ind w:firstLineChars="200" w:firstLine="400"/>
        <w:jc w:val="both"/>
        <w:rPr>
          <w:sz w:val="21"/>
          <w:szCs w:val="21"/>
          <w:lang w:eastAsia="zh-CN"/>
        </w:rPr>
      </w:pPr>
      <w:r>
        <w:rPr>
          <w:rFonts w:hint="eastAsia"/>
          <w:color w:val="333333"/>
          <w:spacing w:val="-5"/>
          <w:sz w:val="21"/>
          <w:szCs w:val="21"/>
          <w:lang w:eastAsia="zh-CN"/>
        </w:rPr>
        <w:t>近期，华富基金管理有限公司（以下简称“本基金管理人”）旗下华富强化回报债券型证券投资基金（基金代码：164105，场内简称：华富强债，以下简称“本基金”）二级市场交易价格</w:t>
      </w:r>
      <w:r w:rsidRPr="004E483B">
        <w:rPr>
          <w:color w:val="333333"/>
          <w:spacing w:val="-5"/>
          <w:sz w:val="21"/>
          <w:szCs w:val="21"/>
          <w:lang w:eastAsia="zh-CN"/>
        </w:rPr>
        <w:t>波动较大，请投资者密切关注基金份额净值。2024年</w:t>
      </w:r>
      <w:r w:rsidRPr="004E483B">
        <w:rPr>
          <w:rFonts w:hint="eastAsia"/>
          <w:color w:val="333333"/>
          <w:spacing w:val="-5"/>
          <w:sz w:val="21"/>
          <w:szCs w:val="21"/>
          <w:lang w:eastAsia="zh-CN"/>
        </w:rPr>
        <w:t>8</w:t>
      </w:r>
      <w:r w:rsidRPr="004E483B">
        <w:rPr>
          <w:color w:val="333333"/>
          <w:spacing w:val="-5"/>
          <w:sz w:val="21"/>
          <w:szCs w:val="21"/>
          <w:lang w:eastAsia="zh-CN"/>
        </w:rPr>
        <w:t>月</w:t>
      </w:r>
      <w:r w:rsidRPr="004E483B">
        <w:rPr>
          <w:rFonts w:hint="eastAsia"/>
          <w:color w:val="333333"/>
          <w:spacing w:val="-5"/>
          <w:sz w:val="21"/>
          <w:szCs w:val="21"/>
          <w:lang w:eastAsia="zh-CN"/>
        </w:rPr>
        <w:t>2</w:t>
      </w:r>
      <w:r w:rsidR="00A8433B">
        <w:rPr>
          <w:color w:val="333333"/>
          <w:spacing w:val="-5"/>
          <w:sz w:val="21"/>
          <w:szCs w:val="21"/>
          <w:lang w:eastAsia="zh-CN"/>
        </w:rPr>
        <w:t>1</w:t>
      </w:r>
      <w:r w:rsidRPr="004E483B">
        <w:rPr>
          <w:color w:val="333333"/>
          <w:spacing w:val="-5"/>
          <w:sz w:val="21"/>
          <w:szCs w:val="21"/>
          <w:lang w:eastAsia="zh-CN"/>
        </w:rPr>
        <w:t>日，本基金基金份额净值为</w:t>
      </w:r>
      <w:r w:rsidRPr="004E483B">
        <w:rPr>
          <w:rFonts w:hint="eastAsia"/>
          <w:color w:val="333333"/>
          <w:spacing w:val="-5"/>
          <w:sz w:val="21"/>
          <w:szCs w:val="21"/>
          <w:lang w:eastAsia="zh-CN"/>
        </w:rPr>
        <w:t>1.62</w:t>
      </w:r>
      <w:r w:rsidR="00A8433B">
        <w:rPr>
          <w:color w:val="333333"/>
          <w:spacing w:val="-5"/>
          <w:sz w:val="21"/>
          <w:szCs w:val="21"/>
          <w:lang w:eastAsia="zh-CN"/>
        </w:rPr>
        <w:t>7</w:t>
      </w:r>
      <w:r w:rsidRPr="004E483B">
        <w:rPr>
          <w:color w:val="333333"/>
          <w:spacing w:val="-5"/>
          <w:sz w:val="21"/>
          <w:szCs w:val="21"/>
          <w:lang w:eastAsia="zh-CN"/>
        </w:rPr>
        <w:t>元，截至2024年</w:t>
      </w:r>
      <w:r w:rsidRPr="004E483B">
        <w:rPr>
          <w:rFonts w:hint="eastAsia"/>
          <w:color w:val="333333"/>
          <w:spacing w:val="-5"/>
          <w:sz w:val="21"/>
          <w:szCs w:val="21"/>
          <w:lang w:eastAsia="zh-CN"/>
        </w:rPr>
        <w:t>8</w:t>
      </w:r>
      <w:r w:rsidRPr="004E483B">
        <w:rPr>
          <w:color w:val="333333"/>
          <w:spacing w:val="-5"/>
          <w:sz w:val="21"/>
          <w:szCs w:val="21"/>
          <w:lang w:eastAsia="zh-CN"/>
        </w:rPr>
        <w:t>月</w:t>
      </w:r>
      <w:r w:rsidRPr="004E483B">
        <w:rPr>
          <w:rFonts w:hint="eastAsia"/>
          <w:color w:val="333333"/>
          <w:spacing w:val="-5"/>
          <w:sz w:val="21"/>
          <w:szCs w:val="21"/>
          <w:lang w:eastAsia="zh-CN"/>
        </w:rPr>
        <w:t>2</w:t>
      </w:r>
      <w:r w:rsidR="00A8433B">
        <w:rPr>
          <w:color w:val="333333"/>
          <w:spacing w:val="-5"/>
          <w:sz w:val="21"/>
          <w:szCs w:val="21"/>
          <w:lang w:eastAsia="zh-CN"/>
        </w:rPr>
        <w:t>2</w:t>
      </w:r>
      <w:r w:rsidRPr="004E483B">
        <w:rPr>
          <w:color w:val="333333"/>
          <w:spacing w:val="-5"/>
          <w:sz w:val="21"/>
          <w:szCs w:val="21"/>
          <w:lang w:eastAsia="zh-CN"/>
        </w:rPr>
        <w:t>日，本基金在二级市场的收盘价为</w:t>
      </w:r>
      <w:r w:rsidRPr="004E483B">
        <w:rPr>
          <w:rFonts w:hint="eastAsia"/>
          <w:color w:val="333333"/>
          <w:spacing w:val="-5"/>
          <w:sz w:val="21"/>
          <w:szCs w:val="21"/>
          <w:lang w:eastAsia="zh-CN"/>
        </w:rPr>
        <w:t>1.8</w:t>
      </w:r>
      <w:r w:rsidR="00A8433B">
        <w:rPr>
          <w:color w:val="333333"/>
          <w:spacing w:val="-5"/>
          <w:sz w:val="21"/>
          <w:szCs w:val="21"/>
          <w:lang w:eastAsia="zh-CN"/>
        </w:rPr>
        <w:t>09</w:t>
      </w:r>
      <w:r w:rsidRPr="004E483B">
        <w:rPr>
          <w:color w:val="333333"/>
          <w:spacing w:val="-5"/>
          <w:sz w:val="21"/>
          <w:szCs w:val="21"/>
          <w:lang w:eastAsia="zh-CN"/>
        </w:rPr>
        <w:t>元，明显高于基金份额净值。特此提示投资者关注二级市场交易价格溢价风险，如果盲目投资于高溢价率的基金份额，可能遭受重大损失。</w:t>
      </w:r>
    </w:p>
    <w:p w:rsidR="008C3057" w:rsidRDefault="00475333">
      <w:pPr>
        <w:pStyle w:val="a3"/>
        <w:spacing w:line="400" w:lineRule="exact"/>
        <w:ind w:firstLineChars="200" w:firstLine="400"/>
        <w:jc w:val="both"/>
        <w:rPr>
          <w:rFonts w:ascii="Arial"/>
          <w:sz w:val="21"/>
          <w:szCs w:val="21"/>
          <w:lang w:eastAsia="zh-CN"/>
        </w:rPr>
      </w:pPr>
      <w:r>
        <w:rPr>
          <w:color w:val="333333"/>
          <w:spacing w:val="-5"/>
          <w:sz w:val="21"/>
          <w:szCs w:val="21"/>
          <w:lang w:eastAsia="zh-CN"/>
        </w:rPr>
        <w:t>为此，本基金管理人声明如下：</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1、本基金为上市开放式基金，除可在二级市场交易外，投资人还</w:t>
      </w:r>
      <w:bookmarkStart w:id="0" w:name="_GoBack"/>
      <w:bookmarkEnd w:id="0"/>
      <w:r>
        <w:rPr>
          <w:rFonts w:hint="eastAsia"/>
          <w:color w:val="333333"/>
          <w:spacing w:val="-5"/>
          <w:sz w:val="21"/>
          <w:szCs w:val="21"/>
          <w:lang w:eastAsia="zh-CN"/>
        </w:rPr>
        <w:t>可以申购、赎回本基金，申购、赎回价格以申请当日收市后计算的基金份额净值进行计算，投资者可通过基金管理人网站或交易行情系统查询本基金的最新份额净值。</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2、本基金二级市场的交易价格，除了受基金份额净值波动的影响外，还会受到市场供求关系、系统性风险、流动性风险等其他因素的影响。</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3、截至目前，本基金运作正常。本基金管理人将继续严格按照法律法规及基金合同的相关规定进行投资运作。</w:t>
      </w:r>
    </w:p>
    <w:p w:rsidR="008C3057" w:rsidRDefault="00475333">
      <w:pPr>
        <w:pStyle w:val="a3"/>
        <w:spacing w:line="400" w:lineRule="exact"/>
        <w:ind w:firstLineChars="200" w:firstLine="400"/>
        <w:jc w:val="both"/>
        <w:rPr>
          <w:color w:val="333333"/>
          <w:spacing w:val="-5"/>
          <w:sz w:val="21"/>
          <w:szCs w:val="21"/>
          <w:lang w:eastAsia="zh-CN"/>
        </w:rPr>
      </w:pPr>
      <w:r>
        <w:rPr>
          <w:rFonts w:hint="eastAsia"/>
          <w:color w:val="333333"/>
          <w:spacing w:val="-5"/>
          <w:sz w:val="21"/>
          <w:szCs w:val="21"/>
          <w:lang w:eastAsia="zh-CN"/>
        </w:rPr>
        <w:t>4、截至目前，本基金无其他应披露而未披露的重大信息。本基金管理人将继续严格按照有关规定和要求，及时做好信息披露工作。</w:t>
      </w:r>
    </w:p>
    <w:p w:rsidR="008C3057" w:rsidRDefault="008C3057">
      <w:pPr>
        <w:spacing w:line="400" w:lineRule="exact"/>
        <w:ind w:firstLineChars="200" w:firstLine="420"/>
        <w:jc w:val="both"/>
        <w:rPr>
          <w:lang w:eastAsia="zh-CN"/>
        </w:rPr>
      </w:pPr>
    </w:p>
    <w:p w:rsidR="008C3057" w:rsidRDefault="00475333">
      <w:pPr>
        <w:pStyle w:val="a3"/>
        <w:spacing w:line="400" w:lineRule="exact"/>
        <w:ind w:firstLineChars="200" w:firstLine="400"/>
        <w:jc w:val="both"/>
        <w:rPr>
          <w:color w:val="333333"/>
          <w:spacing w:val="-5"/>
          <w:sz w:val="21"/>
          <w:szCs w:val="21"/>
          <w:lang w:eastAsia="zh-CN"/>
        </w:rPr>
      </w:pPr>
      <w:r>
        <w:rPr>
          <w:color w:val="333333"/>
          <w:spacing w:val="-5"/>
          <w:sz w:val="21"/>
          <w:szCs w:val="21"/>
          <w:lang w:eastAsia="zh-CN"/>
        </w:rPr>
        <w:t>风险提示：本基金管理人承诺以诚实信用、勤勉尽责的原则管理和运用基金财产，但不保证基金一定盈利，也不保证最低收益。基金的过往业绩并不代表其将来表现，基金管理人管理的其他基金的业绩并不构成对本基金业绩表现的保证。投资有风险，敬请投资者认真阅读基金的相关法律文件，了解基金产品的详细情况，选择与自身风险识别能力和风险承受能力相匹配的基金产品进行投资。本公告的解释权归本基金管理人所有。</w:t>
      </w:r>
    </w:p>
    <w:p w:rsidR="008C3057" w:rsidRDefault="00475333">
      <w:pPr>
        <w:pStyle w:val="a3"/>
        <w:spacing w:line="400" w:lineRule="exact"/>
        <w:ind w:firstLineChars="200" w:firstLine="400"/>
        <w:rPr>
          <w:color w:val="333333"/>
          <w:spacing w:val="-5"/>
          <w:sz w:val="21"/>
          <w:szCs w:val="21"/>
          <w:lang w:eastAsia="zh-CN"/>
        </w:rPr>
      </w:pPr>
      <w:r>
        <w:rPr>
          <w:color w:val="333333"/>
          <w:spacing w:val="-5"/>
          <w:sz w:val="21"/>
          <w:szCs w:val="21"/>
          <w:lang w:eastAsia="zh-CN"/>
        </w:rPr>
        <w:t>特此公告。</w:t>
      </w:r>
    </w:p>
    <w:p w:rsidR="008C3057" w:rsidRDefault="008C3057">
      <w:pPr>
        <w:spacing w:line="400" w:lineRule="exact"/>
        <w:ind w:firstLineChars="200" w:firstLine="420"/>
        <w:jc w:val="right"/>
        <w:rPr>
          <w:lang w:eastAsia="zh-CN"/>
        </w:rPr>
      </w:pPr>
    </w:p>
    <w:p w:rsidR="008C3057" w:rsidRDefault="00475333">
      <w:pPr>
        <w:pStyle w:val="a3"/>
        <w:spacing w:line="400" w:lineRule="exact"/>
        <w:ind w:firstLineChars="200" w:firstLine="412"/>
        <w:jc w:val="right"/>
        <w:rPr>
          <w:color w:val="333333"/>
          <w:spacing w:val="-2"/>
          <w:sz w:val="21"/>
          <w:szCs w:val="21"/>
          <w:lang w:eastAsia="zh-CN"/>
        </w:rPr>
      </w:pPr>
      <w:r>
        <w:rPr>
          <w:rFonts w:hint="eastAsia"/>
          <w:color w:val="333333"/>
          <w:spacing w:val="-2"/>
          <w:sz w:val="21"/>
          <w:szCs w:val="21"/>
          <w:lang w:eastAsia="zh-CN"/>
        </w:rPr>
        <w:t>华富基金管理有限公司</w:t>
      </w:r>
    </w:p>
    <w:p w:rsidR="008C3057" w:rsidRDefault="00475333">
      <w:pPr>
        <w:pStyle w:val="a3"/>
        <w:spacing w:line="400" w:lineRule="exact"/>
        <w:ind w:firstLineChars="200" w:firstLine="412"/>
        <w:jc w:val="right"/>
        <w:rPr>
          <w:color w:val="333333"/>
          <w:spacing w:val="-2"/>
          <w:sz w:val="21"/>
          <w:szCs w:val="21"/>
          <w:lang w:eastAsia="zh-CN"/>
        </w:rPr>
      </w:pPr>
      <w:r>
        <w:rPr>
          <w:rFonts w:hint="eastAsia"/>
          <w:color w:val="333333"/>
          <w:spacing w:val="-2"/>
          <w:sz w:val="21"/>
          <w:szCs w:val="21"/>
          <w:lang w:eastAsia="zh-CN"/>
        </w:rPr>
        <w:t>2024年8月2</w:t>
      </w:r>
      <w:r w:rsidR="00A8433B">
        <w:rPr>
          <w:color w:val="333333"/>
          <w:spacing w:val="-2"/>
          <w:sz w:val="21"/>
          <w:szCs w:val="21"/>
          <w:lang w:eastAsia="zh-CN"/>
        </w:rPr>
        <w:t>3</w:t>
      </w:r>
      <w:r>
        <w:rPr>
          <w:rFonts w:hint="eastAsia"/>
          <w:color w:val="333333"/>
          <w:spacing w:val="-2"/>
          <w:sz w:val="21"/>
          <w:szCs w:val="21"/>
          <w:lang w:eastAsia="zh-CN"/>
        </w:rPr>
        <w:t>日</w:t>
      </w:r>
    </w:p>
    <w:sectPr w:rsidR="008C3057" w:rsidSect="005C608B">
      <w:pgSz w:w="11907" w:h="16839"/>
      <w:pgMar w:top="1431" w:right="1785" w:bottom="0" w:left="17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434" w:rsidRDefault="00AB6434">
      <w:r>
        <w:separator/>
      </w:r>
    </w:p>
  </w:endnote>
  <w:endnote w:type="continuationSeparator" w:id="0">
    <w:p w:rsidR="00AB6434" w:rsidRDefault="00AB6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434" w:rsidRDefault="00AB6434">
      <w:r>
        <w:separator/>
      </w:r>
    </w:p>
  </w:footnote>
  <w:footnote w:type="continuationSeparator" w:id="0">
    <w:p w:rsidR="00AB6434" w:rsidRDefault="00AB6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
  <w:docVars>
    <w:docVar w:name="commondata" w:val="eyJoZGlkIjoiN2QxOTNjNDkzMGJhZmIzMjZiYmE1MDFkY2RlMTE5NzcifQ=="/>
  </w:docVars>
  <w:rsids>
    <w:rsidRoot w:val="008C3057"/>
    <w:rsid w:val="00475333"/>
    <w:rsid w:val="004E483B"/>
    <w:rsid w:val="005C608B"/>
    <w:rsid w:val="008C3057"/>
    <w:rsid w:val="00A8433B"/>
    <w:rsid w:val="00AB6434"/>
    <w:rsid w:val="00C82BA0"/>
    <w:rsid w:val="0AD34E3A"/>
    <w:rsid w:val="26AD730D"/>
    <w:rsid w:val="3B435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C608B"/>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C608B"/>
    <w:rPr>
      <w:rFonts w:ascii="宋体" w:eastAsia="宋体" w:hAnsi="宋体" w:cs="宋体"/>
      <w:sz w:val="24"/>
      <w:szCs w:val="24"/>
    </w:rPr>
  </w:style>
  <w:style w:type="table" w:customStyle="1" w:styleId="TableNormal">
    <w:name w:val="Table Normal"/>
    <w:semiHidden/>
    <w:unhideWhenUsed/>
    <w:qFormat/>
    <w:rsid w:val="005C608B"/>
    <w:tblPr>
      <w:tblCellMar>
        <w:top w:w="0" w:type="dxa"/>
        <w:left w:w="0" w:type="dxa"/>
        <w:bottom w:w="0" w:type="dxa"/>
        <w:right w:w="0" w:type="dxa"/>
      </w:tblCellMar>
    </w:tblPr>
  </w:style>
  <w:style w:type="paragraph" w:styleId="a4">
    <w:name w:val="header"/>
    <w:basedOn w:val="a"/>
    <w:link w:val="Char"/>
    <w:rsid w:val="004E483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4E483B"/>
    <w:rPr>
      <w:rFonts w:ascii="Arial" w:eastAsia="Arial" w:hAnsi="Arial" w:cs="Arial"/>
      <w:snapToGrid w:val="0"/>
      <w:color w:val="000000"/>
      <w:sz w:val="18"/>
      <w:szCs w:val="18"/>
      <w:lang w:eastAsia="en-US"/>
    </w:rPr>
  </w:style>
  <w:style w:type="paragraph" w:styleId="a5">
    <w:name w:val="footer"/>
    <w:basedOn w:val="a"/>
    <w:link w:val="Char0"/>
    <w:rsid w:val="004E483B"/>
    <w:pPr>
      <w:tabs>
        <w:tab w:val="center" w:pos="4153"/>
        <w:tab w:val="right" w:pos="8306"/>
      </w:tabs>
    </w:pPr>
    <w:rPr>
      <w:sz w:val="18"/>
      <w:szCs w:val="18"/>
    </w:rPr>
  </w:style>
  <w:style w:type="character" w:customStyle="1" w:styleId="Char0">
    <w:name w:val="页脚 Char"/>
    <w:basedOn w:val="a0"/>
    <w:link w:val="a5"/>
    <w:rsid w:val="004E483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4</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翟芳</dc:creator>
  <cp:lastModifiedBy>ZHONGM</cp:lastModifiedBy>
  <cp:revision>2</cp:revision>
  <dcterms:created xsi:type="dcterms:W3CDTF">2024-08-22T16:02:00Z</dcterms:created>
  <dcterms:modified xsi:type="dcterms:W3CDTF">2024-08-22T16:02:00Z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2024-08-21T17:00:18Z</vt:filetime>
  </property>
  <property fmtid="{D5CDD505-2E9C-101B-9397-08002B2CF9AE}" pid="4" name="KSOProductBuildVer">
    <vt:lpwstr>2052-12.1.0.17147</vt:lpwstr>
  </property>
  <property fmtid="{D5CDD505-2E9C-101B-9397-08002B2CF9AE}" pid="5" name="ICV">
    <vt:lpwstr>0BB531C8F2154EDD9F32CE534FFC1DE8_12</vt:lpwstr>
  </property>
</Properties>
</file>