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BC" w:rsidRDefault="0019106B" w:rsidP="0019106B">
      <w:pPr>
        <w:jc w:val="center"/>
        <w:rPr>
          <w:rFonts w:ascii="黑体" w:eastAsia="黑体" w:hAnsi="黑体"/>
          <w:sz w:val="32"/>
          <w:szCs w:val="32"/>
        </w:rPr>
      </w:pPr>
      <w:r w:rsidRPr="00ED72BC">
        <w:rPr>
          <w:rFonts w:ascii="黑体" w:eastAsia="黑体" w:hAnsi="黑体"/>
          <w:sz w:val="32"/>
          <w:szCs w:val="32"/>
        </w:rPr>
        <w:t>国联基金管理有限公司</w:t>
      </w:r>
    </w:p>
    <w:p w:rsidR="002C3379" w:rsidRDefault="0019106B" w:rsidP="0019106B">
      <w:pPr>
        <w:jc w:val="center"/>
        <w:rPr>
          <w:rFonts w:ascii="黑体" w:eastAsia="黑体" w:hAnsi="黑体"/>
          <w:sz w:val="32"/>
          <w:szCs w:val="32"/>
        </w:rPr>
      </w:pPr>
      <w:r w:rsidRPr="00ED72BC">
        <w:rPr>
          <w:rFonts w:ascii="黑体" w:eastAsia="黑体" w:hAnsi="黑体"/>
          <w:sz w:val="32"/>
          <w:szCs w:val="32"/>
        </w:rPr>
        <w:t>关于终止</w:t>
      </w:r>
      <w:r w:rsidRPr="00ED72BC">
        <w:rPr>
          <w:rFonts w:ascii="黑体" w:eastAsia="黑体" w:hAnsi="黑体" w:hint="eastAsia"/>
          <w:sz w:val="32"/>
          <w:szCs w:val="32"/>
        </w:rPr>
        <w:t>中民财富基金销售（上海）有限公司</w:t>
      </w:r>
    </w:p>
    <w:p w:rsidR="00392DD2" w:rsidRPr="00ED72BC" w:rsidRDefault="0019106B" w:rsidP="0019106B">
      <w:pPr>
        <w:jc w:val="center"/>
        <w:rPr>
          <w:rFonts w:ascii="黑体" w:eastAsia="黑体" w:hAnsi="黑体"/>
          <w:sz w:val="32"/>
          <w:szCs w:val="32"/>
        </w:rPr>
      </w:pPr>
      <w:bookmarkStart w:id="0" w:name="_GoBack"/>
      <w:bookmarkEnd w:id="0"/>
      <w:r w:rsidRPr="00ED72BC">
        <w:rPr>
          <w:rFonts w:ascii="黑体" w:eastAsia="黑体" w:hAnsi="黑体"/>
          <w:sz w:val="32"/>
          <w:szCs w:val="32"/>
        </w:rPr>
        <w:t>代销本公司旗下基金的公告</w:t>
      </w:r>
    </w:p>
    <w:p w:rsidR="0019106B" w:rsidRDefault="0019106B" w:rsidP="0019106B">
      <w:pPr>
        <w:jc w:val="center"/>
        <w:rPr>
          <w:rFonts w:ascii="黑体" w:eastAsia="黑体" w:hAnsi="黑体"/>
          <w:sz w:val="32"/>
        </w:rPr>
      </w:pPr>
    </w:p>
    <w:p w:rsidR="0019106B" w:rsidRPr="00ED72BC" w:rsidRDefault="0019106B" w:rsidP="001E23B0">
      <w:pPr>
        <w:spacing w:beforeLines="100"/>
        <w:ind w:firstLineChars="200" w:firstLine="600"/>
        <w:rPr>
          <w:rFonts w:ascii="仿宋" w:eastAsia="仿宋" w:hAnsi="仿宋"/>
          <w:sz w:val="30"/>
          <w:szCs w:val="30"/>
        </w:rPr>
      </w:pPr>
      <w:r w:rsidRPr="00ED72BC">
        <w:rPr>
          <w:rFonts w:ascii="仿宋" w:eastAsia="仿宋" w:hAnsi="仿宋"/>
          <w:sz w:val="30"/>
          <w:szCs w:val="30"/>
        </w:rPr>
        <w:t>为保护基金份额持有人的利益，国联基金管理有限公司（以 下简称“本公司”或“本基金管理人”）与</w:t>
      </w:r>
      <w:r w:rsidRPr="00ED72BC">
        <w:rPr>
          <w:rFonts w:ascii="仿宋" w:eastAsia="仿宋" w:hAnsi="仿宋" w:hint="eastAsia"/>
          <w:sz w:val="30"/>
          <w:szCs w:val="30"/>
        </w:rPr>
        <w:t>中民财富基金销售（上海）有限公司</w:t>
      </w:r>
      <w:r w:rsidRPr="00ED72BC">
        <w:rPr>
          <w:rFonts w:ascii="仿宋" w:eastAsia="仿宋" w:hAnsi="仿宋"/>
          <w:sz w:val="30"/>
          <w:szCs w:val="30"/>
        </w:rPr>
        <w:t>（以下简称“</w:t>
      </w:r>
      <w:r w:rsidRPr="00ED72BC">
        <w:rPr>
          <w:rFonts w:ascii="仿宋" w:eastAsia="仿宋" w:hAnsi="仿宋" w:hint="eastAsia"/>
          <w:sz w:val="30"/>
          <w:szCs w:val="30"/>
        </w:rPr>
        <w:t>中民财富</w:t>
      </w:r>
      <w:r w:rsidRPr="00ED72BC">
        <w:rPr>
          <w:rFonts w:ascii="仿宋" w:eastAsia="仿宋" w:hAnsi="仿宋"/>
          <w:sz w:val="30"/>
          <w:szCs w:val="30"/>
        </w:rPr>
        <w:t>”）经协商一致，自2024年8月23日起终止</w:t>
      </w:r>
      <w:r w:rsidRPr="00ED72BC">
        <w:rPr>
          <w:rFonts w:ascii="仿宋" w:eastAsia="仿宋" w:hAnsi="仿宋" w:hint="eastAsia"/>
          <w:sz w:val="30"/>
          <w:szCs w:val="30"/>
        </w:rPr>
        <w:t>中民财富</w:t>
      </w:r>
      <w:r w:rsidRPr="00ED72BC">
        <w:rPr>
          <w:rFonts w:ascii="仿宋" w:eastAsia="仿宋" w:hAnsi="仿宋"/>
          <w:sz w:val="30"/>
          <w:szCs w:val="30"/>
        </w:rPr>
        <w:t xml:space="preserve">办理本公司旗下基金相关销售业务，现就相关事项提示如下：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1、通过</w:t>
      </w:r>
      <w:r w:rsidRPr="00ED72BC">
        <w:rPr>
          <w:rFonts w:ascii="仿宋" w:eastAsia="仿宋" w:hAnsi="仿宋" w:hint="eastAsia"/>
          <w:sz w:val="30"/>
          <w:szCs w:val="30"/>
        </w:rPr>
        <w:t>中民财富</w:t>
      </w:r>
      <w:r w:rsidRPr="00ED72BC">
        <w:rPr>
          <w:rFonts w:ascii="仿宋" w:eastAsia="仿宋" w:hAnsi="仿宋"/>
          <w:sz w:val="30"/>
          <w:szCs w:val="30"/>
        </w:rPr>
        <w:t xml:space="preserve">购买并持有本公司旗下基金的投资者所持基金份额将于2024年8月30日起转托管至本公司直销渠道。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 xml:space="preserve">2、对于已开立本基金管理人直销交易账户的持有人，将由本基金管理人统一完成基金份额的转托管工作，持有人可通过本基金管理人直销渠道进行后续业务操作。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 xml:space="preserve">对于未在本基金管理人开立直销交易账户的持有人，本基金管理人将统一为其开立直销交易账户，将其持有的本基金管理人旗下基金份额转托管至直销渠道。持有人需按照本基金管理人直销渠道的要求提供相关材料后方可对转托管至直销渠道的基金份额进行后续业务操作。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敬请相关投资者及时与本基金管理人联系，本公告的最终解释权归国联基金管理有限公司所有。</w:t>
      </w:r>
    </w:p>
    <w:p w:rsidR="0019106B" w:rsidRPr="00ED72BC" w:rsidRDefault="0019106B" w:rsidP="001E23B0">
      <w:pPr>
        <w:ind w:firstLineChars="200" w:firstLine="600"/>
        <w:rPr>
          <w:rFonts w:ascii="仿宋" w:eastAsia="仿宋" w:hAnsi="仿宋"/>
          <w:b/>
          <w:sz w:val="30"/>
          <w:szCs w:val="30"/>
        </w:rPr>
      </w:pPr>
      <w:r w:rsidRPr="00ED72BC">
        <w:rPr>
          <w:rFonts w:ascii="仿宋" w:eastAsia="仿宋" w:hAnsi="仿宋"/>
          <w:b/>
          <w:sz w:val="30"/>
          <w:szCs w:val="30"/>
        </w:rPr>
        <w:lastRenderedPageBreak/>
        <w:t xml:space="preserve">投资者可通过以下途径了解或咨询相关情况：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 xml:space="preserve">国联基金管理有限公司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网址：</w:t>
      </w:r>
      <w:hyperlink r:id="rId4" w:history="1">
        <w:r w:rsidRPr="00ED72BC">
          <w:rPr>
            <w:rFonts w:ascii="仿宋" w:eastAsia="仿宋" w:hAnsi="仿宋"/>
            <w:sz w:val="30"/>
            <w:szCs w:val="30"/>
          </w:rPr>
          <w:t>http://www.glfund.com</w:t>
        </w:r>
      </w:hyperlink>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 xml:space="preserve">客服热线：400-160-6000、010-56517299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 xml:space="preserve">风险提示：本基金管理人承诺以诚实信用、勤勉尽责的原则管理和运用基金资产,但不保证基金一定盈利,也不保证最低收益，基金的过往业绩并不代表其将来表现。投资有风险，敬请投资者认真阅读基金的相关法律文件，并选择适合自身风险承受能力的投资品种进行投资。 </w:t>
      </w:r>
    </w:p>
    <w:p w:rsidR="0019106B" w:rsidRPr="00ED72BC" w:rsidRDefault="0019106B" w:rsidP="00ED72BC">
      <w:pPr>
        <w:ind w:firstLineChars="200" w:firstLine="600"/>
        <w:rPr>
          <w:rFonts w:ascii="仿宋" w:eastAsia="仿宋" w:hAnsi="仿宋"/>
          <w:sz w:val="30"/>
          <w:szCs w:val="30"/>
        </w:rPr>
      </w:pPr>
      <w:r w:rsidRPr="00ED72BC">
        <w:rPr>
          <w:rFonts w:ascii="仿宋" w:eastAsia="仿宋" w:hAnsi="仿宋"/>
          <w:sz w:val="30"/>
          <w:szCs w:val="30"/>
        </w:rPr>
        <w:t>特此公告。</w:t>
      </w:r>
    </w:p>
    <w:p w:rsidR="0019106B" w:rsidRPr="00ED72BC" w:rsidRDefault="0019106B" w:rsidP="00ED72BC">
      <w:pPr>
        <w:ind w:firstLineChars="200" w:firstLine="600"/>
        <w:rPr>
          <w:rFonts w:ascii="仿宋" w:eastAsia="仿宋" w:hAnsi="仿宋"/>
          <w:sz w:val="30"/>
          <w:szCs w:val="30"/>
        </w:rPr>
      </w:pPr>
    </w:p>
    <w:p w:rsidR="0019106B" w:rsidRPr="00ED72BC" w:rsidRDefault="0019106B" w:rsidP="00ED72BC">
      <w:pPr>
        <w:ind w:firstLineChars="200" w:firstLine="600"/>
        <w:rPr>
          <w:rFonts w:ascii="仿宋" w:eastAsia="仿宋" w:hAnsi="仿宋"/>
          <w:sz w:val="30"/>
          <w:szCs w:val="30"/>
        </w:rPr>
      </w:pPr>
    </w:p>
    <w:p w:rsidR="0019106B" w:rsidRPr="00ED72BC" w:rsidRDefault="0019106B" w:rsidP="00ED72BC">
      <w:pPr>
        <w:ind w:firstLineChars="200" w:firstLine="600"/>
        <w:jc w:val="right"/>
        <w:rPr>
          <w:rFonts w:ascii="仿宋" w:eastAsia="仿宋" w:hAnsi="仿宋"/>
          <w:sz w:val="30"/>
          <w:szCs w:val="30"/>
        </w:rPr>
      </w:pPr>
      <w:r w:rsidRPr="00ED72BC">
        <w:rPr>
          <w:rFonts w:ascii="仿宋" w:eastAsia="仿宋" w:hAnsi="仿宋"/>
          <w:sz w:val="30"/>
          <w:szCs w:val="30"/>
        </w:rPr>
        <w:t xml:space="preserve">国联基金管理有限公司 </w:t>
      </w:r>
    </w:p>
    <w:p w:rsidR="0019106B" w:rsidRPr="00ED72BC" w:rsidRDefault="0019106B" w:rsidP="00ED72BC">
      <w:pPr>
        <w:ind w:firstLineChars="200" w:firstLine="600"/>
        <w:jc w:val="right"/>
        <w:rPr>
          <w:rFonts w:ascii="仿宋" w:eastAsia="仿宋" w:hAnsi="仿宋"/>
          <w:sz w:val="30"/>
          <w:szCs w:val="30"/>
        </w:rPr>
      </w:pPr>
      <w:r w:rsidRPr="00ED72BC">
        <w:rPr>
          <w:rFonts w:ascii="仿宋" w:eastAsia="仿宋" w:hAnsi="仿宋"/>
          <w:sz w:val="30"/>
          <w:szCs w:val="30"/>
        </w:rPr>
        <w:t>2024年8月21日</w:t>
      </w:r>
    </w:p>
    <w:sectPr w:rsidR="0019106B" w:rsidRPr="00ED72BC" w:rsidSect="00C01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6490"/>
    <w:rsid w:val="0019106B"/>
    <w:rsid w:val="001E23B0"/>
    <w:rsid w:val="002C3379"/>
    <w:rsid w:val="003904D4"/>
    <w:rsid w:val="00B811B0"/>
    <w:rsid w:val="00B916D9"/>
    <w:rsid w:val="00C01BEB"/>
    <w:rsid w:val="00C625C9"/>
    <w:rsid w:val="00D731D7"/>
    <w:rsid w:val="00ED72BC"/>
    <w:rsid w:val="00F76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06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4</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金璐</dc:creator>
  <cp:keywords/>
  <dc:description/>
  <cp:lastModifiedBy>ZHONGM</cp:lastModifiedBy>
  <cp:revision>2</cp:revision>
  <dcterms:created xsi:type="dcterms:W3CDTF">2024-08-20T16:01:00Z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gMailInfo000">
    <vt:lpwstr>eyAibWFpbEZyb20iOiAieGlueGlwaWx1QGdsZnVuZC5jb20iLCAicmNwdFRvIjogImxrbEBzc25ld3MuY29tLmNuIiwgIm5hbWUiOiAi5Zu96IGU5Z+66YeR566h55CG5pyJ6ZmQ5YWs5Y+45YWz5LqO57uI5q2i5Lit5rCR6LSi5a+M5Z+66YeR6ZSA5ZSu77yI5LiK5rW377yJ5pyJ6ZmQ5YWs5Y+45Luj6ZSA5pys5YWs5Y+45peX5LiL5Z+</vt:lpwstr>
  </property>
  <property fmtid="{D5CDD505-2E9C-101B-9397-08002B2CF9AE}" pid="3" name="skgMailId">
    <vt:lpwstr>1</vt:lpwstr>
  </property>
</Properties>
</file>