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4A2" w:rsidRDefault="00A8614F">
      <w:pPr>
        <w:pStyle w:val="a4"/>
        <w:spacing w:before="100" w:beforeAutospacing="1" w:line="500" w:lineRule="exact"/>
        <w:ind w:left="822" w:right="471"/>
        <w:jc w:val="center"/>
        <w:rPr>
          <w:b/>
          <w:spacing w:val="-2"/>
          <w:sz w:val="32"/>
          <w:szCs w:val="32"/>
        </w:rPr>
      </w:pPr>
      <w:r>
        <w:rPr>
          <w:b/>
          <w:spacing w:val="-2"/>
          <w:sz w:val="32"/>
          <w:szCs w:val="32"/>
        </w:rPr>
        <w:t>关于增加</w:t>
      </w:r>
      <w:r>
        <w:rPr>
          <w:rFonts w:hint="eastAsia"/>
          <w:b/>
          <w:spacing w:val="-2"/>
          <w:sz w:val="32"/>
          <w:szCs w:val="32"/>
        </w:rPr>
        <w:t>民商基金销售（上海）有限公司</w:t>
      </w:r>
      <w:r>
        <w:rPr>
          <w:b/>
          <w:spacing w:val="-2"/>
          <w:sz w:val="32"/>
          <w:szCs w:val="32"/>
        </w:rPr>
        <w:t>为公司旗下部分基金销售机构同时参与申购费率优惠活动的公告</w:t>
      </w:r>
    </w:p>
    <w:p w:rsidR="00A954A2" w:rsidRDefault="00A8614F" w:rsidP="00A8614F">
      <w:pPr>
        <w:pStyle w:val="a4"/>
        <w:spacing w:beforeLines="300" w:line="370" w:lineRule="auto"/>
        <w:ind w:left="822" w:right="471" w:firstLine="482"/>
        <w:jc w:val="both"/>
      </w:pPr>
      <w:r>
        <w:rPr>
          <w:spacing w:val="-2"/>
        </w:rPr>
        <w:t>经东方基金管理股份有限公司（以下简称</w:t>
      </w:r>
      <w:r>
        <w:rPr>
          <w:spacing w:val="-2"/>
        </w:rPr>
        <w:t>“</w:t>
      </w:r>
      <w:r>
        <w:rPr>
          <w:spacing w:val="-2"/>
        </w:rPr>
        <w:t>本公司</w:t>
      </w:r>
      <w:r>
        <w:rPr>
          <w:spacing w:val="-2"/>
        </w:rPr>
        <w:t>”</w:t>
      </w:r>
      <w:r>
        <w:rPr>
          <w:spacing w:val="-2"/>
        </w:rPr>
        <w:t>）与</w:t>
      </w:r>
      <w:r>
        <w:rPr>
          <w:rFonts w:hint="eastAsia"/>
          <w:spacing w:val="-2"/>
        </w:rPr>
        <w:t>民商基金销售（上海）有限公司</w:t>
      </w:r>
      <w:r>
        <w:rPr>
          <w:spacing w:val="-2"/>
        </w:rPr>
        <w:t>（以下简称</w:t>
      </w:r>
      <w:r>
        <w:rPr>
          <w:spacing w:val="-2"/>
        </w:rPr>
        <w:t>“</w:t>
      </w:r>
      <w:r>
        <w:rPr>
          <w:rFonts w:hint="eastAsia"/>
          <w:spacing w:val="-2"/>
          <w:lang w:val="en-US"/>
        </w:rPr>
        <w:t>民商</w:t>
      </w:r>
      <w:r>
        <w:rPr>
          <w:rFonts w:hint="eastAsia"/>
          <w:spacing w:val="-2"/>
          <w:lang w:val="en-US"/>
        </w:rPr>
        <w:t>基金</w:t>
      </w:r>
      <w:r>
        <w:rPr>
          <w:spacing w:val="-2"/>
        </w:rPr>
        <w:t>”</w:t>
      </w:r>
      <w:r>
        <w:rPr>
          <w:spacing w:val="-2"/>
        </w:rPr>
        <w:t>）协商一致，自</w:t>
      </w:r>
      <w:r>
        <w:rPr>
          <w:spacing w:val="-2"/>
        </w:rPr>
        <w:t>202</w:t>
      </w:r>
      <w:r>
        <w:rPr>
          <w:rFonts w:hint="eastAsia"/>
          <w:spacing w:val="-2"/>
          <w:lang w:val="en-US"/>
        </w:rPr>
        <w:t>4</w:t>
      </w:r>
      <w:r>
        <w:rPr>
          <w:spacing w:val="-2"/>
        </w:rPr>
        <w:t>年</w:t>
      </w:r>
      <w:r>
        <w:rPr>
          <w:rFonts w:hint="eastAsia"/>
          <w:spacing w:val="-2"/>
          <w:lang w:val="en-US"/>
        </w:rPr>
        <w:t>8</w:t>
      </w:r>
      <w:r>
        <w:rPr>
          <w:spacing w:val="-2"/>
        </w:rPr>
        <w:t>月</w:t>
      </w:r>
      <w:r>
        <w:rPr>
          <w:rFonts w:hint="eastAsia"/>
          <w:spacing w:val="-2"/>
          <w:lang w:val="en-US"/>
        </w:rPr>
        <w:t>22</w:t>
      </w:r>
      <w:r>
        <w:rPr>
          <w:spacing w:val="-2"/>
        </w:rPr>
        <w:t>日起，新增</w:t>
      </w:r>
      <w:r>
        <w:rPr>
          <w:rFonts w:hint="eastAsia"/>
          <w:spacing w:val="-2"/>
          <w:lang w:val="en-US"/>
        </w:rPr>
        <w:t>民商</w:t>
      </w:r>
      <w:r>
        <w:rPr>
          <w:rFonts w:hint="eastAsia"/>
          <w:spacing w:val="-2"/>
          <w:lang w:val="en-US"/>
        </w:rPr>
        <w:t>基金</w:t>
      </w:r>
      <w:r>
        <w:rPr>
          <w:spacing w:val="-2"/>
        </w:rPr>
        <w:t>办理本公司旗下部分基金的销售业务（仅限前端申购模式），并参与申购（</w:t>
      </w:r>
      <w:r>
        <w:rPr>
          <w:rFonts w:hint="eastAsia"/>
          <w:spacing w:val="-2"/>
          <w:lang w:val="en-US"/>
        </w:rPr>
        <w:t>不含</w:t>
      </w:r>
      <w:r>
        <w:rPr>
          <w:rFonts w:hint="eastAsia"/>
          <w:lang w:val="en-US"/>
        </w:rPr>
        <w:t>定</w:t>
      </w:r>
      <w:bookmarkStart w:id="0" w:name="_GoBack"/>
      <w:bookmarkEnd w:id="0"/>
      <w:r>
        <w:rPr>
          <w:rFonts w:hint="eastAsia"/>
          <w:lang w:val="en-US"/>
        </w:rPr>
        <w:t>期定额投资和转换转入</w:t>
      </w:r>
      <w:r>
        <w:rPr>
          <w:spacing w:val="-2"/>
        </w:rPr>
        <w:t>）费率优惠活动。现将有关事项公告如下</w:t>
      </w:r>
      <w:r>
        <w:t>：</w:t>
      </w:r>
    </w:p>
    <w:p w:rsidR="00A954A2" w:rsidRDefault="00A8614F" w:rsidP="00A8614F">
      <w:pPr>
        <w:pStyle w:val="Heading1"/>
        <w:spacing w:beforeLines="50" w:after="120"/>
        <w:ind w:left="737"/>
        <w:pPrChange w:id="1" w:author="ZHONGM" w:date="2024-08-21T00:00:00Z">
          <w:pPr>
            <w:pStyle w:val="Heading1"/>
            <w:spacing w:beforeLines="50" w:after="120"/>
            <w:ind w:left="737"/>
          </w:pPr>
        </w:pPrChange>
      </w:pPr>
      <w:r>
        <w:t>一、适用基金范围及业务类型</w:t>
      </w:r>
    </w:p>
    <w:tbl>
      <w:tblPr>
        <w:tblStyle w:val="TableNormal"/>
        <w:tblW w:w="95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5245"/>
        <w:gridCol w:w="1843"/>
        <w:gridCol w:w="1677"/>
      </w:tblGrid>
      <w:tr w:rsidR="00A954A2">
        <w:trPr>
          <w:trHeight w:val="318"/>
          <w:jc w:val="center"/>
        </w:trPr>
        <w:tc>
          <w:tcPr>
            <w:tcW w:w="751" w:type="dxa"/>
            <w:vAlign w:val="center"/>
          </w:tcPr>
          <w:p w:rsidR="00A954A2" w:rsidRDefault="00A8614F">
            <w:pPr>
              <w:pStyle w:val="TableParagraph"/>
              <w:spacing w:before="2"/>
              <w:jc w:val="center"/>
              <w:rPr>
                <w:sz w:val="24"/>
              </w:rPr>
            </w:pPr>
            <w:r>
              <w:rPr>
                <w:sz w:val="24"/>
              </w:rPr>
              <w:t>序号</w:t>
            </w:r>
          </w:p>
        </w:tc>
        <w:tc>
          <w:tcPr>
            <w:tcW w:w="5245" w:type="dxa"/>
            <w:vAlign w:val="center"/>
          </w:tcPr>
          <w:p w:rsidR="00A954A2" w:rsidRDefault="00A8614F">
            <w:pPr>
              <w:pStyle w:val="TableParagraph"/>
              <w:spacing w:before="2"/>
              <w:ind w:left="125" w:right="118"/>
              <w:jc w:val="center"/>
              <w:rPr>
                <w:sz w:val="24"/>
              </w:rPr>
            </w:pPr>
            <w:r>
              <w:rPr>
                <w:sz w:val="24"/>
              </w:rPr>
              <w:t>基金名称</w:t>
            </w:r>
          </w:p>
        </w:tc>
        <w:tc>
          <w:tcPr>
            <w:tcW w:w="1843" w:type="dxa"/>
            <w:vAlign w:val="center"/>
          </w:tcPr>
          <w:p w:rsidR="00A954A2" w:rsidRDefault="00A8614F">
            <w:pPr>
              <w:pStyle w:val="TableParagraph"/>
              <w:spacing w:before="2"/>
              <w:ind w:left="106"/>
              <w:jc w:val="center"/>
              <w:rPr>
                <w:sz w:val="24"/>
              </w:rPr>
            </w:pPr>
            <w:r>
              <w:rPr>
                <w:sz w:val="24"/>
              </w:rPr>
              <w:t>基金代码</w:t>
            </w:r>
          </w:p>
        </w:tc>
        <w:tc>
          <w:tcPr>
            <w:tcW w:w="1677" w:type="dxa"/>
            <w:vAlign w:val="center"/>
          </w:tcPr>
          <w:p w:rsidR="00A954A2" w:rsidRDefault="00A8614F">
            <w:pPr>
              <w:pStyle w:val="TableParagraph"/>
              <w:spacing w:before="2"/>
              <w:ind w:left="61" w:right="57"/>
              <w:jc w:val="center"/>
              <w:rPr>
                <w:sz w:val="24"/>
              </w:rPr>
            </w:pPr>
            <w:r>
              <w:rPr>
                <w:sz w:val="24"/>
              </w:rPr>
              <w:t>开通业务</w:t>
            </w:r>
          </w:p>
        </w:tc>
      </w:tr>
      <w:tr w:rsidR="00A954A2">
        <w:trPr>
          <w:trHeight w:val="103"/>
          <w:jc w:val="center"/>
        </w:trPr>
        <w:tc>
          <w:tcPr>
            <w:tcW w:w="751" w:type="dxa"/>
            <w:vAlign w:val="center"/>
          </w:tcPr>
          <w:p w:rsidR="00A954A2" w:rsidRDefault="00A8614F">
            <w:pPr>
              <w:pStyle w:val="TableParagraph"/>
              <w:spacing w:before="2"/>
              <w:jc w:val="center"/>
              <w:rPr>
                <w:sz w:val="24"/>
              </w:rPr>
            </w:pPr>
            <w:r>
              <w:rPr>
                <w:rFonts w:hint="eastAsia"/>
                <w:sz w:val="24"/>
              </w:rPr>
              <w:t>1</w:t>
            </w:r>
          </w:p>
        </w:tc>
        <w:tc>
          <w:tcPr>
            <w:tcW w:w="5245" w:type="dxa"/>
            <w:vAlign w:val="center"/>
          </w:tcPr>
          <w:p w:rsidR="00A954A2" w:rsidRDefault="00A8614F">
            <w:pPr>
              <w:pStyle w:val="TableParagraph"/>
              <w:spacing w:line="292" w:lineRule="exact"/>
              <w:ind w:left="125" w:right="118"/>
              <w:jc w:val="center"/>
              <w:rPr>
                <w:sz w:val="24"/>
              </w:rPr>
            </w:pPr>
            <w:r>
              <w:rPr>
                <w:sz w:val="24"/>
              </w:rPr>
              <w:t>东方龙混合型开放式证券投资基金</w:t>
            </w:r>
          </w:p>
        </w:tc>
        <w:tc>
          <w:tcPr>
            <w:tcW w:w="1843" w:type="dxa"/>
            <w:vAlign w:val="center"/>
          </w:tcPr>
          <w:p w:rsidR="00A954A2" w:rsidRDefault="00A8614F">
            <w:pPr>
              <w:pStyle w:val="TableParagraph"/>
              <w:spacing w:line="292" w:lineRule="exact"/>
              <w:ind w:left="106"/>
              <w:jc w:val="center"/>
              <w:rPr>
                <w:sz w:val="24"/>
              </w:rPr>
            </w:pPr>
            <w:r>
              <w:rPr>
                <w:sz w:val="24"/>
              </w:rPr>
              <w:t>400001</w:t>
            </w:r>
          </w:p>
        </w:tc>
        <w:tc>
          <w:tcPr>
            <w:tcW w:w="1677" w:type="dxa"/>
            <w:vMerge w:val="restart"/>
            <w:vAlign w:val="center"/>
          </w:tcPr>
          <w:p w:rsidR="00A954A2" w:rsidRDefault="00A8614F">
            <w:pPr>
              <w:pStyle w:val="TableParagraph"/>
              <w:spacing w:before="2"/>
              <w:ind w:left="61" w:right="57"/>
              <w:rPr>
                <w:sz w:val="24"/>
              </w:rPr>
            </w:pPr>
            <w:r>
              <w:t>开户、申购、赎回、定期定额投资、转换业务（仅限前端申购模式</w:t>
            </w:r>
            <w:r>
              <w:t>)</w:t>
            </w:r>
          </w:p>
        </w:tc>
      </w:tr>
      <w:tr w:rsidR="00A954A2">
        <w:trPr>
          <w:trHeight w:val="221"/>
          <w:jc w:val="center"/>
        </w:trPr>
        <w:tc>
          <w:tcPr>
            <w:tcW w:w="751" w:type="dxa"/>
            <w:vAlign w:val="center"/>
          </w:tcPr>
          <w:p w:rsidR="00A954A2" w:rsidRDefault="00A8614F">
            <w:pPr>
              <w:pStyle w:val="TableParagraph"/>
              <w:spacing w:before="2"/>
              <w:jc w:val="center"/>
              <w:rPr>
                <w:sz w:val="24"/>
              </w:rPr>
            </w:pPr>
            <w:r>
              <w:rPr>
                <w:rFonts w:hint="eastAsia"/>
                <w:sz w:val="24"/>
              </w:rPr>
              <w:t>2</w:t>
            </w:r>
          </w:p>
        </w:tc>
        <w:tc>
          <w:tcPr>
            <w:tcW w:w="5245" w:type="dxa"/>
            <w:vAlign w:val="center"/>
          </w:tcPr>
          <w:p w:rsidR="00A954A2" w:rsidRDefault="00A8614F">
            <w:pPr>
              <w:pStyle w:val="TableParagraph"/>
              <w:spacing w:line="292" w:lineRule="exact"/>
              <w:ind w:left="125" w:right="118"/>
              <w:jc w:val="center"/>
              <w:rPr>
                <w:sz w:val="24"/>
              </w:rPr>
            </w:pPr>
            <w:r>
              <w:rPr>
                <w:sz w:val="24"/>
              </w:rPr>
              <w:t>东方精选混合型开放式证券投资基金</w:t>
            </w:r>
          </w:p>
        </w:tc>
        <w:tc>
          <w:tcPr>
            <w:tcW w:w="1843" w:type="dxa"/>
            <w:vAlign w:val="center"/>
          </w:tcPr>
          <w:p w:rsidR="00A954A2" w:rsidRDefault="00A8614F">
            <w:pPr>
              <w:pStyle w:val="TableParagraph"/>
              <w:spacing w:line="292" w:lineRule="exact"/>
              <w:ind w:left="106"/>
              <w:jc w:val="center"/>
              <w:rPr>
                <w:sz w:val="24"/>
              </w:rPr>
            </w:pPr>
            <w:r>
              <w:rPr>
                <w:sz w:val="24"/>
              </w:rPr>
              <w:t>400003(</w:t>
            </w:r>
            <w:r>
              <w:rPr>
                <w:sz w:val="24"/>
              </w:rPr>
              <w:t>前端</w:t>
            </w:r>
            <w:r>
              <w:rPr>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191"/>
          <w:jc w:val="center"/>
        </w:trPr>
        <w:tc>
          <w:tcPr>
            <w:tcW w:w="751" w:type="dxa"/>
            <w:vAlign w:val="center"/>
          </w:tcPr>
          <w:p w:rsidR="00A954A2" w:rsidRDefault="00A8614F">
            <w:pPr>
              <w:pStyle w:val="TableParagraph"/>
              <w:spacing w:before="2"/>
              <w:jc w:val="center"/>
              <w:rPr>
                <w:sz w:val="24"/>
              </w:rPr>
            </w:pPr>
            <w:r>
              <w:rPr>
                <w:rFonts w:hint="eastAsia"/>
                <w:sz w:val="24"/>
              </w:rPr>
              <w:t>3</w:t>
            </w:r>
          </w:p>
        </w:tc>
        <w:tc>
          <w:tcPr>
            <w:tcW w:w="5245" w:type="dxa"/>
            <w:vAlign w:val="center"/>
          </w:tcPr>
          <w:p w:rsidR="00A954A2" w:rsidRDefault="00A8614F">
            <w:pPr>
              <w:pStyle w:val="TableParagraph"/>
              <w:spacing w:line="292" w:lineRule="exact"/>
              <w:ind w:left="125" w:right="118"/>
              <w:jc w:val="center"/>
              <w:rPr>
                <w:sz w:val="24"/>
              </w:rPr>
            </w:pPr>
            <w:r>
              <w:rPr>
                <w:sz w:val="24"/>
              </w:rPr>
              <w:t>东方策略成长混合型开放式证券投资基金</w:t>
            </w:r>
          </w:p>
        </w:tc>
        <w:tc>
          <w:tcPr>
            <w:tcW w:w="1843" w:type="dxa"/>
            <w:vAlign w:val="center"/>
          </w:tcPr>
          <w:p w:rsidR="00A954A2" w:rsidRDefault="00A8614F">
            <w:pPr>
              <w:pStyle w:val="TableParagraph"/>
              <w:spacing w:line="292" w:lineRule="exact"/>
              <w:ind w:left="106"/>
              <w:jc w:val="center"/>
              <w:rPr>
                <w:sz w:val="24"/>
              </w:rPr>
            </w:pPr>
            <w:r>
              <w:rPr>
                <w:sz w:val="24"/>
              </w:rPr>
              <w:t>400007(</w:t>
            </w:r>
            <w:r>
              <w:rPr>
                <w:sz w:val="24"/>
              </w:rPr>
              <w:t>前端</w:t>
            </w:r>
            <w:r>
              <w:rPr>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4</w:t>
            </w:r>
          </w:p>
        </w:tc>
        <w:tc>
          <w:tcPr>
            <w:tcW w:w="5245" w:type="dxa"/>
            <w:vAlign w:val="center"/>
          </w:tcPr>
          <w:p w:rsidR="00A954A2" w:rsidRDefault="00A8614F">
            <w:pPr>
              <w:pStyle w:val="TableParagraph"/>
              <w:ind w:left="125" w:right="118"/>
              <w:jc w:val="center"/>
              <w:rPr>
                <w:sz w:val="24"/>
              </w:rPr>
            </w:pPr>
            <w:r>
              <w:rPr>
                <w:sz w:val="24"/>
              </w:rPr>
              <w:t>东方核心动力混合型证券投资基金</w:t>
            </w:r>
          </w:p>
        </w:tc>
        <w:tc>
          <w:tcPr>
            <w:tcW w:w="1843" w:type="dxa"/>
            <w:vAlign w:val="center"/>
          </w:tcPr>
          <w:p w:rsidR="00A954A2" w:rsidRDefault="00A8614F">
            <w:pPr>
              <w:pStyle w:val="TableParagraph"/>
              <w:ind w:left="106"/>
              <w:jc w:val="center"/>
              <w:rPr>
                <w:sz w:val="24"/>
              </w:rPr>
            </w:pPr>
            <w:r>
              <w:rPr>
                <w:sz w:val="24"/>
              </w:rPr>
              <w:t>400011</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014986</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33"/>
          <w:jc w:val="center"/>
        </w:trPr>
        <w:tc>
          <w:tcPr>
            <w:tcW w:w="751" w:type="dxa"/>
            <w:vAlign w:val="center"/>
          </w:tcPr>
          <w:p w:rsidR="00A954A2" w:rsidRDefault="00A8614F">
            <w:pPr>
              <w:pStyle w:val="TableParagraph"/>
              <w:spacing w:before="2"/>
              <w:jc w:val="center"/>
              <w:rPr>
                <w:sz w:val="24"/>
              </w:rPr>
            </w:pPr>
            <w:r>
              <w:rPr>
                <w:rFonts w:hint="eastAsia"/>
                <w:sz w:val="24"/>
              </w:rPr>
              <w:t>5</w:t>
            </w:r>
          </w:p>
        </w:tc>
        <w:tc>
          <w:tcPr>
            <w:tcW w:w="5245" w:type="dxa"/>
            <w:vAlign w:val="center"/>
          </w:tcPr>
          <w:p w:rsidR="00A954A2" w:rsidRDefault="00A8614F">
            <w:pPr>
              <w:pStyle w:val="TableParagraph"/>
              <w:spacing w:before="2"/>
              <w:ind w:left="125" w:right="118"/>
              <w:jc w:val="center"/>
              <w:rPr>
                <w:sz w:val="24"/>
              </w:rPr>
            </w:pPr>
            <w:r>
              <w:rPr>
                <w:sz w:val="24"/>
              </w:rPr>
              <w:t>东方新能源汽车主题混合型证券投资基金</w:t>
            </w:r>
          </w:p>
        </w:tc>
        <w:tc>
          <w:tcPr>
            <w:tcW w:w="1843" w:type="dxa"/>
            <w:vAlign w:val="center"/>
          </w:tcPr>
          <w:p w:rsidR="00A954A2" w:rsidRDefault="00A8614F">
            <w:pPr>
              <w:pStyle w:val="TableParagraph"/>
              <w:spacing w:before="2"/>
              <w:ind w:left="106"/>
              <w:jc w:val="center"/>
              <w:rPr>
                <w:sz w:val="24"/>
              </w:rPr>
            </w:pPr>
            <w:r>
              <w:rPr>
                <w:sz w:val="24"/>
              </w:rPr>
              <w:t>400015</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61"/>
          <w:jc w:val="center"/>
        </w:trPr>
        <w:tc>
          <w:tcPr>
            <w:tcW w:w="751" w:type="dxa"/>
            <w:vAlign w:val="center"/>
          </w:tcPr>
          <w:p w:rsidR="00A954A2" w:rsidRDefault="00A8614F">
            <w:pPr>
              <w:pStyle w:val="TableParagraph"/>
              <w:spacing w:before="2"/>
              <w:jc w:val="center"/>
              <w:rPr>
                <w:sz w:val="24"/>
              </w:rPr>
            </w:pPr>
            <w:r>
              <w:rPr>
                <w:rFonts w:hint="eastAsia"/>
                <w:sz w:val="24"/>
                <w:lang w:val="en-US"/>
              </w:rPr>
              <w:t>6</w:t>
            </w:r>
          </w:p>
        </w:tc>
        <w:tc>
          <w:tcPr>
            <w:tcW w:w="5245" w:type="dxa"/>
            <w:vAlign w:val="center"/>
          </w:tcPr>
          <w:p w:rsidR="00A954A2" w:rsidRDefault="00A8614F">
            <w:pPr>
              <w:pStyle w:val="TableParagraph"/>
              <w:ind w:left="125" w:right="118"/>
              <w:jc w:val="center"/>
              <w:rPr>
                <w:sz w:val="24"/>
              </w:rPr>
            </w:pPr>
            <w:r>
              <w:rPr>
                <w:sz w:val="24"/>
              </w:rPr>
              <w:t>东方新兴成长混合型证券投资基金</w:t>
            </w:r>
          </w:p>
        </w:tc>
        <w:tc>
          <w:tcPr>
            <w:tcW w:w="1843" w:type="dxa"/>
            <w:vAlign w:val="center"/>
          </w:tcPr>
          <w:p w:rsidR="00A954A2" w:rsidRDefault="00A8614F">
            <w:pPr>
              <w:pStyle w:val="TableParagraph"/>
              <w:ind w:left="106"/>
              <w:jc w:val="center"/>
              <w:rPr>
                <w:sz w:val="24"/>
              </w:rPr>
            </w:pPr>
            <w:r>
              <w:rPr>
                <w:rFonts w:hint="eastAsia"/>
                <w:sz w:val="24"/>
              </w:rPr>
              <w:t>400025</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23"/>
          <w:jc w:val="center"/>
        </w:trPr>
        <w:tc>
          <w:tcPr>
            <w:tcW w:w="751" w:type="dxa"/>
            <w:vAlign w:val="center"/>
          </w:tcPr>
          <w:p w:rsidR="00A954A2" w:rsidRDefault="00A8614F">
            <w:pPr>
              <w:pStyle w:val="TableParagraph"/>
              <w:spacing w:before="2"/>
              <w:jc w:val="center"/>
              <w:rPr>
                <w:sz w:val="24"/>
              </w:rPr>
            </w:pPr>
            <w:r>
              <w:rPr>
                <w:rFonts w:hint="eastAsia"/>
                <w:sz w:val="24"/>
                <w:lang w:val="en-US"/>
              </w:rPr>
              <w:t>7</w:t>
            </w:r>
          </w:p>
        </w:tc>
        <w:tc>
          <w:tcPr>
            <w:tcW w:w="5245" w:type="dxa"/>
            <w:vAlign w:val="center"/>
          </w:tcPr>
          <w:p w:rsidR="00A954A2" w:rsidRDefault="00A8614F">
            <w:pPr>
              <w:pStyle w:val="TableParagraph"/>
              <w:spacing w:before="2" w:line="292" w:lineRule="exact"/>
              <w:ind w:left="125" w:right="118"/>
              <w:jc w:val="center"/>
              <w:rPr>
                <w:sz w:val="24"/>
              </w:rPr>
            </w:pPr>
            <w:r>
              <w:rPr>
                <w:sz w:val="24"/>
              </w:rPr>
              <w:t>东方主题精选混合型证券投资基金</w:t>
            </w:r>
          </w:p>
        </w:tc>
        <w:tc>
          <w:tcPr>
            <w:tcW w:w="1843" w:type="dxa"/>
            <w:vAlign w:val="center"/>
          </w:tcPr>
          <w:p w:rsidR="00A954A2" w:rsidRDefault="00A8614F">
            <w:pPr>
              <w:pStyle w:val="TableParagraph"/>
              <w:spacing w:before="2" w:line="292" w:lineRule="exact"/>
              <w:ind w:left="106"/>
              <w:jc w:val="center"/>
              <w:rPr>
                <w:sz w:val="24"/>
              </w:rPr>
            </w:pPr>
            <w:r>
              <w:rPr>
                <w:sz w:val="24"/>
              </w:rPr>
              <w:t>400032</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8</w:t>
            </w:r>
          </w:p>
        </w:tc>
        <w:tc>
          <w:tcPr>
            <w:tcW w:w="5245" w:type="dxa"/>
            <w:vAlign w:val="center"/>
          </w:tcPr>
          <w:p w:rsidR="00A954A2" w:rsidRDefault="00A8614F">
            <w:pPr>
              <w:pStyle w:val="TableParagraph"/>
              <w:ind w:left="125" w:right="118"/>
              <w:jc w:val="center"/>
              <w:rPr>
                <w:sz w:val="24"/>
              </w:rPr>
            </w:pPr>
            <w:r>
              <w:rPr>
                <w:sz w:val="24"/>
              </w:rPr>
              <w:t>东方惠新灵活配置混合型证券投资基金</w:t>
            </w:r>
          </w:p>
        </w:tc>
        <w:tc>
          <w:tcPr>
            <w:tcW w:w="1843" w:type="dxa"/>
            <w:vAlign w:val="center"/>
          </w:tcPr>
          <w:p w:rsidR="00A954A2" w:rsidRDefault="00A8614F">
            <w:pPr>
              <w:pStyle w:val="TableParagraph"/>
              <w:ind w:left="106"/>
              <w:jc w:val="center"/>
              <w:rPr>
                <w:sz w:val="24"/>
              </w:rPr>
            </w:pPr>
            <w:r>
              <w:rPr>
                <w:sz w:val="24"/>
              </w:rPr>
              <w:t>001198</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002163</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9</w:t>
            </w:r>
          </w:p>
        </w:tc>
        <w:tc>
          <w:tcPr>
            <w:tcW w:w="5245" w:type="dxa"/>
            <w:vAlign w:val="center"/>
          </w:tcPr>
          <w:p w:rsidR="00A954A2" w:rsidRDefault="00A8614F">
            <w:pPr>
              <w:pStyle w:val="TableParagraph"/>
              <w:spacing w:line="307" w:lineRule="exact"/>
              <w:ind w:left="125" w:right="118"/>
              <w:jc w:val="center"/>
              <w:rPr>
                <w:sz w:val="24"/>
              </w:rPr>
            </w:pPr>
            <w:r>
              <w:rPr>
                <w:sz w:val="24"/>
              </w:rPr>
              <w:t>东方睿鑫热点挖掘灵活配置混合型证券投资基金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001120</w:t>
            </w:r>
            <w:r>
              <w:rPr>
                <w:sz w:val="24"/>
              </w:rPr>
              <w:t>（</w:t>
            </w:r>
            <w:r>
              <w:rPr>
                <w:sz w:val="24"/>
              </w:rPr>
              <w:t>A</w:t>
            </w:r>
            <w:r>
              <w:rPr>
                <w:sz w:val="24"/>
              </w:rPr>
              <w:t>类）</w:t>
            </w:r>
          </w:p>
          <w:p w:rsidR="00A954A2" w:rsidRDefault="00A8614F">
            <w:pPr>
              <w:pStyle w:val="TableParagraph"/>
              <w:spacing w:before="5" w:line="292" w:lineRule="exact"/>
              <w:ind w:left="106"/>
              <w:jc w:val="center"/>
              <w:rPr>
                <w:sz w:val="24"/>
              </w:rPr>
            </w:pPr>
            <w:r>
              <w:rPr>
                <w:sz w:val="24"/>
              </w:rPr>
              <w:t>001121</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0</w:t>
            </w:r>
          </w:p>
        </w:tc>
        <w:tc>
          <w:tcPr>
            <w:tcW w:w="5245" w:type="dxa"/>
            <w:vAlign w:val="center"/>
          </w:tcPr>
          <w:p w:rsidR="00A954A2" w:rsidRDefault="00A8614F">
            <w:pPr>
              <w:pStyle w:val="TableParagraph"/>
              <w:spacing w:line="307" w:lineRule="exact"/>
              <w:ind w:left="125" w:right="118"/>
              <w:jc w:val="center"/>
              <w:rPr>
                <w:sz w:val="24"/>
              </w:rPr>
            </w:pPr>
            <w:r>
              <w:rPr>
                <w:sz w:val="24"/>
              </w:rPr>
              <w:t>东方新策略灵活配置混合型证券投资基金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001318</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002060</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1</w:t>
            </w:r>
          </w:p>
        </w:tc>
        <w:tc>
          <w:tcPr>
            <w:tcW w:w="5245" w:type="dxa"/>
            <w:vAlign w:val="center"/>
          </w:tcPr>
          <w:p w:rsidR="00A954A2" w:rsidRDefault="00A8614F">
            <w:pPr>
              <w:pStyle w:val="TableParagraph"/>
              <w:ind w:left="125" w:right="118"/>
              <w:jc w:val="center"/>
              <w:rPr>
                <w:sz w:val="24"/>
              </w:rPr>
            </w:pPr>
            <w:r>
              <w:rPr>
                <w:sz w:val="24"/>
              </w:rPr>
              <w:t>东方新思路灵活配置混合型证券投资基金</w:t>
            </w:r>
          </w:p>
        </w:tc>
        <w:tc>
          <w:tcPr>
            <w:tcW w:w="1843" w:type="dxa"/>
            <w:vAlign w:val="center"/>
          </w:tcPr>
          <w:p w:rsidR="00A954A2" w:rsidRDefault="00A8614F">
            <w:pPr>
              <w:pStyle w:val="TableParagraph"/>
              <w:ind w:left="106"/>
              <w:jc w:val="center"/>
              <w:rPr>
                <w:sz w:val="24"/>
              </w:rPr>
            </w:pPr>
            <w:r>
              <w:rPr>
                <w:sz w:val="24"/>
              </w:rPr>
              <w:t>001384</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001385</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131"/>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2</w:t>
            </w:r>
          </w:p>
        </w:tc>
        <w:tc>
          <w:tcPr>
            <w:tcW w:w="5245" w:type="dxa"/>
            <w:vAlign w:val="center"/>
          </w:tcPr>
          <w:p w:rsidR="00A954A2" w:rsidRDefault="00A8614F">
            <w:pPr>
              <w:pStyle w:val="TableParagraph"/>
              <w:spacing w:line="292" w:lineRule="exact"/>
              <w:ind w:left="125" w:right="118"/>
              <w:jc w:val="center"/>
              <w:rPr>
                <w:sz w:val="24"/>
              </w:rPr>
            </w:pPr>
            <w:r>
              <w:rPr>
                <w:sz w:val="24"/>
              </w:rPr>
              <w:t>东方创新科技混合型证券投资基金</w:t>
            </w:r>
          </w:p>
        </w:tc>
        <w:tc>
          <w:tcPr>
            <w:tcW w:w="1843" w:type="dxa"/>
            <w:vAlign w:val="center"/>
          </w:tcPr>
          <w:p w:rsidR="00A954A2" w:rsidRDefault="00A8614F">
            <w:pPr>
              <w:pStyle w:val="TableParagraph"/>
              <w:spacing w:line="292" w:lineRule="exact"/>
              <w:ind w:left="106"/>
              <w:jc w:val="center"/>
              <w:rPr>
                <w:sz w:val="24"/>
              </w:rPr>
            </w:pPr>
            <w:r>
              <w:rPr>
                <w:sz w:val="24"/>
              </w:rPr>
              <w:t>001702</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35"/>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3</w:t>
            </w:r>
          </w:p>
        </w:tc>
        <w:tc>
          <w:tcPr>
            <w:tcW w:w="5245" w:type="dxa"/>
            <w:vAlign w:val="center"/>
          </w:tcPr>
          <w:p w:rsidR="00A954A2" w:rsidRDefault="00A8614F">
            <w:pPr>
              <w:pStyle w:val="TableParagraph"/>
              <w:spacing w:line="292" w:lineRule="exact"/>
              <w:ind w:left="125" w:right="118"/>
              <w:jc w:val="center"/>
              <w:rPr>
                <w:sz w:val="24"/>
              </w:rPr>
            </w:pPr>
            <w:r>
              <w:rPr>
                <w:sz w:val="24"/>
              </w:rPr>
              <w:t>东方互联网嘉混合型证券投资基金</w:t>
            </w:r>
          </w:p>
        </w:tc>
        <w:tc>
          <w:tcPr>
            <w:tcW w:w="1843" w:type="dxa"/>
            <w:vAlign w:val="center"/>
          </w:tcPr>
          <w:p w:rsidR="00A954A2" w:rsidRDefault="00A8614F">
            <w:pPr>
              <w:pStyle w:val="TableParagraph"/>
              <w:spacing w:line="292" w:lineRule="exact"/>
              <w:ind w:left="106"/>
              <w:jc w:val="center"/>
              <w:rPr>
                <w:sz w:val="24"/>
              </w:rPr>
            </w:pPr>
            <w:r>
              <w:rPr>
                <w:sz w:val="24"/>
              </w:rPr>
              <w:t>002174</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90"/>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4</w:t>
            </w:r>
          </w:p>
        </w:tc>
        <w:tc>
          <w:tcPr>
            <w:tcW w:w="5245" w:type="dxa"/>
            <w:vAlign w:val="center"/>
          </w:tcPr>
          <w:p w:rsidR="00A954A2" w:rsidRDefault="00A8614F">
            <w:pPr>
              <w:pStyle w:val="TableParagraph"/>
              <w:spacing w:before="2"/>
              <w:ind w:left="125" w:right="118"/>
              <w:jc w:val="center"/>
              <w:rPr>
                <w:sz w:val="24"/>
              </w:rPr>
            </w:pPr>
            <w:r>
              <w:rPr>
                <w:sz w:val="24"/>
              </w:rPr>
              <w:t>东方盛世灵活配置混合型证券投资基金</w:t>
            </w:r>
          </w:p>
        </w:tc>
        <w:tc>
          <w:tcPr>
            <w:tcW w:w="1843" w:type="dxa"/>
            <w:vAlign w:val="center"/>
          </w:tcPr>
          <w:p w:rsidR="00A954A2" w:rsidRDefault="00A8614F">
            <w:pPr>
              <w:pStyle w:val="TableParagraph"/>
              <w:spacing w:before="2"/>
              <w:ind w:left="106"/>
              <w:jc w:val="center"/>
              <w:rPr>
                <w:sz w:val="24"/>
              </w:rPr>
            </w:pPr>
            <w:r>
              <w:rPr>
                <w:sz w:val="24"/>
              </w:rPr>
              <w:t>002497</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009590</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90"/>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15</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东方区域发展混合型证券投资基金</w:t>
            </w:r>
          </w:p>
        </w:tc>
        <w:tc>
          <w:tcPr>
            <w:tcW w:w="1843" w:type="dxa"/>
            <w:vAlign w:val="center"/>
          </w:tcPr>
          <w:p w:rsidR="00A954A2" w:rsidRDefault="00A8614F">
            <w:pPr>
              <w:pStyle w:val="TableParagraph"/>
              <w:spacing w:line="292" w:lineRule="exact"/>
              <w:ind w:left="106"/>
              <w:jc w:val="center"/>
              <w:rPr>
                <w:sz w:val="24"/>
                <w:lang w:val="en-US"/>
              </w:rPr>
            </w:pPr>
            <w:r>
              <w:rPr>
                <w:rFonts w:hint="eastAsia"/>
                <w:sz w:val="24"/>
                <w:lang w:val="en-US"/>
              </w:rPr>
              <w:t>001614</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130"/>
          <w:jc w:val="center"/>
        </w:trPr>
        <w:tc>
          <w:tcPr>
            <w:tcW w:w="751" w:type="dxa"/>
            <w:vAlign w:val="center"/>
          </w:tcPr>
          <w:p w:rsidR="00A954A2" w:rsidRDefault="00A8614F">
            <w:pPr>
              <w:pStyle w:val="TableParagraph"/>
              <w:spacing w:before="2"/>
              <w:jc w:val="center"/>
              <w:rPr>
                <w:sz w:val="24"/>
              </w:rPr>
            </w:pPr>
            <w:r>
              <w:rPr>
                <w:rFonts w:hint="eastAsia"/>
                <w:sz w:val="24"/>
              </w:rPr>
              <w:t>1</w:t>
            </w:r>
            <w:r>
              <w:rPr>
                <w:rFonts w:hint="eastAsia"/>
                <w:sz w:val="24"/>
                <w:lang w:val="en-US"/>
              </w:rPr>
              <w:t>6</w:t>
            </w:r>
          </w:p>
        </w:tc>
        <w:tc>
          <w:tcPr>
            <w:tcW w:w="5245" w:type="dxa"/>
            <w:vAlign w:val="center"/>
          </w:tcPr>
          <w:p w:rsidR="00A954A2" w:rsidRDefault="00A8614F">
            <w:pPr>
              <w:pStyle w:val="TableParagraph"/>
              <w:ind w:left="125" w:right="118"/>
              <w:jc w:val="center"/>
              <w:rPr>
                <w:sz w:val="24"/>
              </w:rPr>
            </w:pPr>
            <w:r>
              <w:rPr>
                <w:sz w:val="24"/>
              </w:rPr>
              <w:t>东方岳灵活配置混合型证券投资基金</w:t>
            </w:r>
          </w:p>
        </w:tc>
        <w:tc>
          <w:tcPr>
            <w:tcW w:w="1843" w:type="dxa"/>
            <w:vAlign w:val="center"/>
          </w:tcPr>
          <w:p w:rsidR="00A954A2" w:rsidRDefault="00A8614F">
            <w:pPr>
              <w:pStyle w:val="TableParagraph"/>
              <w:ind w:left="106"/>
              <w:jc w:val="center"/>
              <w:rPr>
                <w:sz w:val="24"/>
              </w:rPr>
            </w:pPr>
            <w:r>
              <w:rPr>
                <w:sz w:val="24"/>
              </w:rPr>
              <w:t>002545</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558"/>
          <w:jc w:val="center"/>
        </w:trPr>
        <w:tc>
          <w:tcPr>
            <w:tcW w:w="751" w:type="dxa"/>
            <w:vAlign w:val="center"/>
          </w:tcPr>
          <w:p w:rsidR="00A954A2" w:rsidRDefault="00A8614F">
            <w:pPr>
              <w:pStyle w:val="TableParagraph"/>
              <w:spacing w:before="2"/>
              <w:jc w:val="center"/>
              <w:rPr>
                <w:sz w:val="24"/>
              </w:rPr>
            </w:pPr>
            <w:r>
              <w:rPr>
                <w:rFonts w:hint="eastAsia"/>
                <w:sz w:val="24"/>
              </w:rPr>
              <w:lastRenderedPageBreak/>
              <w:t>1</w:t>
            </w:r>
            <w:r>
              <w:rPr>
                <w:rFonts w:hint="eastAsia"/>
                <w:sz w:val="24"/>
                <w:lang w:val="en-US"/>
              </w:rPr>
              <w:t>7</w:t>
            </w:r>
          </w:p>
        </w:tc>
        <w:tc>
          <w:tcPr>
            <w:tcW w:w="5245" w:type="dxa"/>
            <w:vAlign w:val="center"/>
          </w:tcPr>
          <w:p w:rsidR="00A954A2" w:rsidRDefault="00A8614F">
            <w:pPr>
              <w:pStyle w:val="TableParagraph"/>
              <w:spacing w:before="2"/>
              <w:ind w:left="125" w:right="118"/>
              <w:jc w:val="center"/>
              <w:rPr>
                <w:sz w:val="24"/>
              </w:rPr>
            </w:pPr>
            <w:r>
              <w:rPr>
                <w:sz w:val="24"/>
              </w:rPr>
              <w:t>东方民丰回报赢安混合型证券投资基金</w:t>
            </w:r>
          </w:p>
        </w:tc>
        <w:tc>
          <w:tcPr>
            <w:tcW w:w="1843" w:type="dxa"/>
            <w:vAlign w:val="center"/>
          </w:tcPr>
          <w:p w:rsidR="00A954A2" w:rsidRDefault="00A8614F">
            <w:pPr>
              <w:pStyle w:val="TableParagraph"/>
              <w:spacing w:before="2"/>
              <w:ind w:left="106"/>
              <w:jc w:val="center"/>
              <w:rPr>
                <w:sz w:val="24"/>
              </w:rPr>
            </w:pPr>
            <w:r>
              <w:rPr>
                <w:sz w:val="24"/>
              </w:rPr>
              <w:t>004005</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004006</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43"/>
          <w:jc w:val="center"/>
        </w:trPr>
        <w:tc>
          <w:tcPr>
            <w:tcW w:w="751" w:type="dxa"/>
            <w:vAlign w:val="center"/>
          </w:tcPr>
          <w:p w:rsidR="00A954A2" w:rsidRDefault="00A8614F">
            <w:pPr>
              <w:pStyle w:val="TableParagraph"/>
              <w:spacing w:before="2"/>
              <w:jc w:val="center"/>
              <w:rPr>
                <w:sz w:val="24"/>
              </w:rPr>
            </w:pPr>
            <w:r>
              <w:rPr>
                <w:rFonts w:hint="eastAsia"/>
                <w:sz w:val="24"/>
                <w:lang w:val="en-US"/>
              </w:rPr>
              <w:t>18</w:t>
            </w:r>
          </w:p>
        </w:tc>
        <w:tc>
          <w:tcPr>
            <w:tcW w:w="5245" w:type="dxa"/>
            <w:vAlign w:val="center"/>
          </w:tcPr>
          <w:p w:rsidR="00A954A2" w:rsidRDefault="00A8614F">
            <w:pPr>
              <w:pStyle w:val="TableParagraph"/>
              <w:ind w:left="125" w:right="118"/>
              <w:jc w:val="center"/>
              <w:rPr>
                <w:sz w:val="24"/>
              </w:rPr>
            </w:pPr>
            <w:r>
              <w:rPr>
                <w:sz w:val="24"/>
              </w:rPr>
              <w:t>东方周期优选灵活配置混合型证券投资基金</w:t>
            </w:r>
          </w:p>
        </w:tc>
        <w:tc>
          <w:tcPr>
            <w:tcW w:w="1843" w:type="dxa"/>
            <w:vAlign w:val="center"/>
          </w:tcPr>
          <w:p w:rsidR="00A954A2" w:rsidRDefault="00A8614F">
            <w:pPr>
              <w:pStyle w:val="TableParagraph"/>
              <w:ind w:left="106"/>
              <w:jc w:val="center"/>
              <w:rPr>
                <w:sz w:val="24"/>
              </w:rPr>
            </w:pPr>
            <w:r>
              <w:rPr>
                <w:sz w:val="24"/>
              </w:rPr>
              <w:t>004244</w:t>
            </w:r>
            <w:r>
              <w:rPr>
                <w:rFonts w:hint="eastAsia"/>
                <w:sz w:val="24"/>
              </w:rPr>
              <w:t>（</w:t>
            </w:r>
            <w:r>
              <w:rPr>
                <w:rFonts w:hint="eastAsia"/>
                <w:sz w:val="24"/>
                <w:lang w:val="en-US"/>
              </w:rPr>
              <w:t>A</w:t>
            </w:r>
            <w:r>
              <w:rPr>
                <w:rFonts w:hint="eastAsia"/>
                <w:sz w:val="24"/>
                <w:lang w:val="en-US"/>
              </w:rPr>
              <w:t>类</w:t>
            </w:r>
            <w:r>
              <w:rPr>
                <w:rFonts w:hint="eastAsia"/>
                <w:sz w:val="24"/>
              </w:rPr>
              <w:t>）</w:t>
            </w:r>
          </w:p>
          <w:p w:rsidR="00A954A2" w:rsidRDefault="00A8614F">
            <w:pPr>
              <w:pStyle w:val="TableParagraph"/>
              <w:ind w:left="106"/>
              <w:jc w:val="center"/>
              <w:rPr>
                <w:sz w:val="24"/>
                <w:lang w:val="en-US"/>
              </w:rPr>
            </w:pPr>
            <w:r>
              <w:rPr>
                <w:rFonts w:hint="eastAsia"/>
                <w:sz w:val="24"/>
                <w:lang w:val="en-US"/>
              </w:rPr>
              <w:t>021478</w:t>
            </w:r>
            <w:r>
              <w:rPr>
                <w:rFonts w:hint="eastAsia"/>
                <w:sz w:val="24"/>
                <w:lang w:val="en-US"/>
              </w:rPr>
              <w:t>（</w:t>
            </w:r>
            <w:r>
              <w:rPr>
                <w:rFonts w:hint="eastAsia"/>
                <w:sz w:val="24"/>
                <w:lang w:val="en-US"/>
              </w:rPr>
              <w:t>C</w:t>
            </w:r>
            <w:r>
              <w:rPr>
                <w:rFonts w:hint="eastAsia"/>
                <w:sz w:val="24"/>
                <w:lang w:val="en-US"/>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76"/>
          <w:jc w:val="center"/>
        </w:trPr>
        <w:tc>
          <w:tcPr>
            <w:tcW w:w="751" w:type="dxa"/>
            <w:vAlign w:val="center"/>
          </w:tcPr>
          <w:p w:rsidR="00A954A2" w:rsidRDefault="00A8614F">
            <w:pPr>
              <w:pStyle w:val="TableParagraph"/>
              <w:spacing w:before="2"/>
              <w:jc w:val="center"/>
              <w:rPr>
                <w:sz w:val="24"/>
              </w:rPr>
            </w:pPr>
            <w:r>
              <w:rPr>
                <w:rFonts w:hint="eastAsia"/>
                <w:sz w:val="24"/>
                <w:lang w:val="en-US"/>
              </w:rPr>
              <w:t>19</w:t>
            </w:r>
          </w:p>
        </w:tc>
        <w:tc>
          <w:tcPr>
            <w:tcW w:w="5245" w:type="dxa"/>
            <w:vAlign w:val="center"/>
          </w:tcPr>
          <w:p w:rsidR="00A954A2" w:rsidRDefault="00A8614F">
            <w:pPr>
              <w:pStyle w:val="TableParagraph"/>
              <w:spacing w:line="307" w:lineRule="exact"/>
              <w:ind w:left="125" w:right="118"/>
              <w:jc w:val="center"/>
              <w:rPr>
                <w:sz w:val="24"/>
              </w:rPr>
            </w:pPr>
            <w:r>
              <w:rPr>
                <w:sz w:val="24"/>
              </w:rPr>
              <w:t>东方支柱产业灵活配置混合型证券投资基金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004205</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0</w:t>
            </w:r>
          </w:p>
        </w:tc>
        <w:tc>
          <w:tcPr>
            <w:tcW w:w="5245" w:type="dxa"/>
            <w:vAlign w:val="center"/>
          </w:tcPr>
          <w:p w:rsidR="00A954A2" w:rsidRDefault="00A8614F">
            <w:pPr>
              <w:pStyle w:val="TableParagraph"/>
              <w:spacing w:line="307" w:lineRule="exact"/>
              <w:ind w:left="205"/>
              <w:jc w:val="center"/>
              <w:rPr>
                <w:sz w:val="24"/>
              </w:rPr>
            </w:pPr>
            <w:r>
              <w:rPr>
                <w:sz w:val="24"/>
              </w:rPr>
              <w:t>东方成长收益灵活配置混合型证券投资基金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400013</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007687</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43"/>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1</w:t>
            </w:r>
          </w:p>
        </w:tc>
        <w:tc>
          <w:tcPr>
            <w:tcW w:w="5245" w:type="dxa"/>
            <w:vAlign w:val="center"/>
          </w:tcPr>
          <w:p w:rsidR="00A954A2" w:rsidRDefault="00A8614F">
            <w:pPr>
              <w:pStyle w:val="TableParagraph"/>
              <w:spacing w:line="292" w:lineRule="exact"/>
              <w:ind w:left="125" w:right="118"/>
              <w:jc w:val="center"/>
              <w:rPr>
                <w:sz w:val="24"/>
                <w:lang w:val="en-US"/>
              </w:rPr>
            </w:pPr>
            <w:r>
              <w:rPr>
                <w:sz w:val="24"/>
              </w:rPr>
              <w:t>东方量化成长灵活配置混合型证券</w:t>
            </w:r>
            <w:r>
              <w:rPr>
                <w:rFonts w:hint="eastAsia"/>
                <w:sz w:val="24"/>
                <w:lang w:val="en-US"/>
              </w:rPr>
              <w:t>基金</w:t>
            </w:r>
          </w:p>
        </w:tc>
        <w:tc>
          <w:tcPr>
            <w:tcW w:w="1843" w:type="dxa"/>
            <w:vAlign w:val="center"/>
          </w:tcPr>
          <w:p w:rsidR="00A954A2" w:rsidRDefault="00A8614F">
            <w:pPr>
              <w:pStyle w:val="TableParagraph"/>
              <w:spacing w:line="292" w:lineRule="exact"/>
              <w:ind w:left="106"/>
              <w:jc w:val="center"/>
              <w:rPr>
                <w:sz w:val="24"/>
              </w:rPr>
            </w:pPr>
            <w:r>
              <w:rPr>
                <w:sz w:val="24"/>
              </w:rPr>
              <w:t>005616</w:t>
            </w:r>
            <w:r>
              <w:rPr>
                <w:rFonts w:hint="eastAsia"/>
                <w:sz w:val="24"/>
              </w:rPr>
              <w:t>（</w:t>
            </w:r>
            <w:r>
              <w:rPr>
                <w:sz w:val="24"/>
              </w:rPr>
              <w:t>A</w:t>
            </w:r>
            <w:r>
              <w:rPr>
                <w:sz w:val="24"/>
              </w:rPr>
              <w:t>类</w:t>
            </w:r>
            <w:r>
              <w:rPr>
                <w:rFonts w:hint="eastAsia"/>
                <w:sz w:val="24"/>
              </w:rPr>
              <w:t>）</w:t>
            </w:r>
          </w:p>
          <w:p w:rsidR="00A954A2" w:rsidRDefault="00A8614F">
            <w:pPr>
              <w:pStyle w:val="TableParagraph"/>
              <w:spacing w:line="292" w:lineRule="exact"/>
              <w:ind w:left="106"/>
              <w:jc w:val="center"/>
              <w:rPr>
                <w:sz w:val="24"/>
              </w:rPr>
            </w:pPr>
            <w:r>
              <w:rPr>
                <w:rFonts w:hint="eastAsia"/>
                <w:sz w:val="24"/>
              </w:rPr>
              <w:t>020126</w:t>
            </w:r>
            <w:r>
              <w:rPr>
                <w:rFonts w:hint="eastAsia"/>
                <w:sz w:val="24"/>
              </w:rPr>
              <w:t>（</w:t>
            </w:r>
            <w:r>
              <w:rPr>
                <w:sz w:val="24"/>
              </w:rPr>
              <w:t>C</w:t>
            </w:r>
            <w:r>
              <w:rPr>
                <w:sz w:val="24"/>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123"/>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2</w:t>
            </w:r>
          </w:p>
        </w:tc>
        <w:tc>
          <w:tcPr>
            <w:tcW w:w="5245" w:type="dxa"/>
            <w:vAlign w:val="center"/>
          </w:tcPr>
          <w:p w:rsidR="00A954A2" w:rsidRDefault="00A8614F">
            <w:pPr>
              <w:pStyle w:val="TableParagraph"/>
              <w:ind w:left="125" w:right="118"/>
              <w:jc w:val="center"/>
              <w:rPr>
                <w:sz w:val="24"/>
              </w:rPr>
            </w:pPr>
            <w:r>
              <w:rPr>
                <w:sz w:val="24"/>
              </w:rPr>
              <w:t>东方人工智能主题混合型证券投资基金</w:t>
            </w:r>
          </w:p>
        </w:tc>
        <w:tc>
          <w:tcPr>
            <w:tcW w:w="1843" w:type="dxa"/>
            <w:vAlign w:val="center"/>
          </w:tcPr>
          <w:p w:rsidR="00A954A2" w:rsidRDefault="00A8614F">
            <w:pPr>
              <w:pStyle w:val="TableParagraph"/>
              <w:ind w:left="106"/>
              <w:jc w:val="center"/>
              <w:rPr>
                <w:sz w:val="24"/>
              </w:rPr>
            </w:pPr>
            <w:r>
              <w:rPr>
                <w:sz w:val="24"/>
              </w:rPr>
              <w:t>005844</w:t>
            </w:r>
            <w:r>
              <w:rPr>
                <w:rFonts w:hint="eastAsia"/>
                <w:sz w:val="24"/>
              </w:rPr>
              <w:t>（</w:t>
            </w:r>
            <w:r>
              <w:rPr>
                <w:sz w:val="24"/>
              </w:rPr>
              <w:t>A</w:t>
            </w:r>
            <w:r>
              <w:rPr>
                <w:sz w:val="24"/>
              </w:rPr>
              <w:t>类</w:t>
            </w:r>
            <w:r>
              <w:rPr>
                <w:rFonts w:hint="eastAsia"/>
                <w:sz w:val="24"/>
              </w:rPr>
              <w:t>）</w:t>
            </w:r>
          </w:p>
          <w:p w:rsidR="00A954A2" w:rsidRDefault="00A8614F">
            <w:pPr>
              <w:pStyle w:val="TableParagraph"/>
              <w:ind w:left="106"/>
              <w:jc w:val="center"/>
              <w:rPr>
                <w:sz w:val="24"/>
              </w:rPr>
            </w:pPr>
            <w:r>
              <w:rPr>
                <w:rFonts w:hint="eastAsia"/>
                <w:sz w:val="24"/>
              </w:rPr>
              <w:t>017811</w:t>
            </w:r>
            <w:r>
              <w:rPr>
                <w:rFonts w:hint="eastAsia"/>
                <w:sz w:val="24"/>
              </w:rPr>
              <w:t>（</w:t>
            </w:r>
            <w:r>
              <w:rPr>
                <w:sz w:val="24"/>
              </w:rPr>
              <w:t>C</w:t>
            </w:r>
            <w:r>
              <w:rPr>
                <w:sz w:val="24"/>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3</w:t>
            </w:r>
          </w:p>
        </w:tc>
        <w:tc>
          <w:tcPr>
            <w:tcW w:w="5245" w:type="dxa"/>
            <w:vAlign w:val="center"/>
          </w:tcPr>
          <w:p w:rsidR="00A954A2" w:rsidRDefault="00A8614F">
            <w:pPr>
              <w:pStyle w:val="TableParagraph"/>
              <w:spacing w:line="307" w:lineRule="exact"/>
              <w:ind w:left="125" w:right="118"/>
              <w:jc w:val="center"/>
              <w:rPr>
                <w:sz w:val="24"/>
              </w:rPr>
            </w:pPr>
            <w:r>
              <w:rPr>
                <w:sz w:val="24"/>
              </w:rPr>
              <w:t>东方量化多策略混合型证券投资基金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006785</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014724</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151"/>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4</w:t>
            </w:r>
          </w:p>
        </w:tc>
        <w:tc>
          <w:tcPr>
            <w:tcW w:w="5245" w:type="dxa"/>
            <w:vAlign w:val="center"/>
          </w:tcPr>
          <w:p w:rsidR="00A954A2" w:rsidRDefault="00A8614F">
            <w:pPr>
              <w:pStyle w:val="TableParagraph"/>
              <w:spacing w:line="307" w:lineRule="exact"/>
              <w:ind w:left="125" w:right="118"/>
              <w:jc w:val="center"/>
              <w:rPr>
                <w:sz w:val="24"/>
              </w:rPr>
            </w:pPr>
            <w:r>
              <w:rPr>
                <w:sz w:val="24"/>
              </w:rPr>
              <w:t>东方城镇消费主题混合型证券投资基金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006235</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5</w:t>
            </w:r>
          </w:p>
        </w:tc>
        <w:tc>
          <w:tcPr>
            <w:tcW w:w="5245" w:type="dxa"/>
            <w:vAlign w:val="center"/>
          </w:tcPr>
          <w:p w:rsidR="00A954A2" w:rsidRDefault="00A8614F">
            <w:pPr>
              <w:pStyle w:val="TableParagraph"/>
              <w:spacing w:line="307" w:lineRule="exact"/>
              <w:ind w:left="125" w:right="118"/>
              <w:jc w:val="center"/>
              <w:rPr>
                <w:sz w:val="24"/>
              </w:rPr>
            </w:pPr>
            <w:r>
              <w:rPr>
                <w:sz w:val="24"/>
              </w:rPr>
              <w:t>东方欣益一年持有期偏债混合型证券投资基金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009937</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009938</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43"/>
          <w:jc w:val="center"/>
        </w:trPr>
        <w:tc>
          <w:tcPr>
            <w:tcW w:w="751" w:type="dxa"/>
            <w:vAlign w:val="center"/>
          </w:tcPr>
          <w:p w:rsidR="00A954A2" w:rsidRDefault="00A8614F">
            <w:pPr>
              <w:pStyle w:val="TableParagraph"/>
              <w:spacing w:before="2"/>
              <w:jc w:val="center"/>
              <w:rPr>
                <w:sz w:val="24"/>
              </w:rPr>
            </w:pPr>
            <w:r>
              <w:rPr>
                <w:rFonts w:hint="eastAsia"/>
                <w:sz w:val="24"/>
              </w:rPr>
              <w:t>2</w:t>
            </w:r>
            <w:r>
              <w:rPr>
                <w:rFonts w:hint="eastAsia"/>
                <w:sz w:val="24"/>
                <w:lang w:val="en-US"/>
              </w:rPr>
              <w:t>6</w:t>
            </w:r>
          </w:p>
        </w:tc>
        <w:tc>
          <w:tcPr>
            <w:tcW w:w="5245" w:type="dxa"/>
            <w:vAlign w:val="center"/>
          </w:tcPr>
          <w:p w:rsidR="00A954A2" w:rsidRDefault="00A8614F">
            <w:pPr>
              <w:pStyle w:val="TableParagraph"/>
              <w:spacing w:line="292" w:lineRule="exact"/>
              <w:ind w:left="125" w:right="118"/>
              <w:jc w:val="center"/>
              <w:rPr>
                <w:sz w:val="24"/>
              </w:rPr>
            </w:pPr>
            <w:r>
              <w:rPr>
                <w:sz w:val="24"/>
              </w:rPr>
              <w:t>东方中国红利混合型证券投资基金</w:t>
            </w:r>
          </w:p>
        </w:tc>
        <w:tc>
          <w:tcPr>
            <w:tcW w:w="1843" w:type="dxa"/>
            <w:vAlign w:val="center"/>
          </w:tcPr>
          <w:p w:rsidR="00A954A2" w:rsidRDefault="00A8614F">
            <w:pPr>
              <w:pStyle w:val="TableParagraph"/>
              <w:spacing w:line="292" w:lineRule="exact"/>
              <w:ind w:left="106"/>
              <w:jc w:val="center"/>
              <w:rPr>
                <w:sz w:val="24"/>
              </w:rPr>
            </w:pPr>
            <w:r>
              <w:rPr>
                <w:sz w:val="24"/>
              </w:rPr>
              <w:t>009999</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27</w:t>
            </w:r>
          </w:p>
        </w:tc>
        <w:tc>
          <w:tcPr>
            <w:tcW w:w="5245" w:type="dxa"/>
            <w:vAlign w:val="center"/>
          </w:tcPr>
          <w:p w:rsidR="00A954A2" w:rsidRDefault="00A8614F">
            <w:pPr>
              <w:pStyle w:val="TableParagraph"/>
              <w:spacing w:line="292" w:lineRule="exact"/>
              <w:ind w:left="125" w:right="118"/>
              <w:jc w:val="center"/>
              <w:rPr>
                <w:sz w:val="24"/>
              </w:rPr>
            </w:pPr>
            <w:r>
              <w:rPr>
                <w:sz w:val="24"/>
              </w:rPr>
              <w:t>东方鑫享</w:t>
            </w:r>
            <w:r>
              <w:rPr>
                <w:rFonts w:hint="eastAsia"/>
                <w:sz w:val="24"/>
              </w:rPr>
              <w:t>价值成长一年持有期混合型证券投资基金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w:t>
            </w:r>
            <w:r>
              <w:rPr>
                <w:rFonts w:hint="eastAsia"/>
                <w:sz w:val="24"/>
              </w:rPr>
              <w:t>11458</w:t>
            </w:r>
            <w:r>
              <w:rPr>
                <w:sz w:val="24"/>
              </w:rPr>
              <w:t>（</w:t>
            </w:r>
            <w:r>
              <w:rPr>
                <w:sz w:val="24"/>
              </w:rPr>
              <w:t>A</w:t>
            </w:r>
            <w:r>
              <w:rPr>
                <w:sz w:val="24"/>
              </w:rPr>
              <w:t>类）</w:t>
            </w:r>
          </w:p>
          <w:p w:rsidR="00A954A2" w:rsidRDefault="00A8614F">
            <w:pPr>
              <w:pStyle w:val="TableParagraph"/>
              <w:spacing w:line="292" w:lineRule="exact"/>
              <w:ind w:left="106"/>
              <w:jc w:val="center"/>
              <w:rPr>
                <w:sz w:val="24"/>
              </w:rPr>
            </w:pPr>
            <w:r>
              <w:rPr>
                <w:sz w:val="24"/>
              </w:rPr>
              <w:t>0</w:t>
            </w:r>
            <w:r>
              <w:rPr>
                <w:rFonts w:hint="eastAsia"/>
                <w:sz w:val="24"/>
              </w:rPr>
              <w:t>11459</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28</w:t>
            </w:r>
          </w:p>
        </w:tc>
        <w:tc>
          <w:tcPr>
            <w:tcW w:w="5245" w:type="dxa"/>
            <w:vAlign w:val="center"/>
          </w:tcPr>
          <w:p w:rsidR="00A954A2" w:rsidRDefault="00A8614F">
            <w:pPr>
              <w:pStyle w:val="TableParagraph"/>
              <w:spacing w:line="307" w:lineRule="exact"/>
              <w:ind w:left="125" w:right="118"/>
              <w:jc w:val="center"/>
              <w:rPr>
                <w:sz w:val="24"/>
              </w:rPr>
            </w:pPr>
            <w:r>
              <w:rPr>
                <w:sz w:val="24"/>
              </w:rPr>
              <w:t>东方品质消费一年持有期混合型证券投资基金</w:t>
            </w:r>
          </w:p>
        </w:tc>
        <w:tc>
          <w:tcPr>
            <w:tcW w:w="1843" w:type="dxa"/>
            <w:vAlign w:val="center"/>
          </w:tcPr>
          <w:p w:rsidR="00A954A2" w:rsidRDefault="00A8614F">
            <w:pPr>
              <w:pStyle w:val="TableParagraph"/>
              <w:spacing w:line="307" w:lineRule="exact"/>
              <w:ind w:left="106"/>
              <w:jc w:val="center"/>
              <w:rPr>
                <w:sz w:val="24"/>
              </w:rPr>
            </w:pPr>
            <w:r>
              <w:rPr>
                <w:sz w:val="24"/>
              </w:rPr>
              <w:t>012506</w:t>
            </w:r>
            <w:r>
              <w:rPr>
                <w:sz w:val="24"/>
              </w:rPr>
              <w:t>（</w:t>
            </w:r>
            <w:r>
              <w:rPr>
                <w:sz w:val="24"/>
              </w:rPr>
              <w:t>A</w:t>
            </w:r>
            <w:r>
              <w:rPr>
                <w:sz w:val="24"/>
              </w:rPr>
              <w:t>类）</w:t>
            </w:r>
          </w:p>
          <w:p w:rsidR="00A954A2" w:rsidRDefault="00A8614F">
            <w:pPr>
              <w:pStyle w:val="TableParagraph"/>
              <w:spacing w:before="5" w:line="292" w:lineRule="exact"/>
              <w:ind w:left="106"/>
              <w:jc w:val="center"/>
              <w:rPr>
                <w:sz w:val="24"/>
              </w:rPr>
            </w:pPr>
            <w:r>
              <w:rPr>
                <w:sz w:val="24"/>
              </w:rPr>
              <w:t>012507</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29</w:t>
            </w:r>
          </w:p>
        </w:tc>
        <w:tc>
          <w:tcPr>
            <w:tcW w:w="5245" w:type="dxa"/>
            <w:vAlign w:val="center"/>
          </w:tcPr>
          <w:p w:rsidR="00A954A2" w:rsidRDefault="00A8614F">
            <w:pPr>
              <w:pStyle w:val="TableParagraph"/>
              <w:spacing w:before="2"/>
              <w:ind w:left="125" w:right="118"/>
              <w:jc w:val="center"/>
              <w:rPr>
                <w:sz w:val="24"/>
              </w:rPr>
            </w:pPr>
            <w:r>
              <w:rPr>
                <w:sz w:val="24"/>
              </w:rPr>
              <w:t>东方汽车产业趋势混合型证券投资基金</w:t>
            </w:r>
          </w:p>
        </w:tc>
        <w:tc>
          <w:tcPr>
            <w:tcW w:w="1843" w:type="dxa"/>
            <w:vAlign w:val="center"/>
          </w:tcPr>
          <w:p w:rsidR="00A954A2" w:rsidRDefault="00A8614F">
            <w:pPr>
              <w:pStyle w:val="TableParagraph"/>
              <w:spacing w:before="2"/>
              <w:ind w:left="106"/>
              <w:jc w:val="center"/>
              <w:rPr>
                <w:sz w:val="24"/>
              </w:rPr>
            </w:pPr>
            <w:r>
              <w:rPr>
                <w:sz w:val="24"/>
              </w:rPr>
              <w:t>014560</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014561</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30</w:t>
            </w:r>
          </w:p>
        </w:tc>
        <w:tc>
          <w:tcPr>
            <w:tcW w:w="5245" w:type="dxa"/>
            <w:vAlign w:val="center"/>
          </w:tcPr>
          <w:p w:rsidR="00A954A2" w:rsidRDefault="00A8614F">
            <w:pPr>
              <w:pStyle w:val="TableParagraph"/>
              <w:ind w:left="125" w:right="118"/>
              <w:jc w:val="center"/>
              <w:rPr>
                <w:sz w:val="24"/>
              </w:rPr>
            </w:pPr>
            <w:r>
              <w:rPr>
                <w:sz w:val="24"/>
              </w:rPr>
              <w:t>东方创新成长混合型证券投资基金</w:t>
            </w:r>
          </w:p>
        </w:tc>
        <w:tc>
          <w:tcPr>
            <w:tcW w:w="1843" w:type="dxa"/>
            <w:vAlign w:val="center"/>
          </w:tcPr>
          <w:p w:rsidR="00A954A2" w:rsidRDefault="00A8614F">
            <w:pPr>
              <w:pStyle w:val="TableParagraph"/>
              <w:ind w:left="106"/>
              <w:jc w:val="center"/>
              <w:rPr>
                <w:sz w:val="24"/>
              </w:rPr>
            </w:pPr>
            <w:r>
              <w:rPr>
                <w:sz w:val="24"/>
              </w:rPr>
              <w:t>014352</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014353</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3</w:t>
            </w:r>
            <w:r>
              <w:rPr>
                <w:rFonts w:hint="eastAsia"/>
                <w:sz w:val="24"/>
                <w:lang w:val="en-US"/>
              </w:rPr>
              <w:t>1</w:t>
            </w:r>
          </w:p>
        </w:tc>
        <w:tc>
          <w:tcPr>
            <w:tcW w:w="5245" w:type="dxa"/>
            <w:vAlign w:val="center"/>
          </w:tcPr>
          <w:p w:rsidR="00A954A2" w:rsidRDefault="00A8614F">
            <w:pPr>
              <w:pStyle w:val="TableParagraph"/>
              <w:ind w:left="125" w:right="118"/>
              <w:jc w:val="center"/>
              <w:rPr>
                <w:sz w:val="24"/>
              </w:rPr>
            </w:pPr>
            <w:r>
              <w:rPr>
                <w:sz w:val="24"/>
              </w:rPr>
              <w:t>东方欣冉</w:t>
            </w:r>
            <w:r>
              <w:rPr>
                <w:rFonts w:hint="eastAsia"/>
                <w:sz w:val="24"/>
              </w:rPr>
              <w:t>九个月持有期混合型证券投资基金</w:t>
            </w:r>
          </w:p>
        </w:tc>
        <w:tc>
          <w:tcPr>
            <w:tcW w:w="1843" w:type="dxa"/>
            <w:vAlign w:val="center"/>
          </w:tcPr>
          <w:p w:rsidR="00A954A2" w:rsidRDefault="00A8614F">
            <w:pPr>
              <w:pStyle w:val="TableParagraph"/>
              <w:ind w:left="106"/>
              <w:jc w:val="center"/>
              <w:rPr>
                <w:sz w:val="24"/>
              </w:rPr>
            </w:pPr>
            <w:r>
              <w:rPr>
                <w:sz w:val="24"/>
              </w:rPr>
              <w:t>01435</w:t>
            </w:r>
            <w:r>
              <w:rPr>
                <w:rFonts w:hint="eastAsia"/>
                <w:sz w:val="24"/>
              </w:rPr>
              <w:t>4</w:t>
            </w:r>
            <w:r>
              <w:rPr>
                <w:sz w:val="24"/>
              </w:rPr>
              <w:t>（</w:t>
            </w:r>
            <w:r>
              <w:rPr>
                <w:sz w:val="24"/>
              </w:rPr>
              <w:t>A</w:t>
            </w:r>
            <w:r>
              <w:rPr>
                <w:sz w:val="24"/>
              </w:rPr>
              <w:t>类）</w:t>
            </w:r>
          </w:p>
          <w:p w:rsidR="00A954A2" w:rsidRDefault="00A8614F">
            <w:pPr>
              <w:pStyle w:val="TableParagraph"/>
              <w:spacing w:line="307" w:lineRule="exact"/>
              <w:ind w:left="106"/>
              <w:jc w:val="center"/>
              <w:rPr>
                <w:sz w:val="24"/>
              </w:rPr>
            </w:pPr>
            <w:r>
              <w:rPr>
                <w:sz w:val="24"/>
              </w:rPr>
              <w:t>01435</w:t>
            </w:r>
            <w:r>
              <w:rPr>
                <w:rFonts w:hint="eastAsia"/>
                <w:sz w:val="24"/>
              </w:rPr>
              <w:t>5</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rPr>
              <w:t>3</w:t>
            </w:r>
            <w:r>
              <w:rPr>
                <w:rFonts w:hint="eastAsia"/>
                <w:sz w:val="24"/>
                <w:lang w:val="en-US"/>
              </w:rPr>
              <w:t>2</w:t>
            </w:r>
          </w:p>
        </w:tc>
        <w:tc>
          <w:tcPr>
            <w:tcW w:w="5245" w:type="dxa"/>
            <w:vAlign w:val="center"/>
          </w:tcPr>
          <w:p w:rsidR="00A954A2" w:rsidRDefault="00A8614F">
            <w:pPr>
              <w:pStyle w:val="TableParagraph"/>
              <w:spacing w:before="2"/>
              <w:ind w:left="125" w:right="118"/>
              <w:jc w:val="center"/>
              <w:rPr>
                <w:sz w:val="24"/>
              </w:rPr>
            </w:pPr>
            <w:r>
              <w:rPr>
                <w:sz w:val="24"/>
              </w:rPr>
              <w:t>东方兴瑞趋势领航混合型证券投资基金</w:t>
            </w:r>
          </w:p>
        </w:tc>
        <w:tc>
          <w:tcPr>
            <w:tcW w:w="1843" w:type="dxa"/>
            <w:vAlign w:val="center"/>
          </w:tcPr>
          <w:p w:rsidR="00A954A2" w:rsidRDefault="00A8614F">
            <w:pPr>
              <w:pStyle w:val="TableParagraph"/>
              <w:spacing w:before="2"/>
              <w:ind w:left="106"/>
              <w:jc w:val="center"/>
              <w:rPr>
                <w:sz w:val="24"/>
              </w:rPr>
            </w:pPr>
            <w:r>
              <w:rPr>
                <w:sz w:val="24"/>
              </w:rPr>
              <w:t>015381</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015382</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33</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东方匠心优选混合型证券投资基金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015586</w:t>
            </w:r>
            <w:r>
              <w:rPr>
                <w:rFonts w:hint="eastAsia"/>
                <w:sz w:val="24"/>
              </w:rPr>
              <w:t>（</w:t>
            </w:r>
            <w:r>
              <w:rPr>
                <w:rFonts w:hint="eastAsia"/>
                <w:sz w:val="24"/>
              </w:rPr>
              <w:t>A</w:t>
            </w:r>
            <w:r>
              <w:rPr>
                <w:rFonts w:hint="eastAsia"/>
                <w:sz w:val="24"/>
              </w:rPr>
              <w:t>类）</w:t>
            </w:r>
            <w:r>
              <w:rPr>
                <w:sz w:val="24"/>
              </w:rPr>
              <w:t>0</w:t>
            </w:r>
            <w:r>
              <w:rPr>
                <w:rFonts w:hint="eastAsia"/>
                <w:sz w:val="24"/>
              </w:rPr>
              <w:t>15587</w:t>
            </w:r>
            <w:r>
              <w:rPr>
                <w:sz w:val="24"/>
              </w:rPr>
              <w:t>（</w:t>
            </w:r>
            <w:r>
              <w:rPr>
                <w:rFonts w:hint="eastAsia"/>
                <w:sz w:val="24"/>
                <w:lang w:val="en-US"/>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34</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东方专精特新混合型发起式证券投资基金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015765</w:t>
            </w:r>
            <w:r>
              <w:rPr>
                <w:rFonts w:hint="eastAsia"/>
                <w:sz w:val="24"/>
              </w:rPr>
              <w:t>（</w:t>
            </w:r>
            <w:r>
              <w:rPr>
                <w:rFonts w:hint="eastAsia"/>
                <w:sz w:val="24"/>
              </w:rPr>
              <w:t>A</w:t>
            </w:r>
            <w:r>
              <w:rPr>
                <w:rFonts w:hint="eastAsia"/>
                <w:sz w:val="24"/>
              </w:rPr>
              <w:t>类）</w:t>
            </w:r>
            <w:r>
              <w:rPr>
                <w:sz w:val="24"/>
              </w:rPr>
              <w:t>0</w:t>
            </w:r>
            <w:r>
              <w:rPr>
                <w:rFonts w:hint="eastAsia"/>
                <w:sz w:val="24"/>
              </w:rPr>
              <w:t>15766</w:t>
            </w:r>
            <w:r>
              <w:rPr>
                <w:sz w:val="24"/>
              </w:rPr>
              <w:t>（</w:t>
            </w:r>
            <w:r>
              <w:rPr>
                <w:rFonts w:hint="eastAsia"/>
                <w:sz w:val="24"/>
                <w:lang w:val="en-US"/>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3</w:t>
            </w:r>
            <w:r>
              <w:rPr>
                <w:rFonts w:hint="eastAsia"/>
                <w:sz w:val="24"/>
                <w:lang w:val="en-US"/>
              </w:rPr>
              <w:t>5</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东方沪深</w:t>
            </w:r>
            <w:r>
              <w:rPr>
                <w:sz w:val="24"/>
              </w:rPr>
              <w:t>300</w:t>
            </w:r>
            <w:r>
              <w:rPr>
                <w:sz w:val="24"/>
              </w:rPr>
              <w:t>指数增强型证券投资基金</w:t>
            </w:r>
          </w:p>
        </w:tc>
        <w:tc>
          <w:tcPr>
            <w:tcW w:w="1843" w:type="dxa"/>
            <w:vAlign w:val="center"/>
          </w:tcPr>
          <w:p w:rsidR="00A954A2" w:rsidRDefault="00A8614F">
            <w:pPr>
              <w:pStyle w:val="TableParagraph"/>
              <w:spacing w:line="292" w:lineRule="exact"/>
              <w:ind w:left="106"/>
              <w:jc w:val="center"/>
              <w:rPr>
                <w:sz w:val="24"/>
              </w:rPr>
            </w:pPr>
            <w:r>
              <w:rPr>
                <w:sz w:val="24"/>
              </w:rPr>
              <w:t>016204</w:t>
            </w:r>
            <w:r>
              <w:rPr>
                <w:rFonts w:hint="eastAsia"/>
                <w:sz w:val="24"/>
              </w:rPr>
              <w:t>（</w:t>
            </w:r>
            <w:r>
              <w:rPr>
                <w:rFonts w:hint="eastAsia"/>
                <w:sz w:val="24"/>
              </w:rPr>
              <w:t>A</w:t>
            </w:r>
            <w:r>
              <w:rPr>
                <w:rFonts w:hint="eastAsia"/>
                <w:sz w:val="24"/>
              </w:rPr>
              <w:t>类）</w:t>
            </w:r>
            <w:r>
              <w:rPr>
                <w:sz w:val="24"/>
              </w:rPr>
              <w:t xml:space="preserve">    016205</w:t>
            </w:r>
            <w:r>
              <w:rPr>
                <w:sz w:val="24"/>
              </w:rPr>
              <w:t>（</w:t>
            </w:r>
            <w:r>
              <w:rPr>
                <w:rFonts w:hint="eastAsia"/>
                <w:sz w:val="24"/>
              </w:rPr>
              <w:t>C</w:t>
            </w:r>
            <w:r>
              <w:rPr>
                <w:rFonts w:hint="eastAsia"/>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3</w:t>
            </w:r>
            <w:r>
              <w:rPr>
                <w:rFonts w:hint="eastAsia"/>
                <w:sz w:val="24"/>
                <w:lang w:val="en-US"/>
              </w:rPr>
              <w:t>6</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东方创新医疗股票型证券投资基金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018045</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018046</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3</w:t>
            </w:r>
            <w:r>
              <w:rPr>
                <w:rFonts w:hint="eastAsia"/>
                <w:sz w:val="24"/>
                <w:lang w:val="en-US"/>
              </w:rPr>
              <w:t>7</w:t>
            </w:r>
          </w:p>
        </w:tc>
        <w:tc>
          <w:tcPr>
            <w:tcW w:w="5245" w:type="dxa"/>
            <w:vAlign w:val="center"/>
          </w:tcPr>
          <w:p w:rsidR="00A954A2" w:rsidRDefault="00A8614F">
            <w:pPr>
              <w:pStyle w:val="TableParagraph"/>
              <w:spacing w:line="292" w:lineRule="exact"/>
              <w:ind w:left="125" w:right="118"/>
              <w:jc w:val="center"/>
              <w:rPr>
                <w:sz w:val="24"/>
                <w:lang w:val="en-US"/>
              </w:rPr>
            </w:pPr>
            <w:r>
              <w:rPr>
                <w:rFonts w:hint="eastAsia"/>
                <w:sz w:val="24"/>
                <w:lang w:val="en-US"/>
              </w:rPr>
              <w:t>东方养老目标</w:t>
            </w:r>
            <w:r>
              <w:rPr>
                <w:rFonts w:hint="eastAsia"/>
                <w:sz w:val="24"/>
                <w:lang w:val="en-US"/>
              </w:rPr>
              <w:t xml:space="preserve"> 2050 </w:t>
            </w:r>
            <w:r>
              <w:rPr>
                <w:rFonts w:hint="eastAsia"/>
                <w:sz w:val="24"/>
                <w:lang w:val="en-US"/>
              </w:rPr>
              <w:t>五年持有混合发起（</w:t>
            </w:r>
            <w:r>
              <w:rPr>
                <w:rFonts w:hint="eastAsia"/>
                <w:sz w:val="24"/>
                <w:lang w:val="en-US"/>
              </w:rPr>
              <w:t>FOF</w:t>
            </w:r>
            <w:r>
              <w:rPr>
                <w:rFonts w:hint="eastAsia"/>
                <w:sz w:val="24"/>
                <w:lang w:val="en-US"/>
              </w:rPr>
              <w:t>）</w:t>
            </w:r>
          </w:p>
        </w:tc>
        <w:tc>
          <w:tcPr>
            <w:tcW w:w="1843" w:type="dxa"/>
            <w:vAlign w:val="center"/>
          </w:tcPr>
          <w:p w:rsidR="00A954A2" w:rsidRDefault="00A8614F">
            <w:pPr>
              <w:pStyle w:val="TableParagraph"/>
              <w:spacing w:line="292" w:lineRule="exact"/>
              <w:ind w:left="106"/>
              <w:jc w:val="center"/>
              <w:rPr>
                <w:sz w:val="24"/>
                <w:lang w:val="en-US"/>
              </w:rPr>
            </w:pPr>
            <w:r>
              <w:rPr>
                <w:rFonts w:hint="eastAsia"/>
                <w:sz w:val="24"/>
                <w:lang w:val="en-US"/>
              </w:rPr>
              <w:t>018687</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43"/>
          <w:jc w:val="center"/>
        </w:trPr>
        <w:tc>
          <w:tcPr>
            <w:tcW w:w="751" w:type="dxa"/>
            <w:vAlign w:val="center"/>
          </w:tcPr>
          <w:p w:rsidR="00A954A2" w:rsidRDefault="00A8614F">
            <w:pPr>
              <w:pStyle w:val="TableParagraph"/>
              <w:spacing w:before="2"/>
              <w:jc w:val="center"/>
              <w:rPr>
                <w:sz w:val="24"/>
                <w:lang w:val="en-US"/>
              </w:rPr>
            </w:pPr>
            <w:r>
              <w:rPr>
                <w:rFonts w:hint="eastAsia"/>
                <w:sz w:val="24"/>
              </w:rPr>
              <w:lastRenderedPageBreak/>
              <w:t>3</w:t>
            </w:r>
            <w:r>
              <w:rPr>
                <w:rFonts w:hint="eastAsia"/>
                <w:sz w:val="24"/>
                <w:lang w:val="en-US"/>
              </w:rPr>
              <w:t>8</w:t>
            </w:r>
          </w:p>
        </w:tc>
        <w:tc>
          <w:tcPr>
            <w:tcW w:w="5245" w:type="dxa"/>
            <w:vAlign w:val="center"/>
          </w:tcPr>
          <w:p w:rsidR="00A954A2" w:rsidRDefault="00A8614F">
            <w:pPr>
              <w:pStyle w:val="TableParagraph"/>
              <w:spacing w:line="292" w:lineRule="exact"/>
              <w:ind w:left="125" w:right="118"/>
              <w:jc w:val="center"/>
              <w:rPr>
                <w:sz w:val="24"/>
              </w:rPr>
            </w:pPr>
            <w:r>
              <w:rPr>
                <w:sz w:val="24"/>
              </w:rPr>
              <w:t>东方强化收益债券型证券投资基金</w:t>
            </w:r>
          </w:p>
        </w:tc>
        <w:tc>
          <w:tcPr>
            <w:tcW w:w="1843" w:type="dxa"/>
            <w:vAlign w:val="center"/>
          </w:tcPr>
          <w:p w:rsidR="00A954A2" w:rsidRDefault="00A8614F">
            <w:pPr>
              <w:pStyle w:val="TableParagraph"/>
              <w:spacing w:line="292" w:lineRule="exact"/>
              <w:ind w:left="106"/>
              <w:jc w:val="center"/>
              <w:rPr>
                <w:sz w:val="24"/>
              </w:rPr>
            </w:pPr>
            <w:r>
              <w:rPr>
                <w:sz w:val="24"/>
              </w:rPr>
              <w:t>400016</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39</w:t>
            </w:r>
          </w:p>
        </w:tc>
        <w:tc>
          <w:tcPr>
            <w:tcW w:w="5245" w:type="dxa"/>
            <w:vAlign w:val="center"/>
          </w:tcPr>
          <w:p w:rsidR="00A954A2" w:rsidRDefault="00A8614F">
            <w:pPr>
              <w:pStyle w:val="TableParagraph"/>
              <w:spacing w:line="290" w:lineRule="exact"/>
              <w:ind w:left="125" w:right="118"/>
              <w:jc w:val="center"/>
              <w:rPr>
                <w:sz w:val="24"/>
              </w:rPr>
            </w:pPr>
            <w:r>
              <w:rPr>
                <w:sz w:val="24"/>
              </w:rPr>
              <w:t>东方稳健回报债券型证券投资基金</w:t>
            </w:r>
          </w:p>
        </w:tc>
        <w:tc>
          <w:tcPr>
            <w:tcW w:w="1843" w:type="dxa"/>
            <w:vAlign w:val="center"/>
          </w:tcPr>
          <w:p w:rsidR="00A954A2" w:rsidRDefault="00A8614F">
            <w:pPr>
              <w:pStyle w:val="TableParagraph"/>
              <w:spacing w:line="290" w:lineRule="exact"/>
              <w:ind w:left="106"/>
              <w:jc w:val="center"/>
              <w:rPr>
                <w:sz w:val="24"/>
              </w:rPr>
            </w:pPr>
            <w:r>
              <w:rPr>
                <w:sz w:val="24"/>
              </w:rPr>
              <w:t>400009</w:t>
            </w:r>
            <w:r>
              <w:rPr>
                <w:sz w:val="24"/>
              </w:rPr>
              <w:t>（</w:t>
            </w:r>
            <w:r>
              <w:rPr>
                <w:sz w:val="24"/>
              </w:rPr>
              <w:t>A</w:t>
            </w:r>
            <w:r>
              <w:rPr>
                <w:sz w:val="24"/>
              </w:rPr>
              <w:t>类）</w:t>
            </w:r>
          </w:p>
          <w:p w:rsidR="00A954A2" w:rsidRDefault="00A8614F">
            <w:pPr>
              <w:pStyle w:val="TableParagraph"/>
              <w:spacing w:line="290" w:lineRule="exact"/>
              <w:ind w:left="106"/>
              <w:jc w:val="center"/>
              <w:rPr>
                <w:sz w:val="24"/>
              </w:rPr>
            </w:pPr>
            <w:r>
              <w:rPr>
                <w:sz w:val="24"/>
              </w:rPr>
              <w:t>009456</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4</w:t>
            </w:r>
            <w:r>
              <w:rPr>
                <w:rFonts w:hint="eastAsia"/>
                <w:sz w:val="24"/>
                <w:lang w:val="en-US"/>
              </w:rPr>
              <w:t>0</w:t>
            </w:r>
          </w:p>
        </w:tc>
        <w:tc>
          <w:tcPr>
            <w:tcW w:w="5245" w:type="dxa"/>
            <w:vAlign w:val="center"/>
          </w:tcPr>
          <w:p w:rsidR="00A954A2" w:rsidRDefault="00A8614F">
            <w:pPr>
              <w:pStyle w:val="TableParagraph"/>
              <w:spacing w:line="290" w:lineRule="exact"/>
              <w:ind w:left="125" w:right="118"/>
              <w:jc w:val="center"/>
              <w:rPr>
                <w:sz w:val="24"/>
              </w:rPr>
            </w:pPr>
            <w:r>
              <w:rPr>
                <w:sz w:val="24"/>
              </w:rPr>
              <w:t>东方双债添利债券型证券投资基金</w:t>
            </w:r>
          </w:p>
        </w:tc>
        <w:tc>
          <w:tcPr>
            <w:tcW w:w="1843" w:type="dxa"/>
            <w:vAlign w:val="center"/>
          </w:tcPr>
          <w:p w:rsidR="00A954A2" w:rsidRDefault="00A8614F">
            <w:pPr>
              <w:pStyle w:val="TableParagraph"/>
              <w:spacing w:line="290" w:lineRule="exact"/>
              <w:ind w:left="106"/>
              <w:jc w:val="center"/>
              <w:rPr>
                <w:sz w:val="24"/>
              </w:rPr>
            </w:pPr>
            <w:r>
              <w:rPr>
                <w:sz w:val="24"/>
              </w:rPr>
              <w:t>400027</w:t>
            </w:r>
            <w:r>
              <w:rPr>
                <w:sz w:val="24"/>
              </w:rPr>
              <w:t>（</w:t>
            </w:r>
            <w:r>
              <w:rPr>
                <w:sz w:val="24"/>
              </w:rPr>
              <w:t>A</w:t>
            </w:r>
            <w:r>
              <w:rPr>
                <w:sz w:val="24"/>
              </w:rPr>
              <w:t>类）</w:t>
            </w:r>
          </w:p>
          <w:p w:rsidR="00A954A2" w:rsidRDefault="00A8614F">
            <w:pPr>
              <w:pStyle w:val="TableParagraph"/>
              <w:spacing w:line="290" w:lineRule="exact"/>
              <w:ind w:left="106"/>
              <w:jc w:val="center"/>
              <w:rPr>
                <w:sz w:val="24"/>
              </w:rPr>
            </w:pPr>
            <w:r>
              <w:rPr>
                <w:sz w:val="24"/>
              </w:rPr>
              <w:t>400029</w:t>
            </w:r>
            <w:r>
              <w:rPr>
                <w:sz w:val="24"/>
              </w:rPr>
              <w:t>（</w:t>
            </w:r>
            <w:r>
              <w:rPr>
                <w:sz w:val="24"/>
              </w:rPr>
              <w:t>C</w:t>
            </w:r>
            <w:r>
              <w:rPr>
                <w:sz w:val="24"/>
              </w:rPr>
              <w:t>类）</w:t>
            </w:r>
          </w:p>
          <w:p w:rsidR="00A954A2" w:rsidRDefault="00A8614F">
            <w:pPr>
              <w:pStyle w:val="TableParagraph"/>
              <w:spacing w:line="290" w:lineRule="exact"/>
              <w:ind w:left="106"/>
              <w:jc w:val="center"/>
              <w:rPr>
                <w:sz w:val="24"/>
              </w:rPr>
            </w:pPr>
            <w:r>
              <w:rPr>
                <w:rFonts w:hint="eastAsia"/>
                <w:sz w:val="24"/>
              </w:rPr>
              <w:t>019095</w:t>
            </w:r>
            <w:r>
              <w:rPr>
                <w:rFonts w:hint="eastAsia"/>
                <w:sz w:val="24"/>
              </w:rPr>
              <w:t>（</w:t>
            </w:r>
            <w:r>
              <w:rPr>
                <w:rFonts w:hint="eastAsia"/>
                <w:sz w:val="24"/>
                <w:lang w:val="en-US"/>
              </w:rPr>
              <w:t>D</w:t>
            </w:r>
            <w:r>
              <w:rPr>
                <w:sz w:val="24"/>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237"/>
          <w:jc w:val="center"/>
        </w:trPr>
        <w:tc>
          <w:tcPr>
            <w:tcW w:w="751" w:type="dxa"/>
            <w:vAlign w:val="center"/>
          </w:tcPr>
          <w:p w:rsidR="00A954A2" w:rsidRDefault="00A8614F">
            <w:pPr>
              <w:pStyle w:val="TableParagraph"/>
              <w:spacing w:before="2"/>
              <w:jc w:val="center"/>
              <w:rPr>
                <w:sz w:val="24"/>
              </w:rPr>
            </w:pPr>
            <w:r>
              <w:rPr>
                <w:rFonts w:hint="eastAsia"/>
                <w:sz w:val="24"/>
                <w:lang w:val="en-US"/>
              </w:rPr>
              <w:t>4</w:t>
            </w:r>
            <w:r>
              <w:rPr>
                <w:rFonts w:hint="eastAsia"/>
                <w:sz w:val="24"/>
                <w:lang w:val="en-US"/>
              </w:rPr>
              <w:t>1</w:t>
            </w:r>
          </w:p>
        </w:tc>
        <w:tc>
          <w:tcPr>
            <w:tcW w:w="5245" w:type="dxa"/>
            <w:vAlign w:val="center"/>
          </w:tcPr>
          <w:p w:rsidR="00A954A2" w:rsidRDefault="00A8614F">
            <w:pPr>
              <w:pStyle w:val="TableParagraph"/>
              <w:spacing w:line="292" w:lineRule="exact"/>
              <w:ind w:left="125" w:right="118"/>
              <w:jc w:val="center"/>
              <w:rPr>
                <w:sz w:val="24"/>
              </w:rPr>
            </w:pPr>
            <w:r>
              <w:rPr>
                <w:sz w:val="24"/>
              </w:rPr>
              <w:t>东方添益债券型证券投资基金</w:t>
            </w:r>
          </w:p>
        </w:tc>
        <w:tc>
          <w:tcPr>
            <w:tcW w:w="1843" w:type="dxa"/>
            <w:vAlign w:val="center"/>
          </w:tcPr>
          <w:p w:rsidR="00A954A2" w:rsidRDefault="00A8614F">
            <w:pPr>
              <w:pStyle w:val="TableParagraph"/>
              <w:spacing w:line="292" w:lineRule="exact"/>
              <w:ind w:left="106"/>
              <w:jc w:val="center"/>
              <w:rPr>
                <w:sz w:val="24"/>
              </w:rPr>
            </w:pPr>
            <w:r>
              <w:rPr>
                <w:sz w:val="24"/>
              </w:rPr>
              <w:t>400030</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rPr>
            </w:pPr>
            <w:r>
              <w:rPr>
                <w:rFonts w:hint="eastAsia"/>
                <w:sz w:val="24"/>
                <w:lang w:val="en-US"/>
              </w:rPr>
              <w:t>4</w:t>
            </w:r>
            <w:r>
              <w:rPr>
                <w:rFonts w:hint="eastAsia"/>
                <w:sz w:val="24"/>
                <w:lang w:val="en-US"/>
              </w:rPr>
              <w:t>2</w:t>
            </w:r>
          </w:p>
        </w:tc>
        <w:tc>
          <w:tcPr>
            <w:tcW w:w="5245" w:type="dxa"/>
            <w:vAlign w:val="center"/>
          </w:tcPr>
          <w:p w:rsidR="00A954A2" w:rsidRDefault="00A8614F">
            <w:pPr>
              <w:pStyle w:val="TableParagraph"/>
              <w:spacing w:line="290" w:lineRule="exact"/>
              <w:ind w:left="125" w:right="118"/>
              <w:jc w:val="center"/>
              <w:rPr>
                <w:sz w:val="24"/>
              </w:rPr>
            </w:pPr>
            <w:r>
              <w:rPr>
                <w:sz w:val="24"/>
              </w:rPr>
              <w:t>东方臻享纯债债券型证券投资基金</w:t>
            </w:r>
          </w:p>
        </w:tc>
        <w:tc>
          <w:tcPr>
            <w:tcW w:w="1843" w:type="dxa"/>
            <w:vAlign w:val="center"/>
          </w:tcPr>
          <w:p w:rsidR="00A954A2" w:rsidRDefault="00A8614F">
            <w:pPr>
              <w:pStyle w:val="TableParagraph"/>
              <w:spacing w:line="290" w:lineRule="exact"/>
              <w:ind w:left="106"/>
              <w:jc w:val="center"/>
              <w:rPr>
                <w:sz w:val="24"/>
              </w:rPr>
            </w:pPr>
            <w:r>
              <w:rPr>
                <w:sz w:val="24"/>
              </w:rPr>
              <w:t>003837</w:t>
            </w:r>
            <w:r>
              <w:rPr>
                <w:sz w:val="24"/>
              </w:rPr>
              <w:t>（</w:t>
            </w:r>
            <w:r>
              <w:rPr>
                <w:sz w:val="24"/>
              </w:rPr>
              <w:t>A</w:t>
            </w:r>
            <w:r>
              <w:rPr>
                <w:sz w:val="24"/>
              </w:rPr>
              <w:t>类）</w:t>
            </w:r>
            <w:r>
              <w:rPr>
                <w:sz w:val="24"/>
              </w:rPr>
              <w:t>003838</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3</w:t>
            </w:r>
          </w:p>
        </w:tc>
        <w:tc>
          <w:tcPr>
            <w:tcW w:w="5245" w:type="dxa"/>
            <w:vAlign w:val="center"/>
          </w:tcPr>
          <w:p w:rsidR="00A954A2" w:rsidRDefault="00A8614F">
            <w:pPr>
              <w:pStyle w:val="TableParagraph"/>
              <w:spacing w:line="290" w:lineRule="exact"/>
              <w:ind w:left="125" w:right="118"/>
              <w:jc w:val="center"/>
              <w:rPr>
                <w:sz w:val="24"/>
                <w:lang w:val="en-US"/>
              </w:rPr>
            </w:pPr>
            <w:r>
              <w:rPr>
                <w:rFonts w:hint="eastAsia"/>
                <w:sz w:val="24"/>
                <w:lang w:val="en-US"/>
              </w:rPr>
              <w:t>东方臻选纯债债券型证券投资基金</w:t>
            </w:r>
          </w:p>
        </w:tc>
        <w:tc>
          <w:tcPr>
            <w:tcW w:w="1843" w:type="dxa"/>
            <w:vAlign w:val="center"/>
          </w:tcPr>
          <w:p w:rsidR="00A954A2" w:rsidRDefault="00A8614F">
            <w:pPr>
              <w:pStyle w:val="TableParagraph"/>
              <w:spacing w:line="290" w:lineRule="exact"/>
              <w:ind w:left="106"/>
              <w:jc w:val="center"/>
              <w:rPr>
                <w:sz w:val="24"/>
              </w:rPr>
            </w:pPr>
            <w:r>
              <w:rPr>
                <w:rFonts w:hint="eastAsia"/>
                <w:sz w:val="24"/>
              </w:rPr>
              <w:t>006212</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006213</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4</w:t>
            </w:r>
          </w:p>
        </w:tc>
        <w:tc>
          <w:tcPr>
            <w:tcW w:w="5245" w:type="dxa"/>
            <w:vAlign w:val="center"/>
          </w:tcPr>
          <w:p w:rsidR="00A954A2" w:rsidRDefault="00A8614F">
            <w:pPr>
              <w:pStyle w:val="TableParagraph"/>
              <w:spacing w:line="290" w:lineRule="exact"/>
              <w:ind w:left="125" w:right="118"/>
              <w:jc w:val="center"/>
              <w:rPr>
                <w:sz w:val="24"/>
                <w:lang w:val="en-US"/>
              </w:rPr>
            </w:pPr>
            <w:r>
              <w:rPr>
                <w:rFonts w:hint="eastAsia"/>
                <w:sz w:val="24"/>
                <w:lang w:val="en-US"/>
              </w:rPr>
              <w:t>东方臻宝纯债债券型证券投资基金</w:t>
            </w:r>
          </w:p>
        </w:tc>
        <w:tc>
          <w:tcPr>
            <w:tcW w:w="1843" w:type="dxa"/>
            <w:vAlign w:val="center"/>
          </w:tcPr>
          <w:p w:rsidR="00A954A2" w:rsidRDefault="00A8614F">
            <w:pPr>
              <w:pStyle w:val="TableParagraph"/>
              <w:spacing w:line="290" w:lineRule="exact"/>
              <w:ind w:left="106"/>
              <w:jc w:val="center"/>
              <w:rPr>
                <w:sz w:val="24"/>
              </w:rPr>
            </w:pPr>
            <w:r>
              <w:rPr>
                <w:rFonts w:hint="eastAsia"/>
                <w:sz w:val="24"/>
              </w:rPr>
              <w:t>006210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006211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5</w:t>
            </w:r>
          </w:p>
        </w:tc>
        <w:tc>
          <w:tcPr>
            <w:tcW w:w="5245" w:type="dxa"/>
            <w:vAlign w:val="center"/>
          </w:tcPr>
          <w:p w:rsidR="00A954A2" w:rsidRDefault="00A8614F">
            <w:pPr>
              <w:pStyle w:val="TableParagraph"/>
              <w:spacing w:line="290" w:lineRule="exact"/>
              <w:ind w:left="125" w:right="118"/>
              <w:jc w:val="center"/>
              <w:rPr>
                <w:sz w:val="24"/>
                <w:lang w:val="en-US"/>
              </w:rPr>
            </w:pPr>
            <w:r>
              <w:rPr>
                <w:rFonts w:hint="eastAsia"/>
                <w:sz w:val="24"/>
                <w:lang w:val="en-US"/>
              </w:rPr>
              <w:t>东方臻慧纯债债券型证券投资基金</w:t>
            </w:r>
          </w:p>
        </w:tc>
        <w:tc>
          <w:tcPr>
            <w:tcW w:w="1843" w:type="dxa"/>
            <w:vAlign w:val="center"/>
          </w:tcPr>
          <w:p w:rsidR="00A954A2" w:rsidRDefault="00A8614F">
            <w:pPr>
              <w:pStyle w:val="TableParagraph"/>
              <w:spacing w:line="290" w:lineRule="exact"/>
              <w:ind w:left="106"/>
              <w:jc w:val="center"/>
              <w:rPr>
                <w:sz w:val="24"/>
              </w:rPr>
            </w:pPr>
            <w:r>
              <w:rPr>
                <w:rFonts w:hint="eastAsia"/>
                <w:sz w:val="24"/>
              </w:rPr>
              <w:t>009463</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009464</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6</w:t>
            </w:r>
          </w:p>
        </w:tc>
        <w:tc>
          <w:tcPr>
            <w:tcW w:w="5245" w:type="dxa"/>
            <w:vAlign w:val="center"/>
          </w:tcPr>
          <w:p w:rsidR="00A954A2" w:rsidRDefault="00A8614F">
            <w:pPr>
              <w:pStyle w:val="TableParagraph"/>
              <w:spacing w:line="251" w:lineRule="exact"/>
              <w:ind w:left="125" w:right="118"/>
              <w:jc w:val="center"/>
              <w:rPr>
                <w:sz w:val="24"/>
              </w:rPr>
            </w:pPr>
            <w:r>
              <w:rPr>
                <w:sz w:val="24"/>
              </w:rPr>
              <w:t>东方恒瑞短债债券型证券投资基金</w:t>
            </w:r>
          </w:p>
        </w:tc>
        <w:tc>
          <w:tcPr>
            <w:tcW w:w="1843" w:type="dxa"/>
            <w:vAlign w:val="center"/>
          </w:tcPr>
          <w:p w:rsidR="00A954A2" w:rsidRDefault="00A8614F">
            <w:pPr>
              <w:pStyle w:val="TableParagraph"/>
              <w:spacing w:line="250" w:lineRule="exact"/>
              <w:ind w:left="106"/>
              <w:jc w:val="center"/>
              <w:rPr>
                <w:sz w:val="24"/>
              </w:rPr>
            </w:pPr>
            <w:r>
              <w:rPr>
                <w:sz w:val="24"/>
              </w:rPr>
              <w:t>010565</w:t>
            </w:r>
            <w:r>
              <w:rPr>
                <w:sz w:val="24"/>
              </w:rPr>
              <w:t>（</w:t>
            </w:r>
            <w:r>
              <w:rPr>
                <w:sz w:val="24"/>
              </w:rPr>
              <w:t>A</w:t>
            </w:r>
            <w:r>
              <w:rPr>
                <w:sz w:val="24"/>
              </w:rPr>
              <w:t>类）</w:t>
            </w:r>
            <w:r>
              <w:rPr>
                <w:sz w:val="24"/>
              </w:rPr>
              <w:t>010566</w:t>
            </w:r>
            <w:r>
              <w:rPr>
                <w:sz w:val="24"/>
              </w:rPr>
              <w:t>（</w:t>
            </w:r>
            <w:r>
              <w:rPr>
                <w:sz w:val="24"/>
              </w:rPr>
              <w:t>B</w:t>
            </w:r>
            <w:r>
              <w:rPr>
                <w:sz w:val="24"/>
              </w:rPr>
              <w:t>类）</w:t>
            </w:r>
            <w:r>
              <w:rPr>
                <w:sz w:val="24"/>
              </w:rPr>
              <w:t>010567</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7</w:t>
            </w:r>
          </w:p>
        </w:tc>
        <w:tc>
          <w:tcPr>
            <w:tcW w:w="5245" w:type="dxa"/>
            <w:vAlign w:val="center"/>
          </w:tcPr>
          <w:p w:rsidR="00A954A2" w:rsidRDefault="00A8614F">
            <w:pPr>
              <w:pStyle w:val="TableParagraph"/>
              <w:spacing w:before="2" w:line="290" w:lineRule="exact"/>
              <w:ind w:left="125" w:right="118"/>
              <w:jc w:val="center"/>
              <w:rPr>
                <w:sz w:val="24"/>
              </w:rPr>
            </w:pPr>
            <w:r>
              <w:rPr>
                <w:sz w:val="24"/>
              </w:rPr>
              <w:t>东方可转债债券型证券投资基金</w:t>
            </w:r>
          </w:p>
        </w:tc>
        <w:tc>
          <w:tcPr>
            <w:tcW w:w="1843" w:type="dxa"/>
            <w:vAlign w:val="center"/>
          </w:tcPr>
          <w:p w:rsidR="00A954A2" w:rsidRDefault="00A8614F">
            <w:pPr>
              <w:pStyle w:val="TableParagraph"/>
              <w:spacing w:before="2" w:line="290" w:lineRule="exact"/>
              <w:ind w:left="106"/>
              <w:jc w:val="center"/>
              <w:rPr>
                <w:sz w:val="24"/>
              </w:rPr>
            </w:pPr>
            <w:r>
              <w:rPr>
                <w:sz w:val="24"/>
              </w:rPr>
              <w:t>009465</w:t>
            </w:r>
            <w:r>
              <w:rPr>
                <w:sz w:val="24"/>
              </w:rPr>
              <w:t>（</w:t>
            </w:r>
            <w:r>
              <w:rPr>
                <w:sz w:val="24"/>
              </w:rPr>
              <w:t>A</w:t>
            </w:r>
            <w:r>
              <w:rPr>
                <w:sz w:val="24"/>
              </w:rPr>
              <w:t>类）</w:t>
            </w:r>
            <w:r>
              <w:rPr>
                <w:sz w:val="24"/>
              </w:rPr>
              <w:t>009466</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w:t>
            </w:r>
            <w:r>
              <w:rPr>
                <w:rFonts w:hint="eastAsia"/>
                <w:sz w:val="24"/>
                <w:lang w:val="en-US"/>
              </w:rPr>
              <w:t>8</w:t>
            </w:r>
          </w:p>
        </w:tc>
        <w:tc>
          <w:tcPr>
            <w:tcW w:w="5245" w:type="dxa"/>
            <w:vAlign w:val="center"/>
          </w:tcPr>
          <w:p w:rsidR="00A954A2" w:rsidRDefault="00A8614F">
            <w:pPr>
              <w:pStyle w:val="TableParagraph"/>
              <w:ind w:left="125" w:right="118"/>
              <w:jc w:val="center"/>
              <w:rPr>
                <w:sz w:val="24"/>
              </w:rPr>
            </w:pPr>
            <w:r>
              <w:rPr>
                <w:sz w:val="24"/>
              </w:rPr>
              <w:t>东方中债</w:t>
            </w:r>
            <w:r>
              <w:rPr>
                <w:sz w:val="24"/>
              </w:rPr>
              <w:t>1-5</w:t>
            </w:r>
            <w:r>
              <w:rPr>
                <w:sz w:val="24"/>
              </w:rPr>
              <w:t>年政策性金融债指数证券投资基金</w:t>
            </w:r>
          </w:p>
        </w:tc>
        <w:tc>
          <w:tcPr>
            <w:tcW w:w="1843" w:type="dxa"/>
            <w:vAlign w:val="center"/>
          </w:tcPr>
          <w:p w:rsidR="00A954A2" w:rsidRDefault="00A8614F">
            <w:pPr>
              <w:pStyle w:val="TableParagraph"/>
              <w:ind w:left="106"/>
              <w:jc w:val="center"/>
              <w:rPr>
                <w:sz w:val="24"/>
              </w:rPr>
            </w:pPr>
            <w:r>
              <w:rPr>
                <w:sz w:val="24"/>
              </w:rPr>
              <w:t>012403</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012404</w:t>
            </w:r>
            <w:r>
              <w:rPr>
                <w:sz w:val="24"/>
              </w:rPr>
              <w:t>（</w:t>
            </w:r>
            <w:r>
              <w:rPr>
                <w:sz w:val="24"/>
              </w:rPr>
              <w:t>C</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49</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rPr>
              <w:t>东方臻裕债券型证券投资基金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016318</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016319</w:t>
            </w:r>
            <w:r>
              <w:rPr>
                <w:rFonts w:hint="eastAsia"/>
                <w:sz w:val="24"/>
              </w:rPr>
              <w:t>（</w:t>
            </w:r>
            <w:r>
              <w:rPr>
                <w:rFonts w:hint="eastAsia"/>
                <w:sz w:val="24"/>
              </w:rPr>
              <w:t>C</w:t>
            </w:r>
            <w:r>
              <w:rPr>
                <w:rFonts w:hint="eastAsia"/>
                <w:sz w:val="24"/>
                <w:lang w:val="en-US"/>
              </w:rPr>
              <w:t>类</w:t>
            </w:r>
            <w:r>
              <w:rPr>
                <w:rFonts w:hint="eastAsia"/>
                <w:sz w:val="24"/>
              </w:rPr>
              <w:t>）</w:t>
            </w:r>
            <w:r>
              <w:rPr>
                <w:rFonts w:hint="eastAsia"/>
                <w:sz w:val="24"/>
              </w:rPr>
              <w:t>019097</w:t>
            </w:r>
            <w:r>
              <w:rPr>
                <w:rFonts w:hint="eastAsia"/>
                <w:sz w:val="24"/>
              </w:rPr>
              <w:t>（</w:t>
            </w:r>
            <w:r>
              <w:rPr>
                <w:rFonts w:hint="eastAsia"/>
                <w:sz w:val="24"/>
              </w:rPr>
              <w:t>E</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0</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lang w:val="en-US"/>
              </w:rPr>
              <w:t>东方享悦</w:t>
            </w:r>
            <w:r>
              <w:rPr>
                <w:rFonts w:hint="eastAsia"/>
                <w:sz w:val="24"/>
                <w:lang w:val="en-US"/>
              </w:rPr>
              <w:t>90</w:t>
            </w:r>
            <w:r>
              <w:rPr>
                <w:rFonts w:hint="eastAsia"/>
                <w:sz w:val="24"/>
                <w:lang w:val="en-US"/>
              </w:rPr>
              <w:t>天滚动持有债券型证券投资基金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020850</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020851</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1</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lang w:val="en-US"/>
              </w:rPr>
              <w:t>东方中债绿色普惠主题金融债券优选指数证券投资基金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021303</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021304</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2</w:t>
            </w:r>
          </w:p>
        </w:tc>
        <w:tc>
          <w:tcPr>
            <w:tcW w:w="5245" w:type="dxa"/>
            <w:vAlign w:val="center"/>
          </w:tcPr>
          <w:p w:rsidR="00A954A2" w:rsidRDefault="00A8614F">
            <w:pPr>
              <w:pStyle w:val="TableParagraph"/>
              <w:spacing w:line="292" w:lineRule="exact"/>
              <w:ind w:left="125" w:right="118"/>
              <w:jc w:val="center"/>
              <w:rPr>
                <w:sz w:val="24"/>
              </w:rPr>
            </w:pPr>
            <w:r>
              <w:rPr>
                <w:rFonts w:hint="eastAsia"/>
                <w:sz w:val="24"/>
                <w:lang w:val="en-US"/>
              </w:rPr>
              <w:t>东方享誉</w:t>
            </w:r>
            <w:r>
              <w:rPr>
                <w:rFonts w:hint="eastAsia"/>
                <w:sz w:val="24"/>
                <w:lang w:val="en-US"/>
              </w:rPr>
              <w:t>30</w:t>
            </w:r>
            <w:r>
              <w:rPr>
                <w:rFonts w:hint="eastAsia"/>
                <w:sz w:val="24"/>
                <w:lang w:val="en-US"/>
              </w:rPr>
              <w:t>天滚动持有债券型证券投资基金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020946</w:t>
            </w:r>
            <w:r>
              <w:rPr>
                <w:rFonts w:hint="eastAsia"/>
                <w:sz w:val="24"/>
              </w:rPr>
              <w:t>（</w:t>
            </w:r>
            <w:r>
              <w:rPr>
                <w:rFonts w:hint="eastAsia"/>
                <w:sz w:val="24"/>
              </w:rPr>
              <w:t>A</w:t>
            </w:r>
            <w:r>
              <w:rPr>
                <w:rFonts w:hint="eastAsia"/>
                <w:sz w:val="24"/>
                <w:lang w:val="en-US"/>
              </w:rPr>
              <w:t>类</w:t>
            </w:r>
            <w:r>
              <w:rPr>
                <w:rFonts w:hint="eastAsia"/>
                <w:sz w:val="24"/>
              </w:rPr>
              <w:t>）</w:t>
            </w:r>
            <w:r>
              <w:rPr>
                <w:rFonts w:hint="eastAsia"/>
                <w:sz w:val="24"/>
              </w:rPr>
              <w:t>020947</w:t>
            </w:r>
            <w:r>
              <w:rPr>
                <w:rFonts w:hint="eastAsia"/>
                <w:sz w:val="24"/>
              </w:rPr>
              <w:t>（</w:t>
            </w:r>
            <w:r>
              <w:rPr>
                <w:rFonts w:hint="eastAsia"/>
                <w:sz w:val="24"/>
              </w:rPr>
              <w:t>C</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3</w:t>
            </w:r>
          </w:p>
        </w:tc>
        <w:tc>
          <w:tcPr>
            <w:tcW w:w="5245" w:type="dxa"/>
            <w:vAlign w:val="center"/>
          </w:tcPr>
          <w:p w:rsidR="00A954A2" w:rsidRDefault="00A8614F">
            <w:pPr>
              <w:pStyle w:val="TableParagraph"/>
              <w:ind w:left="125" w:right="118"/>
              <w:jc w:val="center"/>
              <w:rPr>
                <w:sz w:val="24"/>
              </w:rPr>
            </w:pPr>
            <w:r>
              <w:rPr>
                <w:rFonts w:hint="eastAsia"/>
                <w:sz w:val="24"/>
              </w:rPr>
              <w:t>东方金账簿货币市场证券投资基金</w:t>
            </w:r>
          </w:p>
        </w:tc>
        <w:tc>
          <w:tcPr>
            <w:tcW w:w="1843" w:type="dxa"/>
            <w:vAlign w:val="center"/>
          </w:tcPr>
          <w:p w:rsidR="00A954A2" w:rsidRDefault="00A8614F">
            <w:pPr>
              <w:pStyle w:val="TableParagraph"/>
              <w:ind w:left="125" w:right="118"/>
              <w:jc w:val="center"/>
              <w:rPr>
                <w:sz w:val="24"/>
              </w:rPr>
            </w:pPr>
            <w:r>
              <w:rPr>
                <w:rFonts w:hint="eastAsia"/>
                <w:sz w:val="24"/>
              </w:rPr>
              <w:t>400005</w:t>
            </w:r>
            <w:r>
              <w:rPr>
                <w:rFonts w:hint="eastAsia"/>
                <w:sz w:val="24"/>
              </w:rPr>
              <w:t>（</w:t>
            </w:r>
            <w:r>
              <w:rPr>
                <w:rFonts w:hint="eastAsia"/>
                <w:sz w:val="24"/>
              </w:rPr>
              <w:t>A</w:t>
            </w:r>
            <w:r>
              <w:rPr>
                <w:rFonts w:hint="eastAsia"/>
                <w:sz w:val="24"/>
              </w:rPr>
              <w:t>类）</w:t>
            </w:r>
          </w:p>
          <w:p w:rsidR="00A954A2" w:rsidRDefault="00A8614F">
            <w:pPr>
              <w:pStyle w:val="TableParagraph"/>
              <w:ind w:left="125" w:right="118"/>
              <w:jc w:val="center"/>
              <w:rPr>
                <w:sz w:val="24"/>
              </w:rPr>
            </w:pPr>
            <w:r>
              <w:rPr>
                <w:sz w:val="24"/>
              </w:rPr>
              <w:t>400006</w:t>
            </w:r>
            <w:r>
              <w:rPr>
                <w:sz w:val="24"/>
              </w:rPr>
              <w:t>（</w:t>
            </w:r>
            <w:r>
              <w:rPr>
                <w:sz w:val="24"/>
              </w:rPr>
              <w:t>B</w:t>
            </w:r>
            <w:r>
              <w:rPr>
                <w:sz w:val="24"/>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4</w:t>
            </w:r>
          </w:p>
        </w:tc>
        <w:tc>
          <w:tcPr>
            <w:tcW w:w="5245" w:type="dxa"/>
            <w:vAlign w:val="center"/>
          </w:tcPr>
          <w:p w:rsidR="00A954A2" w:rsidRDefault="00A8614F">
            <w:pPr>
              <w:pStyle w:val="TableParagraph"/>
              <w:spacing w:line="292" w:lineRule="exact"/>
              <w:ind w:left="125" w:right="118"/>
              <w:jc w:val="center"/>
              <w:rPr>
                <w:sz w:val="24"/>
                <w:lang w:val="en-US"/>
              </w:rPr>
            </w:pPr>
            <w:r>
              <w:rPr>
                <w:rFonts w:hint="eastAsia"/>
                <w:sz w:val="24"/>
                <w:lang w:val="en-US"/>
              </w:rPr>
              <w:t>东方金元宝货币市场基金</w:t>
            </w:r>
          </w:p>
        </w:tc>
        <w:tc>
          <w:tcPr>
            <w:tcW w:w="1843" w:type="dxa"/>
            <w:vAlign w:val="center"/>
          </w:tcPr>
          <w:p w:rsidR="00A954A2" w:rsidRDefault="00A8614F">
            <w:pPr>
              <w:pStyle w:val="TableParagraph"/>
              <w:spacing w:line="292" w:lineRule="exact"/>
              <w:ind w:left="106"/>
              <w:jc w:val="center"/>
              <w:rPr>
                <w:sz w:val="24"/>
              </w:rPr>
            </w:pPr>
            <w:r>
              <w:rPr>
                <w:rFonts w:hint="eastAsia"/>
                <w:sz w:val="24"/>
              </w:rPr>
              <w:t>001987</w:t>
            </w:r>
            <w:r>
              <w:rPr>
                <w:rFonts w:hint="eastAsia"/>
                <w:sz w:val="24"/>
              </w:rPr>
              <w:t>（</w:t>
            </w:r>
            <w:r>
              <w:rPr>
                <w:rFonts w:hint="eastAsia"/>
                <w:sz w:val="24"/>
              </w:rPr>
              <w:t>A</w:t>
            </w:r>
            <w:r>
              <w:rPr>
                <w:rFonts w:hint="eastAsia"/>
                <w:sz w:val="24"/>
                <w:lang w:val="en-US"/>
              </w:rPr>
              <w:t>类</w:t>
            </w:r>
            <w:r>
              <w:rPr>
                <w:rFonts w:hint="eastAsia"/>
                <w:sz w:val="24"/>
              </w:rPr>
              <w:t>）</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5</w:t>
            </w:r>
          </w:p>
        </w:tc>
        <w:tc>
          <w:tcPr>
            <w:tcW w:w="5245" w:type="dxa"/>
            <w:vAlign w:val="center"/>
          </w:tcPr>
          <w:p w:rsidR="00A954A2" w:rsidRDefault="00A8614F">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A954A2" w:rsidRDefault="00A8614F">
            <w:pPr>
              <w:pStyle w:val="TableParagraph"/>
              <w:spacing w:line="292" w:lineRule="exact"/>
              <w:ind w:left="106"/>
              <w:jc w:val="center"/>
              <w:rPr>
                <w:sz w:val="24"/>
                <w:lang w:val="en-US"/>
              </w:rPr>
            </w:pPr>
            <w:r>
              <w:rPr>
                <w:rFonts w:hint="eastAsia"/>
                <w:sz w:val="24"/>
                <w:lang w:val="en-US"/>
              </w:rPr>
              <w:t>009976</w:t>
            </w:r>
            <w:r>
              <w:rPr>
                <w:rFonts w:hint="eastAsia"/>
                <w:sz w:val="24"/>
                <w:lang w:val="en-US"/>
              </w:rPr>
              <w:t>（</w:t>
            </w:r>
            <w:r>
              <w:rPr>
                <w:rFonts w:hint="eastAsia"/>
                <w:sz w:val="24"/>
                <w:lang w:val="en-US"/>
              </w:rPr>
              <w:t>B</w:t>
            </w:r>
            <w:r>
              <w:rPr>
                <w:rFonts w:hint="eastAsia"/>
                <w:sz w:val="24"/>
                <w:lang w:val="en-US"/>
              </w:rPr>
              <w:t>类）</w:t>
            </w:r>
          </w:p>
        </w:tc>
        <w:tc>
          <w:tcPr>
            <w:tcW w:w="1677" w:type="dxa"/>
            <w:vMerge/>
            <w:vAlign w:val="center"/>
          </w:tcPr>
          <w:p w:rsidR="00A954A2" w:rsidRDefault="00A954A2">
            <w:pPr>
              <w:pStyle w:val="TableParagraph"/>
              <w:spacing w:before="2"/>
              <w:ind w:left="61" w:right="57"/>
              <w:jc w:val="center"/>
              <w:rPr>
                <w:sz w:val="24"/>
              </w:rPr>
            </w:pPr>
          </w:p>
        </w:tc>
      </w:tr>
      <w:tr w:rsidR="00A954A2">
        <w:trPr>
          <w:trHeight w:val="625"/>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6</w:t>
            </w:r>
          </w:p>
        </w:tc>
        <w:tc>
          <w:tcPr>
            <w:tcW w:w="5245" w:type="dxa"/>
            <w:vAlign w:val="center"/>
          </w:tcPr>
          <w:p w:rsidR="00A954A2" w:rsidRDefault="00A8614F">
            <w:pPr>
              <w:pStyle w:val="TableParagraph"/>
              <w:spacing w:line="292" w:lineRule="exact"/>
              <w:ind w:left="125" w:right="118"/>
              <w:jc w:val="center"/>
              <w:rPr>
                <w:sz w:val="24"/>
                <w:lang w:val="en-US"/>
              </w:rPr>
            </w:pPr>
            <w:r>
              <w:rPr>
                <w:rFonts w:hint="eastAsia"/>
                <w:sz w:val="24"/>
                <w:lang w:val="en-US"/>
              </w:rPr>
              <w:t>东方金证通货币市场基金</w:t>
            </w:r>
          </w:p>
        </w:tc>
        <w:tc>
          <w:tcPr>
            <w:tcW w:w="1843" w:type="dxa"/>
            <w:vAlign w:val="center"/>
          </w:tcPr>
          <w:p w:rsidR="00A954A2" w:rsidRDefault="00A8614F">
            <w:pPr>
              <w:pStyle w:val="TableParagraph"/>
              <w:spacing w:line="292" w:lineRule="exact"/>
              <w:ind w:left="106"/>
              <w:jc w:val="center"/>
              <w:rPr>
                <w:sz w:val="24"/>
                <w:lang w:val="en-US"/>
              </w:rPr>
            </w:pPr>
            <w:r>
              <w:rPr>
                <w:rFonts w:hint="eastAsia"/>
                <w:sz w:val="24"/>
                <w:lang w:val="en-US"/>
              </w:rPr>
              <w:t>002243</w:t>
            </w:r>
            <w:r>
              <w:rPr>
                <w:rFonts w:hint="eastAsia"/>
                <w:sz w:val="24"/>
                <w:lang w:val="en-US"/>
              </w:rPr>
              <w:t>（</w:t>
            </w:r>
            <w:r>
              <w:rPr>
                <w:rFonts w:hint="eastAsia"/>
                <w:sz w:val="24"/>
                <w:lang w:val="en-US"/>
              </w:rPr>
              <w:t>A</w:t>
            </w:r>
            <w:r>
              <w:rPr>
                <w:rFonts w:hint="eastAsia"/>
                <w:sz w:val="24"/>
                <w:lang w:val="en-US"/>
              </w:rPr>
              <w:t>类）</w:t>
            </w:r>
          </w:p>
        </w:tc>
        <w:tc>
          <w:tcPr>
            <w:tcW w:w="1677" w:type="dxa"/>
            <w:vAlign w:val="center"/>
          </w:tcPr>
          <w:p w:rsidR="00A954A2" w:rsidRDefault="00A8614F">
            <w:pPr>
              <w:pStyle w:val="TableParagraph"/>
              <w:spacing w:before="2"/>
              <w:ind w:left="61" w:right="57"/>
              <w:jc w:val="center"/>
              <w:rPr>
                <w:sz w:val="24"/>
              </w:rPr>
            </w:pPr>
            <w:r>
              <w:t>开户、申购、赎回业务（仅限前端申购模式</w:t>
            </w:r>
            <w:r>
              <w:t>)</w:t>
            </w: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w:t>
            </w:r>
            <w:r>
              <w:rPr>
                <w:rFonts w:hint="eastAsia"/>
                <w:sz w:val="24"/>
                <w:lang w:val="en-US"/>
              </w:rPr>
              <w:t>7</w:t>
            </w:r>
          </w:p>
        </w:tc>
        <w:tc>
          <w:tcPr>
            <w:tcW w:w="5245" w:type="dxa"/>
            <w:vAlign w:val="center"/>
          </w:tcPr>
          <w:p w:rsidR="00A954A2" w:rsidRDefault="00A8614F">
            <w:pPr>
              <w:pStyle w:val="TableParagraph"/>
              <w:spacing w:line="307" w:lineRule="exact"/>
              <w:ind w:left="125" w:right="118"/>
              <w:jc w:val="center"/>
              <w:rPr>
                <w:sz w:val="24"/>
              </w:rPr>
            </w:pPr>
            <w:r>
              <w:rPr>
                <w:sz w:val="24"/>
              </w:rPr>
              <w:t>东方永兴</w:t>
            </w:r>
            <w:r>
              <w:rPr>
                <w:sz w:val="24"/>
              </w:rPr>
              <w:t>18</w:t>
            </w:r>
            <w:r>
              <w:rPr>
                <w:sz w:val="24"/>
              </w:rPr>
              <w:t>个月定期开放债券型证券投资基金</w:t>
            </w:r>
          </w:p>
        </w:tc>
        <w:tc>
          <w:tcPr>
            <w:tcW w:w="1843" w:type="dxa"/>
            <w:vAlign w:val="center"/>
          </w:tcPr>
          <w:p w:rsidR="00A954A2" w:rsidRDefault="00A8614F">
            <w:pPr>
              <w:pStyle w:val="TableParagraph"/>
              <w:spacing w:line="307" w:lineRule="exact"/>
              <w:ind w:left="106"/>
              <w:jc w:val="center"/>
              <w:rPr>
                <w:sz w:val="24"/>
              </w:rPr>
            </w:pPr>
            <w:r>
              <w:rPr>
                <w:sz w:val="24"/>
              </w:rPr>
              <w:t>003324</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003325</w:t>
            </w:r>
            <w:r>
              <w:rPr>
                <w:sz w:val="24"/>
              </w:rPr>
              <w:t>（</w:t>
            </w:r>
            <w:r>
              <w:rPr>
                <w:sz w:val="24"/>
              </w:rPr>
              <w:t>C</w:t>
            </w:r>
            <w:r>
              <w:rPr>
                <w:sz w:val="24"/>
              </w:rPr>
              <w:t>类）</w:t>
            </w:r>
          </w:p>
        </w:tc>
        <w:tc>
          <w:tcPr>
            <w:tcW w:w="1677" w:type="dxa"/>
            <w:vMerge w:val="restart"/>
            <w:vAlign w:val="center"/>
          </w:tcPr>
          <w:p w:rsidR="00A954A2" w:rsidRDefault="00A8614F">
            <w:pPr>
              <w:pStyle w:val="TableParagraph"/>
              <w:jc w:val="center"/>
            </w:pPr>
            <w:r>
              <w:t>开户、申购、赎回、转换业务（仅限前端申购模式</w:t>
            </w:r>
            <w:r>
              <w:t>)</w:t>
            </w: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58</w:t>
            </w:r>
          </w:p>
        </w:tc>
        <w:tc>
          <w:tcPr>
            <w:tcW w:w="5245" w:type="dxa"/>
            <w:vAlign w:val="center"/>
          </w:tcPr>
          <w:p w:rsidR="00A954A2" w:rsidRDefault="00A8614F">
            <w:pPr>
              <w:pStyle w:val="TableParagraph"/>
              <w:ind w:left="125" w:right="118"/>
              <w:jc w:val="center"/>
              <w:rPr>
                <w:sz w:val="24"/>
              </w:rPr>
            </w:pPr>
            <w:r>
              <w:rPr>
                <w:sz w:val="24"/>
              </w:rPr>
              <w:t>东方永泰纯债</w:t>
            </w:r>
            <w:r>
              <w:rPr>
                <w:sz w:val="24"/>
              </w:rPr>
              <w:t>1</w:t>
            </w:r>
            <w:r>
              <w:rPr>
                <w:sz w:val="24"/>
              </w:rPr>
              <w:t>年定期开放债券型证券投资基金</w:t>
            </w:r>
          </w:p>
        </w:tc>
        <w:tc>
          <w:tcPr>
            <w:tcW w:w="1843" w:type="dxa"/>
            <w:vAlign w:val="center"/>
          </w:tcPr>
          <w:p w:rsidR="00A954A2" w:rsidRDefault="00A8614F">
            <w:pPr>
              <w:pStyle w:val="TableParagraph"/>
              <w:ind w:left="106"/>
              <w:jc w:val="center"/>
              <w:rPr>
                <w:sz w:val="24"/>
              </w:rPr>
            </w:pPr>
            <w:r>
              <w:rPr>
                <w:sz w:val="24"/>
              </w:rPr>
              <w:t>006715</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006716</w:t>
            </w:r>
            <w:r>
              <w:rPr>
                <w:sz w:val="24"/>
              </w:rPr>
              <w:t>（</w:t>
            </w:r>
            <w:r>
              <w:rPr>
                <w:sz w:val="24"/>
              </w:rPr>
              <w:t>C</w:t>
            </w:r>
            <w:r>
              <w:rPr>
                <w:sz w:val="24"/>
              </w:rPr>
              <w:t>类）</w:t>
            </w:r>
          </w:p>
        </w:tc>
        <w:tc>
          <w:tcPr>
            <w:tcW w:w="1677" w:type="dxa"/>
            <w:vMerge/>
            <w:vAlign w:val="center"/>
          </w:tcPr>
          <w:p w:rsidR="00A954A2" w:rsidRDefault="00A954A2">
            <w:pPr>
              <w:pStyle w:val="TableParagraph"/>
              <w:jc w:val="center"/>
            </w:pP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59</w:t>
            </w:r>
          </w:p>
        </w:tc>
        <w:tc>
          <w:tcPr>
            <w:tcW w:w="5245" w:type="dxa"/>
            <w:vAlign w:val="center"/>
          </w:tcPr>
          <w:p w:rsidR="00A954A2" w:rsidRDefault="00A8614F">
            <w:pPr>
              <w:pStyle w:val="TableParagraph"/>
              <w:spacing w:line="242" w:lineRule="auto"/>
              <w:ind w:left="1405" w:right="196" w:hanging="1200"/>
              <w:jc w:val="center"/>
              <w:rPr>
                <w:sz w:val="24"/>
              </w:rPr>
            </w:pPr>
            <w:r>
              <w:rPr>
                <w:sz w:val="24"/>
              </w:rPr>
              <w:t>东方卓行</w:t>
            </w:r>
            <w:r>
              <w:rPr>
                <w:sz w:val="24"/>
              </w:rPr>
              <w:t>18</w:t>
            </w:r>
            <w:r>
              <w:rPr>
                <w:sz w:val="24"/>
              </w:rPr>
              <w:t>个月定期开放债券型证券投资基金</w:t>
            </w:r>
          </w:p>
        </w:tc>
        <w:tc>
          <w:tcPr>
            <w:tcW w:w="1843" w:type="dxa"/>
            <w:vAlign w:val="center"/>
          </w:tcPr>
          <w:p w:rsidR="00A954A2" w:rsidRDefault="00A8614F">
            <w:pPr>
              <w:pStyle w:val="TableParagraph"/>
              <w:spacing w:line="307" w:lineRule="exact"/>
              <w:ind w:left="106"/>
              <w:jc w:val="center"/>
              <w:rPr>
                <w:sz w:val="24"/>
              </w:rPr>
            </w:pPr>
            <w:r>
              <w:rPr>
                <w:sz w:val="24"/>
              </w:rPr>
              <w:t>008322</w:t>
            </w:r>
            <w:r>
              <w:rPr>
                <w:sz w:val="24"/>
              </w:rPr>
              <w:t>（</w:t>
            </w:r>
            <w:r>
              <w:rPr>
                <w:sz w:val="24"/>
              </w:rPr>
              <w:t>A</w:t>
            </w:r>
            <w:r>
              <w:rPr>
                <w:sz w:val="24"/>
              </w:rPr>
              <w:t>类）</w:t>
            </w:r>
          </w:p>
          <w:p w:rsidR="00A954A2" w:rsidRDefault="00A8614F">
            <w:pPr>
              <w:pStyle w:val="TableParagraph"/>
              <w:spacing w:before="4"/>
              <w:ind w:left="106"/>
              <w:jc w:val="center"/>
              <w:rPr>
                <w:sz w:val="24"/>
              </w:rPr>
            </w:pPr>
            <w:r>
              <w:rPr>
                <w:sz w:val="24"/>
              </w:rPr>
              <w:t>008323</w:t>
            </w:r>
            <w:r>
              <w:rPr>
                <w:sz w:val="24"/>
              </w:rPr>
              <w:t>（</w:t>
            </w:r>
            <w:r>
              <w:rPr>
                <w:sz w:val="24"/>
              </w:rPr>
              <w:t>C</w:t>
            </w:r>
            <w:r>
              <w:rPr>
                <w:sz w:val="24"/>
              </w:rPr>
              <w:t>类）</w:t>
            </w:r>
          </w:p>
        </w:tc>
        <w:tc>
          <w:tcPr>
            <w:tcW w:w="1677" w:type="dxa"/>
            <w:vMerge/>
            <w:vAlign w:val="center"/>
          </w:tcPr>
          <w:p w:rsidR="00A954A2" w:rsidRDefault="00A954A2">
            <w:pPr>
              <w:pStyle w:val="TableParagraph"/>
              <w:jc w:val="center"/>
            </w:pP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6</w:t>
            </w:r>
            <w:r>
              <w:rPr>
                <w:rFonts w:hint="eastAsia"/>
                <w:sz w:val="24"/>
                <w:lang w:val="en-US"/>
              </w:rPr>
              <w:t>0</w:t>
            </w:r>
          </w:p>
        </w:tc>
        <w:tc>
          <w:tcPr>
            <w:tcW w:w="5245" w:type="dxa"/>
            <w:vAlign w:val="center"/>
          </w:tcPr>
          <w:p w:rsidR="00A954A2" w:rsidRDefault="00A8614F">
            <w:pPr>
              <w:pStyle w:val="TableParagraph"/>
              <w:spacing w:before="2"/>
              <w:ind w:left="125" w:right="118"/>
              <w:jc w:val="center"/>
              <w:rPr>
                <w:sz w:val="24"/>
              </w:rPr>
            </w:pPr>
            <w:r>
              <w:rPr>
                <w:sz w:val="24"/>
              </w:rPr>
              <w:t>东方永悦</w:t>
            </w:r>
            <w:r>
              <w:rPr>
                <w:sz w:val="24"/>
              </w:rPr>
              <w:t>18</w:t>
            </w:r>
            <w:r>
              <w:rPr>
                <w:sz w:val="24"/>
              </w:rPr>
              <w:t>个月定期开放纯债债券型证券投资基金</w:t>
            </w:r>
          </w:p>
        </w:tc>
        <w:tc>
          <w:tcPr>
            <w:tcW w:w="1843" w:type="dxa"/>
            <w:vAlign w:val="center"/>
          </w:tcPr>
          <w:p w:rsidR="00A954A2" w:rsidRDefault="00A8614F">
            <w:pPr>
              <w:pStyle w:val="TableParagraph"/>
              <w:spacing w:before="2"/>
              <w:ind w:left="106"/>
              <w:jc w:val="center"/>
              <w:rPr>
                <w:sz w:val="24"/>
              </w:rPr>
            </w:pPr>
            <w:r>
              <w:rPr>
                <w:sz w:val="24"/>
              </w:rPr>
              <w:t>009177</w:t>
            </w:r>
            <w:r>
              <w:rPr>
                <w:sz w:val="24"/>
              </w:rPr>
              <w:t>（</w:t>
            </w:r>
            <w:r>
              <w:rPr>
                <w:sz w:val="24"/>
              </w:rPr>
              <w:t>A</w:t>
            </w:r>
            <w:r>
              <w:rPr>
                <w:sz w:val="24"/>
              </w:rPr>
              <w:t>类）</w:t>
            </w:r>
          </w:p>
          <w:p w:rsidR="00A954A2" w:rsidRDefault="00A8614F">
            <w:pPr>
              <w:pStyle w:val="TableParagraph"/>
              <w:spacing w:before="4" w:line="292" w:lineRule="exact"/>
              <w:ind w:left="106"/>
              <w:jc w:val="center"/>
              <w:rPr>
                <w:sz w:val="24"/>
              </w:rPr>
            </w:pPr>
            <w:r>
              <w:rPr>
                <w:sz w:val="24"/>
              </w:rPr>
              <w:t>009178</w:t>
            </w:r>
            <w:r>
              <w:rPr>
                <w:sz w:val="24"/>
              </w:rPr>
              <w:t>（</w:t>
            </w:r>
            <w:r>
              <w:rPr>
                <w:sz w:val="24"/>
              </w:rPr>
              <w:t>C</w:t>
            </w:r>
            <w:r>
              <w:rPr>
                <w:sz w:val="24"/>
              </w:rPr>
              <w:t>类）</w:t>
            </w:r>
          </w:p>
        </w:tc>
        <w:tc>
          <w:tcPr>
            <w:tcW w:w="1677" w:type="dxa"/>
            <w:vMerge/>
            <w:vAlign w:val="center"/>
          </w:tcPr>
          <w:p w:rsidR="00A954A2" w:rsidRDefault="00A954A2">
            <w:pPr>
              <w:pStyle w:val="TableParagraph"/>
              <w:jc w:val="center"/>
            </w:pP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6</w:t>
            </w:r>
            <w:r>
              <w:rPr>
                <w:rFonts w:hint="eastAsia"/>
                <w:sz w:val="24"/>
                <w:lang w:val="en-US"/>
              </w:rPr>
              <w:t>1</w:t>
            </w:r>
          </w:p>
        </w:tc>
        <w:tc>
          <w:tcPr>
            <w:tcW w:w="5245" w:type="dxa"/>
            <w:vAlign w:val="center"/>
          </w:tcPr>
          <w:p w:rsidR="00A954A2" w:rsidRDefault="00A8614F">
            <w:pPr>
              <w:pStyle w:val="TableParagraph"/>
              <w:ind w:left="125" w:right="118"/>
              <w:jc w:val="center"/>
              <w:rPr>
                <w:sz w:val="24"/>
              </w:rPr>
            </w:pPr>
            <w:r>
              <w:rPr>
                <w:sz w:val="24"/>
              </w:rPr>
              <w:t>东方臻萃</w:t>
            </w:r>
            <w:r>
              <w:rPr>
                <w:sz w:val="24"/>
              </w:rPr>
              <w:t>3</w:t>
            </w:r>
            <w:r>
              <w:rPr>
                <w:sz w:val="24"/>
              </w:rPr>
              <w:t>个月定期开放纯债债券型证券投资基金</w:t>
            </w:r>
          </w:p>
        </w:tc>
        <w:tc>
          <w:tcPr>
            <w:tcW w:w="1843" w:type="dxa"/>
            <w:vAlign w:val="center"/>
          </w:tcPr>
          <w:p w:rsidR="00A954A2" w:rsidRDefault="00A8614F">
            <w:pPr>
              <w:pStyle w:val="TableParagraph"/>
              <w:ind w:left="106"/>
              <w:jc w:val="center"/>
              <w:rPr>
                <w:sz w:val="24"/>
              </w:rPr>
            </w:pPr>
            <w:r>
              <w:rPr>
                <w:sz w:val="24"/>
              </w:rPr>
              <w:t>009461</w:t>
            </w:r>
            <w:r>
              <w:rPr>
                <w:sz w:val="24"/>
              </w:rPr>
              <w:t>（</w:t>
            </w:r>
            <w:r>
              <w:rPr>
                <w:sz w:val="24"/>
              </w:rPr>
              <w:t>A</w:t>
            </w:r>
            <w:r>
              <w:rPr>
                <w:sz w:val="24"/>
              </w:rPr>
              <w:t>类）</w:t>
            </w:r>
          </w:p>
          <w:p w:rsidR="00A954A2" w:rsidRDefault="00A8614F">
            <w:pPr>
              <w:pStyle w:val="TableParagraph"/>
              <w:spacing w:before="5" w:line="292" w:lineRule="exact"/>
              <w:ind w:left="106"/>
              <w:jc w:val="center"/>
              <w:rPr>
                <w:sz w:val="24"/>
              </w:rPr>
            </w:pPr>
            <w:r>
              <w:rPr>
                <w:sz w:val="24"/>
              </w:rPr>
              <w:t>009462</w:t>
            </w:r>
            <w:r>
              <w:rPr>
                <w:sz w:val="24"/>
              </w:rPr>
              <w:t>（</w:t>
            </w:r>
            <w:r>
              <w:rPr>
                <w:sz w:val="24"/>
              </w:rPr>
              <w:t>C</w:t>
            </w:r>
            <w:r>
              <w:rPr>
                <w:sz w:val="24"/>
              </w:rPr>
              <w:t>类）</w:t>
            </w:r>
          </w:p>
        </w:tc>
        <w:tc>
          <w:tcPr>
            <w:tcW w:w="1677" w:type="dxa"/>
            <w:vMerge/>
            <w:vAlign w:val="center"/>
          </w:tcPr>
          <w:p w:rsidR="00A954A2" w:rsidRDefault="00A954A2">
            <w:pPr>
              <w:pStyle w:val="TableParagraph"/>
              <w:jc w:val="center"/>
            </w:pPr>
          </w:p>
        </w:tc>
      </w:tr>
      <w:tr w:rsidR="00A954A2">
        <w:trPr>
          <w:trHeight w:val="311"/>
          <w:jc w:val="center"/>
        </w:trPr>
        <w:tc>
          <w:tcPr>
            <w:tcW w:w="751" w:type="dxa"/>
            <w:vAlign w:val="center"/>
          </w:tcPr>
          <w:p w:rsidR="00A954A2" w:rsidRDefault="00A8614F">
            <w:pPr>
              <w:pStyle w:val="TableParagraph"/>
              <w:spacing w:before="2"/>
              <w:jc w:val="center"/>
              <w:rPr>
                <w:sz w:val="24"/>
                <w:lang w:val="en-US"/>
              </w:rPr>
            </w:pPr>
            <w:r>
              <w:rPr>
                <w:rFonts w:hint="eastAsia"/>
                <w:sz w:val="24"/>
                <w:lang w:val="en-US"/>
              </w:rPr>
              <w:t>6</w:t>
            </w:r>
            <w:r>
              <w:rPr>
                <w:rFonts w:hint="eastAsia"/>
                <w:sz w:val="24"/>
                <w:lang w:val="en-US"/>
              </w:rPr>
              <w:t>2</w:t>
            </w:r>
          </w:p>
        </w:tc>
        <w:tc>
          <w:tcPr>
            <w:tcW w:w="5245" w:type="dxa"/>
            <w:vAlign w:val="center"/>
          </w:tcPr>
          <w:p w:rsidR="00A954A2" w:rsidRDefault="00A8614F">
            <w:pPr>
              <w:pStyle w:val="TableParagraph"/>
              <w:ind w:left="125" w:right="118"/>
              <w:jc w:val="center"/>
              <w:rPr>
                <w:sz w:val="24"/>
                <w:lang w:val="en-US"/>
              </w:rPr>
            </w:pPr>
            <w:r>
              <w:rPr>
                <w:rFonts w:hint="eastAsia"/>
                <w:sz w:val="24"/>
                <w:lang w:val="en-US"/>
              </w:rPr>
              <w:t>东方锦合一年定期开放债券型发起式证券投资基金</w:t>
            </w:r>
          </w:p>
        </w:tc>
        <w:tc>
          <w:tcPr>
            <w:tcW w:w="1843" w:type="dxa"/>
            <w:vAlign w:val="center"/>
          </w:tcPr>
          <w:p w:rsidR="00A954A2" w:rsidRDefault="00A8614F">
            <w:pPr>
              <w:pStyle w:val="TableParagraph"/>
              <w:spacing w:before="5" w:line="292" w:lineRule="exact"/>
              <w:ind w:left="106"/>
              <w:jc w:val="center"/>
              <w:rPr>
                <w:sz w:val="24"/>
                <w:lang w:val="en-US"/>
              </w:rPr>
            </w:pPr>
            <w:r>
              <w:rPr>
                <w:rFonts w:hint="eastAsia"/>
                <w:sz w:val="24"/>
                <w:lang w:val="en-US"/>
              </w:rPr>
              <w:t>018855</w:t>
            </w:r>
          </w:p>
        </w:tc>
        <w:tc>
          <w:tcPr>
            <w:tcW w:w="1677" w:type="dxa"/>
            <w:vMerge/>
            <w:tcBorders>
              <w:bottom w:val="single" w:sz="4" w:space="0" w:color="000000"/>
            </w:tcBorders>
            <w:vAlign w:val="center"/>
          </w:tcPr>
          <w:p w:rsidR="00A954A2" w:rsidRDefault="00A954A2">
            <w:pPr>
              <w:pStyle w:val="TableParagraph"/>
              <w:jc w:val="center"/>
            </w:pPr>
          </w:p>
        </w:tc>
      </w:tr>
    </w:tbl>
    <w:p w:rsidR="00A954A2" w:rsidRDefault="00A8614F">
      <w:pPr>
        <w:pStyle w:val="a4"/>
        <w:rPr>
          <w:sz w:val="21"/>
          <w:szCs w:val="21"/>
        </w:rPr>
      </w:pPr>
      <w:r>
        <w:rPr>
          <w:sz w:val="21"/>
          <w:szCs w:val="21"/>
        </w:rPr>
        <w:t>备注：</w:t>
      </w:r>
    </w:p>
    <w:p w:rsidR="00A954A2" w:rsidRDefault="00A8614F">
      <w:pPr>
        <w:pStyle w:val="ad"/>
        <w:numPr>
          <w:ilvl w:val="255"/>
          <w:numId w:val="0"/>
        </w:numPr>
        <w:tabs>
          <w:tab w:val="left" w:pos="842"/>
        </w:tabs>
        <w:spacing w:before="42" w:line="242" w:lineRule="auto"/>
        <w:ind w:left="420" w:right="237"/>
        <w:rPr>
          <w:sz w:val="21"/>
          <w:szCs w:val="21"/>
        </w:rPr>
      </w:pPr>
      <w:r>
        <w:rPr>
          <w:rFonts w:hint="eastAsia"/>
          <w:spacing w:val="-5"/>
          <w:sz w:val="21"/>
          <w:szCs w:val="21"/>
          <w:lang w:val="en-US"/>
        </w:rPr>
        <w:t>1.</w:t>
      </w:r>
      <w:r>
        <w:rPr>
          <w:sz w:val="21"/>
          <w:szCs w:val="21"/>
        </w:rPr>
        <w:t>东方品质消费一年持有期混合型证券投资基金、东方鑫享价值成长一年持有期混合型证券投资基金、东方欣益一年持有期偏债混合型证券投资基金对每份基金份额设置</w:t>
      </w:r>
      <w:r>
        <w:rPr>
          <w:sz w:val="21"/>
          <w:szCs w:val="21"/>
        </w:rPr>
        <w:t>1</w:t>
      </w:r>
      <w:r>
        <w:rPr>
          <w:sz w:val="21"/>
          <w:szCs w:val="21"/>
        </w:rPr>
        <w:t>年的最短持有期限，即：自基金合同生效日（认购份额而言）、基金份额申购确认日（对申购份额而言）至该日次年的年度对日的期间内，投资者不能提出赎回申请；该日次年的年度对日之后，投资者可以提出赎回申请</w:t>
      </w:r>
      <w:r>
        <w:rPr>
          <w:rFonts w:hint="eastAsia"/>
          <w:sz w:val="21"/>
          <w:szCs w:val="21"/>
        </w:rPr>
        <w:t>。</w:t>
      </w:r>
      <w:r>
        <w:rPr>
          <w:sz w:val="21"/>
          <w:szCs w:val="21"/>
        </w:rPr>
        <w:t>东方欣冉九个月持有期混合型证券投资基金对每份基金份额设置九个月的最短持有期限，即：自基金合同生效日（认购份额而言）、基金份额申购确认日（对申购份额而言）或基金份额转换转入</w:t>
      </w:r>
      <w:r>
        <w:rPr>
          <w:rFonts w:hint="eastAsia"/>
          <w:sz w:val="21"/>
          <w:szCs w:val="21"/>
          <w:lang w:val="en-US"/>
        </w:rPr>
        <w:t>确认</w:t>
      </w:r>
      <w:r>
        <w:rPr>
          <w:sz w:val="21"/>
          <w:szCs w:val="21"/>
        </w:rPr>
        <w:t>日（对转换</w:t>
      </w:r>
      <w:r>
        <w:rPr>
          <w:rFonts w:hint="eastAsia"/>
          <w:sz w:val="21"/>
          <w:szCs w:val="21"/>
          <w:lang w:val="en-US"/>
        </w:rPr>
        <w:t>转入</w:t>
      </w:r>
      <w:r>
        <w:rPr>
          <w:sz w:val="21"/>
          <w:szCs w:val="21"/>
        </w:rPr>
        <w:t>份额而言）至该日九个月后的月度对日的期间内，投资者不能提出赎回申请；该日九个月后的月度对日之后，投资者可以提出赎回申请。若该日历月度实际不存在对应日期的，则顺延至下一工作日。</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2.</w:t>
      </w:r>
      <w:r>
        <w:rPr>
          <w:rFonts w:hint="eastAsia"/>
          <w:sz w:val="21"/>
          <w:szCs w:val="21"/>
          <w:lang w:val="en-US"/>
        </w:rPr>
        <w:t>东方锦合一年定期开放债券型发起式证券投资基金</w:t>
      </w:r>
      <w:r>
        <w:rPr>
          <w:sz w:val="21"/>
          <w:szCs w:val="21"/>
          <w:lang w:val="en-US"/>
        </w:rPr>
        <w:t>募集对象</w:t>
      </w:r>
      <w:r>
        <w:rPr>
          <w:rFonts w:hint="eastAsia"/>
          <w:sz w:val="21"/>
          <w:szCs w:val="21"/>
          <w:lang w:val="en-US"/>
        </w:rPr>
        <w:t>为符合法律法规规定的可投资于证券投资基金的机构投资者、合格境外投资者、发起资金提供方以及法律</w:t>
      </w:r>
      <w:r>
        <w:rPr>
          <w:rFonts w:hint="eastAsia"/>
          <w:sz w:val="21"/>
          <w:szCs w:val="21"/>
          <w:lang w:val="en-US"/>
        </w:rPr>
        <w:t>法规或中国证监会允许购买证券投资基金的其他投资人。本基金不向个人投资者公开销售。</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3.</w:t>
      </w:r>
      <w:r>
        <w:rPr>
          <w:rFonts w:hint="eastAsia"/>
          <w:sz w:val="21"/>
          <w:szCs w:val="21"/>
          <w:lang w:val="en-US"/>
        </w:rPr>
        <w:t>东方中债绿色普惠主题金融债券优选指数证券投资基金</w:t>
      </w:r>
      <w:r>
        <w:rPr>
          <w:sz w:val="21"/>
          <w:szCs w:val="21"/>
          <w:lang w:val="en-US"/>
        </w:rPr>
        <w:t>募集对象</w:t>
      </w:r>
      <w:r>
        <w:rPr>
          <w:rFonts w:hint="eastAsia"/>
          <w:sz w:val="21"/>
          <w:szCs w:val="21"/>
          <w:lang w:val="en-US"/>
        </w:rPr>
        <w:t>为符合法律法规规定的可投资于证券投资基金的个人投资者、机构投资者、合格境外投资者以及法律法规或中国证监会允许购买证券投资基金的其他投资人。本基金暂不向个人投资者公开发售，如未来本基金开放向个人投资者公开发售或对发售对象的范围予以进一步限定，基金管理人将另行公告。</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4</w:t>
      </w:r>
      <w:r>
        <w:rPr>
          <w:sz w:val="21"/>
          <w:szCs w:val="21"/>
          <w:lang w:val="en-US"/>
        </w:rPr>
        <w:t>.</w:t>
      </w:r>
      <w:r>
        <w:rPr>
          <w:sz w:val="21"/>
          <w:szCs w:val="21"/>
          <w:lang w:val="en-US"/>
        </w:rPr>
        <w:t>东方永兴</w:t>
      </w:r>
      <w:r>
        <w:rPr>
          <w:sz w:val="21"/>
          <w:szCs w:val="21"/>
          <w:lang w:val="en-US"/>
        </w:rPr>
        <w:t>18</w:t>
      </w:r>
      <w:r>
        <w:rPr>
          <w:sz w:val="21"/>
          <w:szCs w:val="21"/>
          <w:lang w:val="en-US"/>
        </w:rPr>
        <w:t>个月定期开放债券型证券投资基金、东方永泰纯债</w:t>
      </w:r>
      <w:r>
        <w:rPr>
          <w:sz w:val="21"/>
          <w:szCs w:val="21"/>
          <w:lang w:val="en-US"/>
        </w:rPr>
        <w:t>1</w:t>
      </w:r>
      <w:r>
        <w:rPr>
          <w:sz w:val="21"/>
          <w:szCs w:val="21"/>
          <w:lang w:val="en-US"/>
        </w:rPr>
        <w:t>年定期开放债券型证券投资基金、东方卓行</w:t>
      </w:r>
      <w:r>
        <w:rPr>
          <w:sz w:val="21"/>
          <w:szCs w:val="21"/>
          <w:lang w:val="en-US"/>
        </w:rPr>
        <w:t>18</w:t>
      </w:r>
      <w:r>
        <w:rPr>
          <w:sz w:val="21"/>
          <w:szCs w:val="21"/>
          <w:lang w:val="en-US"/>
        </w:rPr>
        <w:t>个</w:t>
      </w:r>
      <w:r>
        <w:rPr>
          <w:sz w:val="21"/>
          <w:szCs w:val="21"/>
          <w:lang w:val="en-US"/>
        </w:rPr>
        <w:t>月定期开放债券型证券投资基金、东方永悦</w:t>
      </w:r>
      <w:r>
        <w:rPr>
          <w:sz w:val="21"/>
          <w:szCs w:val="21"/>
          <w:lang w:val="en-US"/>
        </w:rPr>
        <w:t>18</w:t>
      </w:r>
      <w:r>
        <w:rPr>
          <w:sz w:val="21"/>
          <w:szCs w:val="21"/>
          <w:lang w:val="en-US"/>
        </w:rPr>
        <w:t>个月定期开放纯债债券型证券投资基金、东方臻萃</w:t>
      </w:r>
      <w:r>
        <w:rPr>
          <w:sz w:val="21"/>
          <w:szCs w:val="21"/>
          <w:lang w:val="en-US"/>
        </w:rPr>
        <w:t>3</w:t>
      </w:r>
      <w:r>
        <w:rPr>
          <w:sz w:val="21"/>
          <w:szCs w:val="21"/>
          <w:lang w:val="en-US"/>
        </w:rPr>
        <w:t>个月定期开放纯债债券型证券投资基金、</w:t>
      </w:r>
      <w:r>
        <w:rPr>
          <w:rFonts w:hint="eastAsia"/>
          <w:sz w:val="21"/>
          <w:szCs w:val="21"/>
          <w:lang w:val="en-US"/>
        </w:rPr>
        <w:t>东方锦合一年定期开放债券型发起式证券投资基金</w:t>
      </w:r>
      <w:r>
        <w:rPr>
          <w:sz w:val="21"/>
          <w:szCs w:val="21"/>
          <w:lang w:val="en-US"/>
        </w:rPr>
        <w:t>尚在封闭期内，待封闭期结束，本公司会及时发布相关开放公告，敬请留意。具体业务办理流程、规则请遵循相关销售机构的规定。</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5.</w:t>
      </w:r>
      <w:r>
        <w:rPr>
          <w:rFonts w:hint="eastAsia"/>
          <w:sz w:val="21"/>
          <w:szCs w:val="21"/>
          <w:lang w:val="en-US"/>
        </w:rPr>
        <w:t>东方享悦</w:t>
      </w:r>
      <w:r>
        <w:rPr>
          <w:rFonts w:hint="eastAsia"/>
          <w:sz w:val="21"/>
          <w:szCs w:val="21"/>
          <w:lang w:val="en-US"/>
        </w:rPr>
        <w:t>90</w:t>
      </w:r>
      <w:r>
        <w:rPr>
          <w:rFonts w:hint="eastAsia"/>
          <w:sz w:val="21"/>
          <w:szCs w:val="21"/>
          <w:lang w:val="en-US"/>
        </w:rPr>
        <w:t>天滚动持有债券型证券投资基金对于每份基金份额，设定</w:t>
      </w:r>
      <w:r>
        <w:rPr>
          <w:rFonts w:hint="eastAsia"/>
          <w:sz w:val="21"/>
          <w:szCs w:val="21"/>
          <w:lang w:val="en-US"/>
        </w:rPr>
        <w:t>90</w:t>
      </w:r>
      <w:r>
        <w:rPr>
          <w:rFonts w:hint="eastAsia"/>
          <w:sz w:val="21"/>
          <w:szCs w:val="21"/>
          <w:lang w:val="en-US"/>
        </w:rPr>
        <w:t>天的滚动运作期。每个运作期到期日前，基金份额持有人不能提出赎回申请。对于每份基金份额，第一个运作期指基金合同生效日（对认购份额而言，下同）或基金份额申购确认</w:t>
      </w:r>
      <w:r>
        <w:rPr>
          <w:rFonts w:hint="eastAsia"/>
          <w:sz w:val="21"/>
          <w:szCs w:val="21"/>
          <w:lang w:val="en-US"/>
        </w:rPr>
        <w:t>日（对申购份额而言，下同）起（即第一个运作期起始日），至基金合同生效日或基金份额申购申请日后的第</w:t>
      </w:r>
      <w:r>
        <w:rPr>
          <w:rFonts w:hint="eastAsia"/>
          <w:sz w:val="21"/>
          <w:szCs w:val="21"/>
          <w:lang w:val="en-US"/>
        </w:rPr>
        <w:t>90</w:t>
      </w:r>
      <w:r>
        <w:rPr>
          <w:rFonts w:hint="eastAsia"/>
          <w:sz w:val="21"/>
          <w:szCs w:val="21"/>
          <w:lang w:val="en-US"/>
        </w:rPr>
        <w:t>天（即第一个运作期到期日。如该日为非工作日，则顺延至下一工作日）止。第二个运作期指第一个运作期到期日的次一日起，至基金合同生效日或基金份额申购申请日后的第</w:t>
      </w:r>
      <w:r>
        <w:rPr>
          <w:rFonts w:hint="eastAsia"/>
          <w:sz w:val="21"/>
          <w:szCs w:val="21"/>
          <w:lang w:val="en-US"/>
        </w:rPr>
        <w:t>180</w:t>
      </w:r>
      <w:r>
        <w:rPr>
          <w:rFonts w:hint="eastAsia"/>
          <w:sz w:val="21"/>
          <w:szCs w:val="21"/>
          <w:lang w:val="en-US"/>
        </w:rPr>
        <w:t>天（如该日为非工作日，则顺延至下一工作日）止。以此类推。每个运作期到期日，基金份额持有人可提出赎回申请。如果基金份额持有人在当期运作期到期日未申请赎回或赎回被确认失败，则自该运作期到期日下一日起该基金份额进入下一个运作期。</w:t>
      </w:r>
      <w:r>
        <w:rPr>
          <w:sz w:val="21"/>
          <w:szCs w:val="21"/>
          <w:lang w:val="en-US"/>
        </w:rPr>
        <w:t>本基金投资者范围为符合法律法规</w:t>
      </w:r>
      <w:r>
        <w:rPr>
          <w:sz w:val="21"/>
          <w:szCs w:val="21"/>
          <w:lang w:val="en-US"/>
        </w:rPr>
        <w:t>规定的可投资于证券投资基金的个人投资者、机构投资者、合格境外投资者以及法律法规或中国证监会允许购买证券投资基金的其他投资人。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w:t>
      </w:r>
      <w:r>
        <w:rPr>
          <w:rFonts w:hint="eastAsia"/>
          <w:sz w:val="21"/>
          <w:szCs w:val="21"/>
          <w:lang w:val="en-US"/>
        </w:rPr>
        <w:t>本基金单一投资者单日申购金额不超过</w:t>
      </w:r>
      <w:r>
        <w:rPr>
          <w:rFonts w:hint="eastAsia"/>
          <w:sz w:val="21"/>
          <w:szCs w:val="21"/>
          <w:lang w:val="en-US"/>
        </w:rPr>
        <w:t xml:space="preserve"> 1000 </w:t>
      </w:r>
      <w:r>
        <w:rPr>
          <w:rFonts w:hint="eastAsia"/>
          <w:sz w:val="21"/>
          <w:szCs w:val="21"/>
          <w:lang w:val="en-US"/>
        </w:rPr>
        <w:t>万元（个人投资者、公募资产管理产品、职业年金、企业年金计划和基金管理人自有资金除外），基金管理人可以调整单一投资者单日申购金额上限，具体规</w:t>
      </w:r>
      <w:r>
        <w:rPr>
          <w:rFonts w:hint="eastAsia"/>
          <w:sz w:val="21"/>
          <w:szCs w:val="21"/>
          <w:lang w:val="en-US"/>
        </w:rPr>
        <w:t>定请参见更新的招募说明书或相关公告。</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6.</w:t>
      </w:r>
      <w:r>
        <w:rPr>
          <w:rFonts w:hint="eastAsia"/>
          <w:sz w:val="21"/>
          <w:szCs w:val="21"/>
          <w:lang w:val="en-US"/>
        </w:rPr>
        <w:t>东方享誉</w:t>
      </w:r>
      <w:r>
        <w:rPr>
          <w:rFonts w:hint="eastAsia"/>
          <w:sz w:val="21"/>
          <w:szCs w:val="21"/>
          <w:lang w:val="en-US"/>
        </w:rPr>
        <w:t>30</w:t>
      </w:r>
      <w:r>
        <w:rPr>
          <w:rFonts w:hint="eastAsia"/>
          <w:sz w:val="21"/>
          <w:szCs w:val="21"/>
          <w:lang w:val="en-US"/>
        </w:rPr>
        <w:t>天滚动持有债券型证券投资基金金对于每份基金份额，设定</w:t>
      </w:r>
      <w:r>
        <w:rPr>
          <w:rFonts w:hint="eastAsia"/>
          <w:sz w:val="21"/>
          <w:szCs w:val="21"/>
          <w:lang w:val="en-US"/>
        </w:rPr>
        <w:t>30</w:t>
      </w:r>
      <w:r>
        <w:rPr>
          <w:rFonts w:hint="eastAsia"/>
          <w:sz w:val="21"/>
          <w:szCs w:val="21"/>
          <w:lang w:val="en-US"/>
        </w:rPr>
        <w:t>天的滚动运作期。每个运作期到期日前，基金份额持有人不能提出赎回申请。对于每份基金份额，第一个运作期指基金合同生效日（对认购份额而言，下同）或基金份额申购确认日（对申购份额而言，下同）起（即第一个运作期起始日），至基金合同生效日或基金份额申购申请日后的第</w:t>
      </w:r>
      <w:r>
        <w:rPr>
          <w:rFonts w:hint="eastAsia"/>
          <w:sz w:val="21"/>
          <w:szCs w:val="21"/>
          <w:lang w:val="en-US"/>
        </w:rPr>
        <w:t xml:space="preserve"> 30 </w:t>
      </w:r>
      <w:r>
        <w:rPr>
          <w:rFonts w:hint="eastAsia"/>
          <w:sz w:val="21"/>
          <w:szCs w:val="21"/>
          <w:lang w:val="en-US"/>
        </w:rPr>
        <w:t>天（即第一个运作期到期日。如该日为非工作日，则顺延至下一工作日）止。第二个运作期指第一个运作期到期日的次一日起，至基金合同生效日或基金份额申购</w:t>
      </w:r>
      <w:r>
        <w:rPr>
          <w:rFonts w:hint="eastAsia"/>
          <w:sz w:val="21"/>
          <w:szCs w:val="21"/>
          <w:lang w:val="en-US"/>
        </w:rPr>
        <w:t>申请日后的第</w:t>
      </w:r>
      <w:r>
        <w:rPr>
          <w:rFonts w:hint="eastAsia"/>
          <w:sz w:val="21"/>
          <w:szCs w:val="21"/>
          <w:lang w:val="en-US"/>
        </w:rPr>
        <w:t xml:space="preserve"> 60 </w:t>
      </w:r>
      <w:r>
        <w:rPr>
          <w:rFonts w:hint="eastAsia"/>
          <w:sz w:val="21"/>
          <w:szCs w:val="21"/>
          <w:lang w:val="en-US"/>
        </w:rPr>
        <w:t>天（如该日为非工作日，则顺延至下一工作日）止。以此类推。每个运作期到期日，基金份额持有人可提出赎回申请。如果基金份额持有人在当期运作期到期日未申请赎回或赎回被确认失败，则自该运作期到期日下一日起该基金份额进入下一个运作期。</w:t>
      </w:r>
      <w:r>
        <w:rPr>
          <w:sz w:val="21"/>
          <w:szCs w:val="21"/>
          <w:lang w:val="en-US"/>
        </w:rPr>
        <w:t>本基金暂不向金融机构自营账户销售（基金管理人自有资金除外）。基金管理人有权对发售对象的范围予以进一步限定，如未来本基金开放向金融机构自营账户公开销售或对募集对象的范围予以进一步限定，基金管理人将另行公告。本基金单一投资者单日认购金额不超过</w:t>
      </w:r>
      <w:r>
        <w:rPr>
          <w:sz w:val="21"/>
          <w:szCs w:val="21"/>
          <w:lang w:val="en-US"/>
        </w:rPr>
        <w:t xml:space="preserve"> 1000 </w:t>
      </w:r>
      <w:r>
        <w:rPr>
          <w:sz w:val="21"/>
          <w:szCs w:val="21"/>
          <w:lang w:val="en-US"/>
        </w:rPr>
        <w:t>万元（个人投资者、公</w:t>
      </w:r>
      <w:r>
        <w:rPr>
          <w:sz w:val="21"/>
          <w:szCs w:val="21"/>
          <w:lang w:val="en-US"/>
        </w:rPr>
        <w:t>募资产管理产品、职业年金、企业年金计划和基金管理人自有资金除外），基金管理人可以调整单一投资者单日认购金额上限，具体规定请参见更新的招募说明书或相关公告。</w:t>
      </w:r>
    </w:p>
    <w:p w:rsidR="00A954A2" w:rsidRDefault="00A8614F">
      <w:pPr>
        <w:pStyle w:val="ad"/>
        <w:numPr>
          <w:ilvl w:val="255"/>
          <w:numId w:val="0"/>
        </w:numPr>
        <w:tabs>
          <w:tab w:val="left" w:pos="842"/>
        </w:tabs>
        <w:spacing w:before="42" w:line="242" w:lineRule="auto"/>
        <w:ind w:left="420" w:right="237"/>
        <w:rPr>
          <w:sz w:val="21"/>
          <w:szCs w:val="21"/>
          <w:lang w:val="en-US"/>
        </w:rPr>
      </w:pPr>
      <w:r>
        <w:rPr>
          <w:sz w:val="21"/>
          <w:szCs w:val="21"/>
          <w:lang w:val="en-US"/>
        </w:rPr>
        <w:t>7.</w:t>
      </w:r>
      <w:r>
        <w:rPr>
          <w:sz w:val="21"/>
          <w:szCs w:val="21"/>
          <w:lang w:val="en-US"/>
        </w:rPr>
        <w:t>东方养老目标日期</w:t>
      </w:r>
      <w:r>
        <w:rPr>
          <w:sz w:val="21"/>
          <w:szCs w:val="21"/>
          <w:lang w:val="en-US"/>
        </w:rPr>
        <w:t>2050</w:t>
      </w:r>
      <w:r>
        <w:rPr>
          <w:sz w:val="21"/>
          <w:szCs w:val="21"/>
          <w:lang w:val="en-US"/>
        </w:rPr>
        <w:t>五年持有期混合型发起式基金中基金（</w:t>
      </w:r>
      <w:r>
        <w:rPr>
          <w:sz w:val="21"/>
          <w:szCs w:val="21"/>
          <w:lang w:val="en-US"/>
        </w:rPr>
        <w:t>FOF</w:t>
      </w:r>
      <w:r>
        <w:rPr>
          <w:sz w:val="21"/>
          <w:szCs w:val="21"/>
          <w:lang w:val="en-US"/>
        </w:rPr>
        <w:t>）对每份基金份额设置</w:t>
      </w:r>
      <w:r>
        <w:rPr>
          <w:sz w:val="21"/>
          <w:szCs w:val="21"/>
          <w:lang w:val="en-US"/>
        </w:rPr>
        <w:t>5</w:t>
      </w:r>
      <w:r>
        <w:rPr>
          <w:sz w:val="21"/>
          <w:szCs w:val="21"/>
          <w:lang w:val="en-US"/>
        </w:rPr>
        <w:t>年的最短持有期限，即：自基金合同生效日（对认购份额而言）、基金份额申购确认日（对申购份额而言）至该日</w:t>
      </w:r>
      <w:r>
        <w:rPr>
          <w:sz w:val="21"/>
          <w:szCs w:val="21"/>
          <w:lang w:val="en-US"/>
        </w:rPr>
        <w:t>5</w:t>
      </w:r>
      <w:r>
        <w:rPr>
          <w:sz w:val="21"/>
          <w:szCs w:val="21"/>
          <w:lang w:val="en-US"/>
        </w:rPr>
        <w:t>年后的年度对日的期间内，投资者不能提出赎回申请；该日</w:t>
      </w:r>
      <w:r>
        <w:rPr>
          <w:sz w:val="21"/>
          <w:szCs w:val="21"/>
          <w:lang w:val="en-US"/>
        </w:rPr>
        <w:t>5</w:t>
      </w:r>
      <w:r>
        <w:rPr>
          <w:sz w:val="21"/>
          <w:szCs w:val="21"/>
          <w:lang w:val="en-US"/>
        </w:rPr>
        <w:t>年后的年度对日之后的第</w:t>
      </w:r>
      <w:r>
        <w:rPr>
          <w:sz w:val="21"/>
          <w:szCs w:val="21"/>
          <w:lang w:val="en-US"/>
        </w:rPr>
        <w:t>1</w:t>
      </w:r>
      <w:r>
        <w:rPr>
          <w:sz w:val="21"/>
          <w:szCs w:val="21"/>
          <w:lang w:val="en-US"/>
        </w:rPr>
        <w:t>个工作日起，投资者可以提出赎回申请。目标日期到达后即</w:t>
      </w:r>
      <w:r>
        <w:rPr>
          <w:sz w:val="21"/>
          <w:szCs w:val="21"/>
          <w:lang w:val="en-US"/>
        </w:rPr>
        <w:t>2051</w:t>
      </w:r>
      <w:r>
        <w:rPr>
          <w:sz w:val="21"/>
          <w:szCs w:val="21"/>
          <w:lang w:val="en-US"/>
        </w:rPr>
        <w:t>年</w:t>
      </w:r>
      <w:r>
        <w:rPr>
          <w:sz w:val="21"/>
          <w:szCs w:val="21"/>
          <w:lang w:val="en-US"/>
        </w:rPr>
        <w:t>1</w:t>
      </w:r>
      <w:r>
        <w:rPr>
          <w:sz w:val="21"/>
          <w:szCs w:val="21"/>
          <w:lang w:val="en-US"/>
        </w:rPr>
        <w:t>月</w:t>
      </w:r>
      <w:r>
        <w:rPr>
          <w:sz w:val="21"/>
          <w:szCs w:val="21"/>
          <w:lang w:val="en-US"/>
        </w:rPr>
        <w:t>1</w:t>
      </w:r>
      <w:r>
        <w:rPr>
          <w:sz w:val="21"/>
          <w:szCs w:val="21"/>
          <w:lang w:val="en-US"/>
        </w:rPr>
        <w:t>日起，本基金名称变</w:t>
      </w:r>
      <w:r>
        <w:rPr>
          <w:sz w:val="21"/>
          <w:szCs w:val="21"/>
          <w:lang w:val="en-US"/>
        </w:rPr>
        <w:t>更为</w:t>
      </w:r>
      <w:r>
        <w:rPr>
          <w:sz w:val="21"/>
          <w:szCs w:val="21"/>
          <w:lang w:val="en-US"/>
        </w:rPr>
        <w:t>“</w:t>
      </w:r>
      <w:r>
        <w:rPr>
          <w:sz w:val="21"/>
          <w:szCs w:val="21"/>
          <w:lang w:val="en-US"/>
        </w:rPr>
        <w:t>东方泰成混合型基金中基金（</w:t>
      </w:r>
      <w:r>
        <w:rPr>
          <w:sz w:val="21"/>
          <w:szCs w:val="21"/>
          <w:lang w:val="en-US"/>
        </w:rPr>
        <w:t>FOF</w:t>
      </w:r>
      <w:r>
        <w:rPr>
          <w:sz w:val="21"/>
          <w:szCs w:val="21"/>
          <w:lang w:val="en-US"/>
        </w:rPr>
        <w:t>）</w:t>
      </w:r>
      <w:r>
        <w:rPr>
          <w:sz w:val="21"/>
          <w:szCs w:val="21"/>
          <w:lang w:val="en-US"/>
        </w:rPr>
        <w:t>”</w:t>
      </w:r>
      <w:r>
        <w:rPr>
          <w:sz w:val="21"/>
          <w:szCs w:val="21"/>
          <w:lang w:val="en-US"/>
        </w:rPr>
        <w:t>，本基金不再设置每份基金份额的锁定期，申购、赎回等业务将按照普通开放式基金规则办理。基金份额持有人在转型前申购本基金，至转型日持有基金份额不足</w:t>
      </w:r>
      <w:r>
        <w:rPr>
          <w:sz w:val="21"/>
          <w:szCs w:val="21"/>
          <w:lang w:val="en-US"/>
        </w:rPr>
        <w:t>5</w:t>
      </w:r>
      <w:r>
        <w:rPr>
          <w:sz w:val="21"/>
          <w:szCs w:val="21"/>
          <w:lang w:val="en-US"/>
        </w:rPr>
        <w:t>年的，在转型日之后的第</w:t>
      </w:r>
      <w:r>
        <w:rPr>
          <w:sz w:val="21"/>
          <w:szCs w:val="21"/>
          <w:lang w:val="en-US"/>
        </w:rPr>
        <w:t>1</w:t>
      </w:r>
      <w:r>
        <w:rPr>
          <w:sz w:val="21"/>
          <w:szCs w:val="21"/>
          <w:lang w:val="en-US"/>
        </w:rPr>
        <w:t>个工作日起可以提出赎回申请，不受</w:t>
      </w:r>
      <w:r>
        <w:rPr>
          <w:sz w:val="21"/>
          <w:szCs w:val="21"/>
          <w:lang w:val="en-US"/>
        </w:rPr>
        <w:t>5</w:t>
      </w:r>
      <w:r>
        <w:rPr>
          <w:sz w:val="21"/>
          <w:szCs w:val="21"/>
          <w:lang w:val="en-US"/>
        </w:rPr>
        <w:t>年持有期限制。</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8</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5</w:t>
      </w:r>
      <w:r>
        <w:rPr>
          <w:sz w:val="21"/>
          <w:szCs w:val="21"/>
          <w:lang w:val="en-US"/>
        </w:rPr>
        <w:t>月</w:t>
      </w:r>
      <w:r>
        <w:rPr>
          <w:sz w:val="21"/>
          <w:szCs w:val="21"/>
          <w:lang w:val="en-US"/>
        </w:rPr>
        <w:t>27</w:t>
      </w:r>
      <w:r>
        <w:rPr>
          <w:sz w:val="21"/>
          <w:szCs w:val="21"/>
          <w:lang w:val="en-US"/>
        </w:rPr>
        <w:t>日起，本基金管理人暂停接受非直销机构对东方金账簿货币市场证券投资基金的单笔金额</w:t>
      </w:r>
      <w:r>
        <w:rPr>
          <w:sz w:val="21"/>
          <w:szCs w:val="21"/>
          <w:lang w:val="en-US"/>
        </w:rPr>
        <w:t>500</w:t>
      </w:r>
      <w:r>
        <w:rPr>
          <w:sz w:val="21"/>
          <w:szCs w:val="21"/>
          <w:lang w:val="en-US"/>
        </w:rPr>
        <w:t>万元以上（不含</w:t>
      </w:r>
      <w:r>
        <w:rPr>
          <w:sz w:val="21"/>
          <w:szCs w:val="21"/>
          <w:lang w:val="en-US"/>
        </w:rPr>
        <w:t>500</w:t>
      </w:r>
      <w:r>
        <w:rPr>
          <w:sz w:val="21"/>
          <w:szCs w:val="21"/>
          <w:lang w:val="en-US"/>
        </w:rPr>
        <w:t>万元）申购（包括日常申购和定期定额申购）、转换转入申请，且单个基金账户单日累计申购（包括日常申购和定期定额申购）及转换转入金</w:t>
      </w:r>
      <w:r>
        <w:rPr>
          <w:sz w:val="21"/>
          <w:szCs w:val="21"/>
          <w:lang w:val="en-US"/>
        </w:rPr>
        <w:t>额不得超过</w:t>
      </w:r>
      <w:r>
        <w:rPr>
          <w:sz w:val="21"/>
          <w:szCs w:val="21"/>
          <w:lang w:val="en-US"/>
        </w:rPr>
        <w:t>500</w:t>
      </w:r>
      <w:r>
        <w:rPr>
          <w:sz w:val="21"/>
          <w:szCs w:val="21"/>
          <w:lang w:val="en-US"/>
        </w:rPr>
        <w:t>万元以上（不含</w:t>
      </w:r>
      <w:r>
        <w:rPr>
          <w:sz w:val="21"/>
          <w:szCs w:val="21"/>
          <w:lang w:val="en-US"/>
        </w:rPr>
        <w:t>500</w:t>
      </w:r>
      <w:r>
        <w:rPr>
          <w:sz w:val="21"/>
          <w:szCs w:val="21"/>
          <w:lang w:val="en-US"/>
        </w:rPr>
        <w:t>万元）。对于超过限额的申请，本基金管理人有权拒绝，不予确认。</w:t>
      </w:r>
      <w:r>
        <w:rPr>
          <w:sz w:val="21"/>
          <w:szCs w:val="21"/>
          <w:lang w:val="en-US"/>
        </w:rPr>
        <w:t>2023</w:t>
      </w:r>
      <w:r>
        <w:rPr>
          <w:rFonts w:hint="eastAsia"/>
          <w:sz w:val="21"/>
          <w:szCs w:val="21"/>
          <w:lang w:val="en-US"/>
        </w:rPr>
        <w:t>年</w:t>
      </w:r>
      <w:r>
        <w:rPr>
          <w:sz w:val="21"/>
          <w:szCs w:val="21"/>
          <w:lang w:val="en-US"/>
        </w:rPr>
        <w:t>7</w:t>
      </w:r>
      <w:r>
        <w:rPr>
          <w:rFonts w:hint="eastAsia"/>
          <w:sz w:val="21"/>
          <w:szCs w:val="21"/>
          <w:lang w:val="en-US"/>
        </w:rPr>
        <w:t>月</w:t>
      </w:r>
      <w:r>
        <w:rPr>
          <w:sz w:val="21"/>
          <w:szCs w:val="21"/>
          <w:lang w:val="en-US"/>
        </w:rPr>
        <w:t>20</w:t>
      </w:r>
      <w:r>
        <w:rPr>
          <w:rFonts w:hint="eastAsia"/>
          <w:sz w:val="21"/>
          <w:szCs w:val="21"/>
          <w:lang w:val="en-US"/>
        </w:rPr>
        <w:t>日起取消本基金</w:t>
      </w:r>
      <w:r>
        <w:rPr>
          <w:sz w:val="21"/>
          <w:szCs w:val="21"/>
          <w:lang w:val="en-US"/>
        </w:rPr>
        <w:t>A/B</w:t>
      </w:r>
      <w:r>
        <w:rPr>
          <w:rFonts w:hint="eastAsia"/>
          <w:sz w:val="21"/>
          <w:szCs w:val="21"/>
          <w:lang w:val="en-US"/>
        </w:rPr>
        <w:t>类基金份额自动升降级业务，同时调整本基金份额最低交易限额为</w:t>
      </w:r>
      <w:r>
        <w:rPr>
          <w:sz w:val="21"/>
          <w:szCs w:val="21"/>
          <w:lang w:val="en-US"/>
        </w:rPr>
        <w:t>0.01</w:t>
      </w:r>
      <w:r>
        <w:rPr>
          <w:rFonts w:hint="eastAsia"/>
          <w:sz w:val="21"/>
          <w:szCs w:val="21"/>
          <w:lang w:val="en-US"/>
        </w:rPr>
        <w:t>元</w:t>
      </w:r>
      <w:r>
        <w:rPr>
          <w:sz w:val="21"/>
          <w:szCs w:val="21"/>
          <w:lang w:val="en-US"/>
        </w:rPr>
        <w:t>/</w:t>
      </w:r>
      <w:r>
        <w:rPr>
          <w:rFonts w:hint="eastAsia"/>
          <w:sz w:val="21"/>
          <w:szCs w:val="21"/>
          <w:lang w:val="en-US"/>
        </w:rPr>
        <w:t>份。</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9.</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日起，本基金管理人暂停接受对东方金元宝货币市场基金</w:t>
      </w:r>
      <w:r>
        <w:rPr>
          <w:rFonts w:hint="eastAsia"/>
          <w:sz w:val="21"/>
          <w:szCs w:val="21"/>
          <w:lang w:val="en-US"/>
        </w:rPr>
        <w:t>A</w:t>
      </w:r>
      <w:r>
        <w:rPr>
          <w:rFonts w:hint="eastAsia"/>
          <w:sz w:val="21"/>
          <w:szCs w:val="21"/>
          <w:lang w:val="en-US"/>
        </w:rPr>
        <w:t>类份额（基金代码</w:t>
      </w:r>
      <w:r>
        <w:rPr>
          <w:rFonts w:hint="eastAsia"/>
          <w:sz w:val="21"/>
          <w:szCs w:val="21"/>
          <w:lang w:val="en-US"/>
        </w:rPr>
        <w:t>001987</w:t>
      </w:r>
      <w:r>
        <w:rPr>
          <w:rFonts w:hint="eastAsia"/>
          <w:sz w:val="21"/>
          <w:szCs w:val="21"/>
          <w:lang w:val="en-US"/>
        </w:rPr>
        <w:t>）的单笔金额</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万元）申购（包括日常申购和定期定额申购）、转换转入申请，且单个基金账户单日累计申购（包括日常申购和定期定额申购）及转换转入金额不得超过</w:t>
      </w:r>
      <w:r>
        <w:rPr>
          <w:rFonts w:hint="eastAsia"/>
          <w:sz w:val="21"/>
          <w:szCs w:val="21"/>
          <w:lang w:val="en-US"/>
        </w:rPr>
        <w:t>3000</w:t>
      </w:r>
      <w:r>
        <w:rPr>
          <w:rFonts w:hint="eastAsia"/>
          <w:sz w:val="21"/>
          <w:szCs w:val="21"/>
          <w:lang w:val="en-US"/>
        </w:rPr>
        <w:t>万元以上（不含</w:t>
      </w:r>
      <w:r>
        <w:rPr>
          <w:rFonts w:hint="eastAsia"/>
          <w:sz w:val="21"/>
          <w:szCs w:val="21"/>
          <w:lang w:val="en-US"/>
        </w:rPr>
        <w:t>3000</w:t>
      </w:r>
      <w:r>
        <w:rPr>
          <w:rFonts w:hint="eastAsia"/>
          <w:sz w:val="21"/>
          <w:szCs w:val="21"/>
          <w:lang w:val="en-US"/>
        </w:rPr>
        <w:t>万元）。对于超过限额的申请，本基金管理人有权拒绝，不予确认。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10.</w:t>
      </w:r>
      <w:r>
        <w:rPr>
          <w:rFonts w:hint="eastAsia"/>
          <w:sz w:val="21"/>
          <w:szCs w:val="21"/>
          <w:lang w:val="en-US"/>
        </w:rPr>
        <w:t>自</w:t>
      </w:r>
      <w:r>
        <w:rPr>
          <w:rFonts w:hint="eastAsia"/>
          <w:sz w:val="21"/>
          <w:szCs w:val="21"/>
          <w:lang w:val="en-US"/>
        </w:rPr>
        <w:t>2024</w:t>
      </w:r>
      <w:r>
        <w:rPr>
          <w:rFonts w:hint="eastAsia"/>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6</w:t>
      </w:r>
      <w:r>
        <w:rPr>
          <w:rFonts w:hint="eastAsia"/>
          <w:sz w:val="21"/>
          <w:szCs w:val="21"/>
          <w:lang w:val="en-US"/>
        </w:rPr>
        <w:t>日起，本基金管理人暂停接受对东方金证通货币市场基金的单笔金额</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万元）申购（包括日常申购和定</w:t>
      </w:r>
      <w:r>
        <w:rPr>
          <w:rFonts w:hint="eastAsia"/>
          <w:sz w:val="21"/>
          <w:szCs w:val="21"/>
          <w:lang w:val="en-US"/>
        </w:rPr>
        <w:t>期定额申购）、转换转入申请，且单个基金账户单日累计申购（包括日常申购和定期定额申购）及转换转入金额不得超过</w:t>
      </w:r>
      <w:r>
        <w:rPr>
          <w:rFonts w:hint="eastAsia"/>
          <w:sz w:val="21"/>
          <w:szCs w:val="21"/>
          <w:lang w:val="en-US"/>
        </w:rPr>
        <w:t>5000</w:t>
      </w:r>
      <w:r>
        <w:rPr>
          <w:rFonts w:hint="eastAsia"/>
          <w:sz w:val="21"/>
          <w:szCs w:val="21"/>
          <w:lang w:val="en-US"/>
        </w:rPr>
        <w:t>万元以上（不含</w:t>
      </w:r>
      <w:r>
        <w:rPr>
          <w:rFonts w:hint="eastAsia"/>
          <w:sz w:val="21"/>
          <w:szCs w:val="21"/>
          <w:lang w:val="en-US"/>
        </w:rPr>
        <w:t>5000</w:t>
      </w:r>
      <w:r>
        <w:rPr>
          <w:rFonts w:hint="eastAsia"/>
          <w:sz w:val="21"/>
          <w:szCs w:val="21"/>
          <w:lang w:val="en-US"/>
        </w:rPr>
        <w:t>万元）。对于超过限额的申请，本基金管理人有权拒绝，不予确认。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11</w:t>
      </w:r>
      <w:r>
        <w:rPr>
          <w:sz w:val="21"/>
          <w:szCs w:val="21"/>
          <w:lang w:val="en-US"/>
        </w:rPr>
        <w:t>.</w:t>
      </w:r>
      <w:r>
        <w:rPr>
          <w:sz w:val="21"/>
          <w:szCs w:val="21"/>
          <w:lang w:val="en-US"/>
        </w:rPr>
        <w:t>自</w:t>
      </w:r>
      <w:r>
        <w:rPr>
          <w:sz w:val="21"/>
          <w:szCs w:val="21"/>
          <w:lang w:val="en-US"/>
        </w:rPr>
        <w:t>2020</w:t>
      </w:r>
      <w:r>
        <w:rPr>
          <w:sz w:val="21"/>
          <w:szCs w:val="21"/>
          <w:lang w:val="en-US"/>
        </w:rPr>
        <w:t>年</w:t>
      </w:r>
      <w:r>
        <w:rPr>
          <w:sz w:val="21"/>
          <w:szCs w:val="21"/>
          <w:lang w:val="en-US"/>
        </w:rPr>
        <w:t>8</w:t>
      </w:r>
      <w:r>
        <w:rPr>
          <w:sz w:val="21"/>
          <w:szCs w:val="21"/>
          <w:lang w:val="en-US"/>
        </w:rPr>
        <w:t>月</w:t>
      </w:r>
      <w:r>
        <w:rPr>
          <w:sz w:val="21"/>
          <w:szCs w:val="21"/>
          <w:lang w:val="en-US"/>
        </w:rPr>
        <w:t>31</w:t>
      </w:r>
      <w:r>
        <w:rPr>
          <w:sz w:val="21"/>
          <w:szCs w:val="21"/>
          <w:lang w:val="en-US"/>
        </w:rPr>
        <w:t>日起，本基金管理人暂停接受对东方盛世灵活配置混合型证券投资基金的单笔金额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万元以上（不含</w:t>
      </w:r>
      <w:r>
        <w:rPr>
          <w:sz w:val="21"/>
          <w:szCs w:val="21"/>
          <w:lang w:val="en-US"/>
        </w:rPr>
        <w:t>100</w:t>
      </w:r>
      <w:r>
        <w:rPr>
          <w:sz w:val="21"/>
          <w:szCs w:val="21"/>
          <w:lang w:val="en-US"/>
        </w:rPr>
        <w:t>万元）。对于超过限额的申请，本</w:t>
      </w:r>
      <w:r>
        <w:rPr>
          <w:sz w:val="21"/>
          <w:szCs w:val="21"/>
          <w:lang w:val="en-US"/>
        </w:rPr>
        <w:t>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12</w:t>
      </w:r>
      <w:r>
        <w:rPr>
          <w:sz w:val="21"/>
          <w:szCs w:val="21"/>
          <w:lang w:val="en-US"/>
        </w:rPr>
        <w:t>.</w:t>
      </w:r>
      <w:r>
        <w:rPr>
          <w:sz w:val="21"/>
          <w:szCs w:val="21"/>
          <w:lang w:val="en-US"/>
        </w:rPr>
        <w:t>自</w:t>
      </w:r>
      <w:r>
        <w:rPr>
          <w:sz w:val="21"/>
          <w:szCs w:val="21"/>
          <w:lang w:val="en-US"/>
        </w:rPr>
        <w:t>2021</w:t>
      </w:r>
      <w:r>
        <w:rPr>
          <w:sz w:val="21"/>
          <w:szCs w:val="21"/>
          <w:lang w:val="en-US"/>
        </w:rPr>
        <w:t>年</w:t>
      </w:r>
      <w:r>
        <w:rPr>
          <w:sz w:val="21"/>
          <w:szCs w:val="21"/>
          <w:lang w:val="en-US"/>
        </w:rPr>
        <w:t>3</w:t>
      </w:r>
      <w:r>
        <w:rPr>
          <w:sz w:val="21"/>
          <w:szCs w:val="21"/>
          <w:lang w:val="en-US"/>
        </w:rPr>
        <w:t>月</w:t>
      </w:r>
      <w:r>
        <w:rPr>
          <w:sz w:val="21"/>
          <w:szCs w:val="21"/>
          <w:lang w:val="en-US"/>
        </w:rPr>
        <w:t>8</w:t>
      </w:r>
      <w:r>
        <w:rPr>
          <w:sz w:val="21"/>
          <w:szCs w:val="21"/>
          <w:lang w:val="en-US"/>
        </w:rPr>
        <w:t>日起，本基金管理人暂停接受对东方成长收益灵活配置混合型证券投资基金的单笔金额</w:t>
      </w:r>
      <w:r>
        <w:rPr>
          <w:sz w:val="21"/>
          <w:szCs w:val="21"/>
          <w:lang w:val="en-US"/>
        </w:rPr>
        <w:t>50</w:t>
      </w:r>
      <w:r>
        <w:rPr>
          <w:sz w:val="21"/>
          <w:szCs w:val="21"/>
          <w:lang w:val="en-US"/>
        </w:rPr>
        <w:t>万元以上（不含</w:t>
      </w:r>
      <w:r>
        <w:rPr>
          <w:sz w:val="21"/>
          <w:szCs w:val="21"/>
          <w:lang w:val="en-US"/>
        </w:rPr>
        <w:t>50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50</w:t>
      </w:r>
      <w:r>
        <w:rPr>
          <w:sz w:val="21"/>
          <w:szCs w:val="21"/>
          <w:lang w:val="en-US"/>
        </w:rPr>
        <w:t>万元以上（不含</w:t>
      </w:r>
      <w:r>
        <w:rPr>
          <w:sz w:val="21"/>
          <w:szCs w:val="21"/>
          <w:lang w:val="en-US"/>
        </w:rPr>
        <w:t>50</w:t>
      </w:r>
      <w:r>
        <w:rPr>
          <w:sz w:val="21"/>
          <w:szCs w:val="21"/>
          <w:lang w:val="en-US"/>
        </w:rPr>
        <w:t>万元）。对于超过限额的申请，本基金管理人有权拒绝，不予确认。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13.</w:t>
      </w:r>
      <w:r>
        <w:rPr>
          <w:sz w:val="21"/>
          <w:szCs w:val="21"/>
          <w:lang w:val="en-US"/>
        </w:rPr>
        <w:t>自</w:t>
      </w:r>
      <w:r>
        <w:rPr>
          <w:sz w:val="21"/>
          <w:szCs w:val="21"/>
          <w:lang w:val="en-US"/>
        </w:rPr>
        <w:t>202</w:t>
      </w:r>
      <w:r>
        <w:rPr>
          <w:rFonts w:hint="eastAsia"/>
          <w:sz w:val="21"/>
          <w:szCs w:val="21"/>
          <w:lang w:val="en-US"/>
        </w:rPr>
        <w:t>2</w:t>
      </w:r>
      <w:r>
        <w:rPr>
          <w:sz w:val="21"/>
          <w:szCs w:val="21"/>
          <w:lang w:val="en-US"/>
        </w:rPr>
        <w:t>年</w:t>
      </w:r>
      <w:r>
        <w:rPr>
          <w:rFonts w:hint="eastAsia"/>
          <w:sz w:val="21"/>
          <w:szCs w:val="21"/>
          <w:lang w:val="en-US"/>
        </w:rPr>
        <w:t>5</w:t>
      </w:r>
      <w:r>
        <w:rPr>
          <w:rFonts w:hint="eastAsia"/>
          <w:sz w:val="21"/>
          <w:szCs w:val="21"/>
          <w:lang w:val="en-US"/>
        </w:rPr>
        <w:t>月</w:t>
      </w:r>
      <w:r>
        <w:rPr>
          <w:rFonts w:hint="eastAsia"/>
          <w:sz w:val="21"/>
          <w:szCs w:val="21"/>
          <w:lang w:val="en-US"/>
        </w:rPr>
        <w:t>25</w:t>
      </w:r>
      <w:r>
        <w:rPr>
          <w:sz w:val="21"/>
          <w:szCs w:val="21"/>
          <w:lang w:val="en-US"/>
        </w:rPr>
        <w:t>日起，本基金管理人暂停接受对</w:t>
      </w:r>
      <w:r>
        <w:rPr>
          <w:rFonts w:hint="eastAsia"/>
          <w:sz w:val="21"/>
          <w:szCs w:val="21"/>
          <w:lang w:val="en-US"/>
        </w:rPr>
        <w:t>东方臻慧纯债债券型证券投资基金</w:t>
      </w:r>
      <w:r>
        <w:rPr>
          <w:sz w:val="21"/>
          <w:szCs w:val="21"/>
          <w:lang w:val="en-US"/>
        </w:rPr>
        <w:t>的单笔金额</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元）申购（包括日常申购和</w:t>
      </w:r>
      <w:r>
        <w:rPr>
          <w:sz w:val="21"/>
          <w:szCs w:val="21"/>
          <w:lang w:val="en-US"/>
        </w:rPr>
        <w:t>定期定额申购）、转换转入申请，且单个基金账户单日累计申购（包括日常申购和定期定额申购）及转换转入金额不得超过</w:t>
      </w:r>
      <w:r>
        <w:rPr>
          <w:rFonts w:hint="eastAsia"/>
          <w:sz w:val="21"/>
          <w:szCs w:val="21"/>
          <w:lang w:val="en-US"/>
        </w:rPr>
        <w:t>100</w:t>
      </w:r>
      <w:r>
        <w:rPr>
          <w:sz w:val="21"/>
          <w:szCs w:val="21"/>
          <w:lang w:val="en-US"/>
        </w:rPr>
        <w:t>元以上（含</w:t>
      </w:r>
      <w:r>
        <w:rPr>
          <w:rFonts w:hint="eastAsia"/>
          <w:sz w:val="21"/>
          <w:szCs w:val="21"/>
          <w:lang w:val="en-US"/>
        </w:rPr>
        <w:t>100</w:t>
      </w:r>
      <w:r>
        <w:rPr>
          <w:sz w:val="21"/>
          <w:szCs w:val="21"/>
          <w:lang w:val="en-US"/>
        </w:rPr>
        <w:t>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14</w:t>
      </w:r>
      <w:r>
        <w:rPr>
          <w:sz w:val="21"/>
          <w:szCs w:val="21"/>
          <w:lang w:val="en-US"/>
        </w:rPr>
        <w:t>.</w:t>
      </w:r>
      <w:r>
        <w:rPr>
          <w:sz w:val="21"/>
          <w:szCs w:val="21"/>
          <w:lang w:val="en-US"/>
        </w:rPr>
        <w:t>自</w:t>
      </w:r>
      <w:r>
        <w:rPr>
          <w:sz w:val="21"/>
          <w:szCs w:val="21"/>
          <w:lang w:val="en-US"/>
        </w:rPr>
        <w:t>2022</w:t>
      </w:r>
      <w:r>
        <w:rPr>
          <w:sz w:val="21"/>
          <w:szCs w:val="21"/>
          <w:lang w:val="en-US"/>
        </w:rPr>
        <w:t>年</w:t>
      </w:r>
      <w:r>
        <w:rPr>
          <w:sz w:val="21"/>
          <w:szCs w:val="21"/>
          <w:lang w:val="en-US"/>
        </w:rPr>
        <w:t>7</w:t>
      </w:r>
      <w:r>
        <w:rPr>
          <w:sz w:val="21"/>
          <w:szCs w:val="21"/>
          <w:lang w:val="en-US"/>
        </w:rPr>
        <w:t>月</w:t>
      </w:r>
      <w:r>
        <w:rPr>
          <w:sz w:val="21"/>
          <w:szCs w:val="21"/>
          <w:lang w:val="en-US"/>
        </w:rPr>
        <w:t>6</w:t>
      </w:r>
      <w:r>
        <w:rPr>
          <w:sz w:val="21"/>
          <w:szCs w:val="21"/>
          <w:lang w:val="en-US"/>
        </w:rPr>
        <w:t>日起，本基金管理人暂停接受投资者对东方民丰回报赢安混合型证券投资基金的单笔金额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万元）申购（包括日常申购和定期定额申购）、转换转入申请，且单个基金账户单日累计申购（包括日常申购和定期定额申购）及转换转入金额不得超过</w:t>
      </w:r>
      <w:r>
        <w:rPr>
          <w:sz w:val="21"/>
          <w:szCs w:val="21"/>
          <w:lang w:val="en-US"/>
        </w:rPr>
        <w:t>100</w:t>
      </w:r>
      <w:r>
        <w:rPr>
          <w:sz w:val="21"/>
          <w:szCs w:val="21"/>
          <w:lang w:val="en-US"/>
        </w:rPr>
        <w:t>万元以上（不含</w:t>
      </w:r>
      <w:r>
        <w:rPr>
          <w:sz w:val="21"/>
          <w:szCs w:val="21"/>
          <w:lang w:val="en-US"/>
        </w:rPr>
        <w:t>100</w:t>
      </w:r>
      <w:r>
        <w:rPr>
          <w:sz w:val="21"/>
          <w:szCs w:val="21"/>
          <w:lang w:val="en-US"/>
        </w:rPr>
        <w:t>万元）。对于超过限额的申请，本基金</w:t>
      </w:r>
      <w:r>
        <w:rPr>
          <w:sz w:val="21"/>
          <w:szCs w:val="21"/>
          <w:lang w:val="en-US"/>
        </w:rPr>
        <w:t>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15.</w:t>
      </w:r>
      <w:r>
        <w:rPr>
          <w:sz w:val="21"/>
          <w:szCs w:val="21"/>
          <w:lang w:val="en-US"/>
        </w:rPr>
        <w:t>自</w:t>
      </w:r>
      <w:r>
        <w:rPr>
          <w:sz w:val="21"/>
          <w:szCs w:val="21"/>
          <w:lang w:val="en-US"/>
        </w:rPr>
        <w:t>2023</w:t>
      </w:r>
      <w:r>
        <w:rPr>
          <w:sz w:val="21"/>
          <w:szCs w:val="21"/>
          <w:lang w:val="en-US"/>
        </w:rPr>
        <w:t>年</w:t>
      </w:r>
      <w:r>
        <w:rPr>
          <w:sz w:val="21"/>
          <w:szCs w:val="21"/>
          <w:lang w:val="en-US"/>
        </w:rPr>
        <w:t>12</w:t>
      </w:r>
      <w:r>
        <w:rPr>
          <w:sz w:val="21"/>
          <w:szCs w:val="21"/>
          <w:lang w:val="en-US"/>
        </w:rPr>
        <w:t>月</w:t>
      </w:r>
      <w:r>
        <w:rPr>
          <w:sz w:val="21"/>
          <w:szCs w:val="21"/>
          <w:lang w:val="en-US"/>
        </w:rPr>
        <w:t>19</w:t>
      </w:r>
      <w:r>
        <w:rPr>
          <w:sz w:val="21"/>
          <w:szCs w:val="21"/>
          <w:lang w:val="en-US"/>
        </w:rPr>
        <w:t>日起，本基金管理人暂停接受对东方稳健回报债券型证券投资基金的单笔金额</w:t>
      </w:r>
      <w:r>
        <w:rPr>
          <w:sz w:val="21"/>
          <w:szCs w:val="21"/>
          <w:lang w:val="en-US"/>
        </w:rPr>
        <w:t>100</w:t>
      </w:r>
      <w:r>
        <w:rPr>
          <w:sz w:val="21"/>
          <w:szCs w:val="21"/>
          <w:lang w:val="en-US"/>
        </w:rPr>
        <w:t>元以上（含</w:t>
      </w:r>
      <w:r>
        <w:rPr>
          <w:sz w:val="21"/>
          <w:szCs w:val="21"/>
          <w:lang w:val="en-US"/>
        </w:rPr>
        <w:t>100</w:t>
      </w:r>
      <w:r>
        <w:rPr>
          <w:sz w:val="21"/>
          <w:szCs w:val="21"/>
          <w:lang w:val="en-US"/>
        </w:rPr>
        <w:t>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元以上（含</w:t>
      </w:r>
      <w:r>
        <w:rPr>
          <w:sz w:val="21"/>
          <w:szCs w:val="21"/>
          <w:lang w:val="en-US"/>
        </w:rPr>
        <w:t>100</w:t>
      </w:r>
      <w:r>
        <w:rPr>
          <w:sz w:val="21"/>
          <w:szCs w:val="21"/>
          <w:lang w:val="en-US"/>
        </w:rPr>
        <w:t>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16.</w:t>
      </w:r>
      <w:r>
        <w:rPr>
          <w:sz w:val="21"/>
          <w:szCs w:val="21"/>
          <w:lang w:val="en-US"/>
        </w:rPr>
        <w:t>自</w:t>
      </w:r>
      <w:r>
        <w:rPr>
          <w:sz w:val="21"/>
          <w:szCs w:val="21"/>
          <w:lang w:val="en-US"/>
        </w:rPr>
        <w:t>2024</w:t>
      </w:r>
      <w:r>
        <w:rPr>
          <w:sz w:val="21"/>
          <w:szCs w:val="21"/>
          <w:lang w:val="en-US"/>
        </w:rPr>
        <w:t>年</w:t>
      </w:r>
      <w:r>
        <w:rPr>
          <w:sz w:val="21"/>
          <w:szCs w:val="21"/>
          <w:lang w:val="en-US"/>
        </w:rPr>
        <w:t>2</w:t>
      </w:r>
      <w:r>
        <w:rPr>
          <w:sz w:val="21"/>
          <w:szCs w:val="21"/>
          <w:lang w:val="en-US"/>
        </w:rPr>
        <w:t>月</w:t>
      </w:r>
      <w:r>
        <w:rPr>
          <w:sz w:val="21"/>
          <w:szCs w:val="21"/>
          <w:lang w:val="en-US"/>
        </w:rPr>
        <w:t>19</w:t>
      </w:r>
      <w:r>
        <w:rPr>
          <w:sz w:val="21"/>
          <w:szCs w:val="21"/>
          <w:lang w:val="en-US"/>
        </w:rPr>
        <w:t>日起，本基金管理人暂停接受对东方臻裕债券型证券投资基金</w:t>
      </w:r>
      <w:r>
        <w:rPr>
          <w:sz w:val="21"/>
          <w:szCs w:val="21"/>
          <w:lang w:val="en-US"/>
        </w:rPr>
        <w:t>E</w:t>
      </w:r>
      <w:r>
        <w:rPr>
          <w:sz w:val="21"/>
          <w:szCs w:val="21"/>
          <w:lang w:val="en-US"/>
        </w:rPr>
        <w:t>类份额（代码</w:t>
      </w:r>
      <w:r>
        <w:rPr>
          <w:sz w:val="21"/>
          <w:szCs w:val="21"/>
          <w:lang w:val="en-US"/>
        </w:rPr>
        <w:t>019097</w:t>
      </w:r>
      <w:r>
        <w:rPr>
          <w:sz w:val="21"/>
          <w:szCs w:val="21"/>
          <w:lang w:val="en-US"/>
        </w:rPr>
        <w:t>）的单笔金额</w:t>
      </w:r>
      <w:r>
        <w:rPr>
          <w:sz w:val="21"/>
          <w:szCs w:val="21"/>
          <w:lang w:val="en-US"/>
        </w:rPr>
        <w:t>300</w:t>
      </w:r>
      <w:r>
        <w:rPr>
          <w:sz w:val="21"/>
          <w:szCs w:val="21"/>
          <w:lang w:val="en-US"/>
        </w:rPr>
        <w:t>万元以上（</w:t>
      </w:r>
      <w:r>
        <w:rPr>
          <w:rFonts w:hint="eastAsia"/>
          <w:sz w:val="21"/>
          <w:szCs w:val="21"/>
          <w:lang w:val="en-US"/>
        </w:rPr>
        <w:t>不</w:t>
      </w:r>
      <w:r>
        <w:rPr>
          <w:sz w:val="21"/>
          <w:szCs w:val="21"/>
          <w:lang w:val="en-US"/>
        </w:rPr>
        <w:t>含</w:t>
      </w:r>
      <w:r>
        <w:rPr>
          <w:sz w:val="21"/>
          <w:szCs w:val="21"/>
          <w:lang w:val="en-US"/>
        </w:rPr>
        <w:t>300</w:t>
      </w:r>
      <w:r>
        <w:rPr>
          <w:sz w:val="21"/>
          <w:szCs w:val="21"/>
          <w:lang w:val="en-US"/>
        </w:rPr>
        <w:t>万元）</w:t>
      </w:r>
      <w:r>
        <w:rPr>
          <w:sz w:val="21"/>
          <w:szCs w:val="21"/>
          <w:lang w:val="en-US"/>
        </w:rPr>
        <w:t>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300</w:t>
      </w:r>
      <w:r>
        <w:rPr>
          <w:sz w:val="21"/>
          <w:szCs w:val="21"/>
          <w:lang w:val="en-US"/>
        </w:rPr>
        <w:t>万元（</w:t>
      </w:r>
      <w:r>
        <w:rPr>
          <w:rFonts w:hint="eastAsia"/>
          <w:sz w:val="21"/>
          <w:szCs w:val="21"/>
          <w:lang w:val="en-US"/>
        </w:rPr>
        <w:t>不</w:t>
      </w:r>
      <w:r>
        <w:rPr>
          <w:sz w:val="21"/>
          <w:szCs w:val="21"/>
          <w:lang w:val="en-US"/>
        </w:rPr>
        <w:t>含</w:t>
      </w:r>
      <w:r>
        <w:rPr>
          <w:sz w:val="21"/>
          <w:szCs w:val="21"/>
          <w:lang w:val="en-US"/>
        </w:rPr>
        <w:t>300</w:t>
      </w:r>
      <w:r>
        <w:rPr>
          <w:sz w:val="21"/>
          <w:szCs w:val="21"/>
          <w:lang w:val="en-US"/>
        </w:rPr>
        <w:t>万元）。自</w:t>
      </w:r>
      <w:r>
        <w:rPr>
          <w:sz w:val="21"/>
          <w:szCs w:val="21"/>
          <w:lang w:val="en-US"/>
        </w:rPr>
        <w:t>2024</w:t>
      </w:r>
      <w:r>
        <w:rPr>
          <w:sz w:val="21"/>
          <w:szCs w:val="21"/>
          <w:lang w:val="en-US"/>
        </w:rPr>
        <w:t>年</w:t>
      </w:r>
      <w:r>
        <w:rPr>
          <w:sz w:val="21"/>
          <w:szCs w:val="21"/>
          <w:lang w:val="en-US"/>
        </w:rPr>
        <w:t>3</w:t>
      </w:r>
      <w:r>
        <w:rPr>
          <w:sz w:val="21"/>
          <w:szCs w:val="21"/>
          <w:lang w:val="en-US"/>
        </w:rPr>
        <w:t>月</w:t>
      </w:r>
      <w:r>
        <w:rPr>
          <w:sz w:val="21"/>
          <w:szCs w:val="21"/>
          <w:lang w:val="en-US"/>
        </w:rPr>
        <w:t>7</w:t>
      </w:r>
      <w:r>
        <w:rPr>
          <w:sz w:val="21"/>
          <w:szCs w:val="21"/>
          <w:lang w:val="en-US"/>
        </w:rPr>
        <w:t>日起，本基金管理人暂停接受对东方臻裕债券型证券投资基金</w:t>
      </w:r>
      <w:r>
        <w:rPr>
          <w:sz w:val="21"/>
          <w:szCs w:val="21"/>
          <w:lang w:val="en-US"/>
        </w:rPr>
        <w:t>C</w:t>
      </w:r>
      <w:r>
        <w:rPr>
          <w:sz w:val="21"/>
          <w:szCs w:val="21"/>
          <w:lang w:val="en-US"/>
        </w:rPr>
        <w:t>类份额（代码</w:t>
      </w:r>
      <w:r>
        <w:rPr>
          <w:sz w:val="21"/>
          <w:szCs w:val="21"/>
          <w:lang w:val="en-US"/>
        </w:rPr>
        <w:t>016319</w:t>
      </w:r>
      <w:r>
        <w:rPr>
          <w:sz w:val="21"/>
          <w:szCs w:val="21"/>
          <w:lang w:val="en-US"/>
        </w:rPr>
        <w:t>）的单笔金额</w:t>
      </w:r>
      <w:r>
        <w:rPr>
          <w:sz w:val="21"/>
          <w:szCs w:val="21"/>
          <w:lang w:val="en-US"/>
        </w:rPr>
        <w:t>10</w:t>
      </w:r>
      <w:r>
        <w:rPr>
          <w:sz w:val="21"/>
          <w:szCs w:val="21"/>
          <w:lang w:val="en-US"/>
        </w:rPr>
        <w:t>万元以上（不含</w:t>
      </w:r>
      <w:r>
        <w:rPr>
          <w:sz w:val="21"/>
          <w:szCs w:val="21"/>
          <w:lang w:val="en-US"/>
        </w:rPr>
        <w:t>10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w:t>
      </w:r>
      <w:r>
        <w:rPr>
          <w:sz w:val="21"/>
          <w:szCs w:val="21"/>
          <w:lang w:val="en-US"/>
        </w:rPr>
        <w:t>万元（不含</w:t>
      </w:r>
      <w:r>
        <w:rPr>
          <w:sz w:val="21"/>
          <w:szCs w:val="21"/>
          <w:lang w:val="en-US"/>
        </w:rPr>
        <w:t>10</w:t>
      </w:r>
      <w:r>
        <w:rPr>
          <w:sz w:val="21"/>
          <w:szCs w:val="21"/>
          <w:lang w:val="en-US"/>
        </w:rPr>
        <w:t>万元）。自</w:t>
      </w:r>
      <w:r>
        <w:rPr>
          <w:sz w:val="21"/>
          <w:szCs w:val="21"/>
          <w:lang w:val="en-US"/>
        </w:rPr>
        <w:t>2024</w:t>
      </w:r>
      <w:r>
        <w:rPr>
          <w:sz w:val="21"/>
          <w:szCs w:val="21"/>
          <w:lang w:val="en-US"/>
        </w:rPr>
        <w:t>年</w:t>
      </w:r>
      <w:r>
        <w:rPr>
          <w:sz w:val="21"/>
          <w:szCs w:val="21"/>
          <w:lang w:val="en-US"/>
        </w:rPr>
        <w:t>6</w:t>
      </w:r>
      <w:r>
        <w:rPr>
          <w:sz w:val="21"/>
          <w:szCs w:val="21"/>
          <w:lang w:val="en-US"/>
        </w:rPr>
        <w:t>月</w:t>
      </w:r>
      <w:r>
        <w:rPr>
          <w:sz w:val="21"/>
          <w:szCs w:val="21"/>
          <w:lang w:val="en-US"/>
        </w:rPr>
        <w:t>4</w:t>
      </w:r>
      <w:r>
        <w:rPr>
          <w:sz w:val="21"/>
          <w:szCs w:val="21"/>
          <w:lang w:val="en-US"/>
        </w:rPr>
        <w:t>日起，本基金管理人暂停接受对东方臻裕债券</w:t>
      </w:r>
      <w:r>
        <w:rPr>
          <w:sz w:val="21"/>
          <w:szCs w:val="21"/>
          <w:lang w:val="en-US"/>
        </w:rPr>
        <w:t>型证券投资基金</w:t>
      </w:r>
      <w:r>
        <w:rPr>
          <w:sz w:val="21"/>
          <w:szCs w:val="21"/>
          <w:lang w:val="en-US"/>
        </w:rPr>
        <w:t>A</w:t>
      </w:r>
      <w:r>
        <w:rPr>
          <w:sz w:val="21"/>
          <w:szCs w:val="21"/>
          <w:lang w:val="en-US"/>
        </w:rPr>
        <w:t>类份额（代码</w:t>
      </w:r>
      <w:r>
        <w:rPr>
          <w:sz w:val="21"/>
          <w:szCs w:val="21"/>
          <w:lang w:val="en-US"/>
        </w:rPr>
        <w:t>016318</w:t>
      </w:r>
      <w:r>
        <w:rPr>
          <w:sz w:val="21"/>
          <w:szCs w:val="21"/>
          <w:lang w:val="en-US"/>
        </w:rPr>
        <w:t>）的单笔金额</w:t>
      </w:r>
      <w:r>
        <w:rPr>
          <w:sz w:val="21"/>
          <w:szCs w:val="21"/>
          <w:lang w:val="en-US"/>
        </w:rPr>
        <w:t>100</w:t>
      </w:r>
      <w:r>
        <w:rPr>
          <w:sz w:val="21"/>
          <w:szCs w:val="21"/>
          <w:lang w:val="en-US"/>
        </w:rPr>
        <w:t>万元以上（不含</w:t>
      </w:r>
      <w:r>
        <w:rPr>
          <w:sz w:val="21"/>
          <w:szCs w:val="21"/>
          <w:lang w:val="en-US"/>
        </w:rPr>
        <w:t>100</w:t>
      </w:r>
      <w:r>
        <w:rPr>
          <w:sz w:val="21"/>
          <w:szCs w:val="21"/>
          <w:lang w:val="en-US"/>
        </w:rPr>
        <w:t>万元）申购（包括日常申购和定期定额申购）、转换转入申请，且单个基金账户单日累计申购（包括日常申购和定期定额申购）</w:t>
      </w:r>
      <w:r>
        <w:rPr>
          <w:sz w:val="21"/>
          <w:szCs w:val="21"/>
          <w:lang w:val="en-US"/>
        </w:rPr>
        <w:t xml:space="preserve"> </w:t>
      </w:r>
      <w:r>
        <w:rPr>
          <w:sz w:val="21"/>
          <w:szCs w:val="21"/>
          <w:lang w:val="en-US"/>
        </w:rPr>
        <w:t>及转换转入金额不得超过</w:t>
      </w:r>
      <w:r>
        <w:rPr>
          <w:sz w:val="21"/>
          <w:szCs w:val="21"/>
          <w:lang w:val="en-US"/>
        </w:rPr>
        <w:t>100</w:t>
      </w:r>
      <w:r>
        <w:rPr>
          <w:sz w:val="21"/>
          <w:szCs w:val="21"/>
          <w:lang w:val="en-US"/>
        </w:rPr>
        <w:t>万元（不含</w:t>
      </w:r>
      <w:r>
        <w:rPr>
          <w:sz w:val="21"/>
          <w:szCs w:val="21"/>
          <w:lang w:val="en-US"/>
        </w:rPr>
        <w:t>100</w:t>
      </w:r>
      <w:r>
        <w:rPr>
          <w:sz w:val="21"/>
          <w:szCs w:val="21"/>
          <w:lang w:val="en-US"/>
        </w:rPr>
        <w:t>万元）。对于超过限额的申请，本基金管理人有权拒绝，不予确认。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rFonts w:hint="eastAsia"/>
          <w:sz w:val="21"/>
          <w:szCs w:val="21"/>
          <w:lang w:val="en-US"/>
        </w:rPr>
        <w:t>17</w:t>
      </w:r>
      <w:r>
        <w:rPr>
          <w:sz w:val="21"/>
          <w:szCs w:val="21"/>
          <w:lang w:val="en-US"/>
        </w:rPr>
        <w:t>.</w:t>
      </w:r>
      <w:r>
        <w:rPr>
          <w:sz w:val="21"/>
          <w:szCs w:val="21"/>
          <w:lang w:val="en-US"/>
        </w:rPr>
        <w:t>自</w:t>
      </w:r>
      <w:r>
        <w:rPr>
          <w:sz w:val="21"/>
          <w:szCs w:val="21"/>
          <w:lang w:val="en-US"/>
        </w:rPr>
        <w:t>202</w:t>
      </w:r>
      <w:r>
        <w:rPr>
          <w:rFonts w:hint="eastAsia"/>
          <w:sz w:val="21"/>
          <w:szCs w:val="21"/>
          <w:lang w:val="en-US"/>
        </w:rPr>
        <w:t>4</w:t>
      </w:r>
      <w:r>
        <w:rPr>
          <w:sz w:val="21"/>
          <w:szCs w:val="21"/>
          <w:lang w:val="en-US"/>
        </w:rPr>
        <w:t>年</w:t>
      </w:r>
      <w:r>
        <w:rPr>
          <w:rFonts w:hint="eastAsia"/>
          <w:sz w:val="21"/>
          <w:szCs w:val="21"/>
          <w:lang w:val="en-US"/>
        </w:rPr>
        <w:t>6</w:t>
      </w:r>
      <w:r>
        <w:rPr>
          <w:sz w:val="21"/>
          <w:szCs w:val="21"/>
          <w:lang w:val="en-US"/>
        </w:rPr>
        <w:t>月</w:t>
      </w:r>
      <w:r>
        <w:rPr>
          <w:rFonts w:hint="eastAsia"/>
          <w:sz w:val="21"/>
          <w:szCs w:val="21"/>
          <w:lang w:val="en-US"/>
        </w:rPr>
        <w:t>14</w:t>
      </w:r>
      <w:r>
        <w:rPr>
          <w:sz w:val="21"/>
          <w:szCs w:val="21"/>
          <w:lang w:val="en-US"/>
        </w:rPr>
        <w:t>日起，本基金管理人暂停接受投资者对东方添益债券型证券投资基金的单笔金额</w:t>
      </w:r>
      <w:r>
        <w:rPr>
          <w:rFonts w:hint="eastAsia"/>
          <w:sz w:val="21"/>
          <w:szCs w:val="21"/>
          <w:lang w:val="en-US"/>
        </w:rPr>
        <w:t>1000</w:t>
      </w:r>
      <w:r>
        <w:rPr>
          <w:sz w:val="21"/>
          <w:szCs w:val="21"/>
          <w:lang w:val="en-US"/>
        </w:rPr>
        <w:t>元以上（不含</w:t>
      </w:r>
      <w:r>
        <w:rPr>
          <w:rFonts w:hint="eastAsia"/>
          <w:sz w:val="21"/>
          <w:szCs w:val="21"/>
          <w:lang w:val="en-US"/>
        </w:rPr>
        <w:t>1000</w:t>
      </w:r>
      <w:r>
        <w:rPr>
          <w:sz w:val="21"/>
          <w:szCs w:val="21"/>
          <w:lang w:val="en-US"/>
        </w:rPr>
        <w:t>元）申购（包括日常申购和定期定额申购）、转换转入申请，且单个基金账户单日累计申购（包括日常</w:t>
      </w:r>
      <w:r>
        <w:rPr>
          <w:sz w:val="21"/>
          <w:szCs w:val="21"/>
          <w:lang w:val="en-US"/>
        </w:rPr>
        <w:t>申购和定期定额申购）及转换转入金额不得超过</w:t>
      </w:r>
      <w:r>
        <w:rPr>
          <w:rFonts w:hint="eastAsia"/>
          <w:sz w:val="21"/>
          <w:szCs w:val="21"/>
          <w:lang w:val="en-US"/>
        </w:rPr>
        <w:t>1000</w:t>
      </w:r>
      <w:r>
        <w:rPr>
          <w:sz w:val="21"/>
          <w:szCs w:val="21"/>
          <w:lang w:val="en-US"/>
        </w:rPr>
        <w:t>元以上（不含</w:t>
      </w:r>
      <w:r>
        <w:rPr>
          <w:rFonts w:hint="eastAsia"/>
          <w:sz w:val="21"/>
          <w:szCs w:val="21"/>
          <w:lang w:val="en-US"/>
        </w:rPr>
        <w:t>1000</w:t>
      </w:r>
      <w:r>
        <w:rPr>
          <w:sz w:val="21"/>
          <w:szCs w:val="21"/>
          <w:lang w:val="en-US"/>
        </w:rPr>
        <w:t>元）。对于超过限额的申请，本基金管理人有权拒绝，不予确认。</w:t>
      </w:r>
    </w:p>
    <w:p w:rsidR="00A954A2" w:rsidRDefault="00A8614F">
      <w:pPr>
        <w:pStyle w:val="ad"/>
        <w:numPr>
          <w:ilvl w:val="255"/>
          <w:numId w:val="0"/>
        </w:numPr>
        <w:tabs>
          <w:tab w:val="left" w:pos="842"/>
        </w:tabs>
        <w:spacing w:before="42" w:line="242" w:lineRule="auto"/>
        <w:ind w:left="420" w:right="237"/>
        <w:rPr>
          <w:sz w:val="21"/>
          <w:szCs w:val="21"/>
          <w:lang w:val="en-US"/>
        </w:rPr>
      </w:pPr>
      <w:r>
        <w:rPr>
          <w:sz w:val="21"/>
          <w:szCs w:val="21"/>
          <w:lang w:val="en-US"/>
        </w:rPr>
        <w:t>1</w:t>
      </w:r>
      <w:r>
        <w:rPr>
          <w:rFonts w:hint="eastAsia"/>
          <w:sz w:val="21"/>
          <w:szCs w:val="21"/>
          <w:lang w:val="en-US"/>
        </w:rPr>
        <w:t>8</w:t>
      </w:r>
      <w:r>
        <w:rPr>
          <w:sz w:val="21"/>
          <w:szCs w:val="21"/>
          <w:lang w:val="en-US"/>
        </w:rPr>
        <w:t>.</w:t>
      </w:r>
      <w:r>
        <w:rPr>
          <w:rFonts w:hint="eastAsia"/>
          <w:sz w:val="21"/>
          <w:szCs w:val="21"/>
          <w:lang w:val="en-US"/>
        </w:rPr>
        <w:t>2023</w:t>
      </w:r>
      <w:r>
        <w:rPr>
          <w:rFonts w:hint="eastAsia"/>
          <w:sz w:val="21"/>
          <w:szCs w:val="21"/>
          <w:lang w:val="en-US"/>
        </w:rPr>
        <w:t>年</w:t>
      </w:r>
      <w:r>
        <w:rPr>
          <w:rFonts w:hint="eastAsia"/>
          <w:sz w:val="21"/>
          <w:szCs w:val="21"/>
          <w:lang w:val="en-US"/>
        </w:rPr>
        <w:t>11</w:t>
      </w:r>
      <w:r>
        <w:rPr>
          <w:rFonts w:hint="eastAsia"/>
          <w:sz w:val="21"/>
          <w:szCs w:val="21"/>
          <w:lang w:val="en-US"/>
        </w:rPr>
        <w:t>月</w:t>
      </w:r>
      <w:r>
        <w:rPr>
          <w:rFonts w:hint="eastAsia"/>
          <w:sz w:val="21"/>
          <w:szCs w:val="21"/>
          <w:lang w:val="en-US"/>
        </w:rPr>
        <w:t>28</w:t>
      </w:r>
      <w:r>
        <w:rPr>
          <w:rFonts w:hint="eastAsia"/>
          <w:sz w:val="21"/>
          <w:szCs w:val="21"/>
          <w:lang w:val="en-US"/>
        </w:rPr>
        <w:t>日起，本基金管理人暂停接受对东方臻享纯债债券型证券投资基金的</w:t>
      </w:r>
      <w:r>
        <w:rPr>
          <w:sz w:val="21"/>
          <w:szCs w:val="21"/>
          <w:lang w:val="en-US"/>
        </w:rPr>
        <w:t>申购、转换转入及定期定额投资业务申请，</w:t>
      </w:r>
      <w:r>
        <w:rPr>
          <w:rFonts w:hint="eastAsia"/>
          <w:sz w:val="21"/>
          <w:szCs w:val="21"/>
        </w:rPr>
        <w:t>暂停办理申购、转换转入及定期定额投资业务期间，</w:t>
      </w:r>
      <w:r>
        <w:rPr>
          <w:sz w:val="21"/>
          <w:szCs w:val="21"/>
          <w:lang w:val="en-US"/>
        </w:rPr>
        <w:t>转换转出及赎回等其他业务仍照常办理。</w:t>
      </w:r>
    </w:p>
    <w:p w:rsidR="00A954A2" w:rsidRDefault="00A8614F">
      <w:pPr>
        <w:pStyle w:val="ad"/>
        <w:numPr>
          <w:ilvl w:val="255"/>
          <w:numId w:val="0"/>
        </w:numPr>
        <w:tabs>
          <w:tab w:val="left" w:pos="842"/>
        </w:tabs>
        <w:spacing w:before="42" w:line="242" w:lineRule="auto"/>
        <w:ind w:left="420" w:right="237"/>
        <w:rPr>
          <w:sz w:val="21"/>
          <w:szCs w:val="21"/>
        </w:rPr>
      </w:pPr>
      <w:r>
        <w:rPr>
          <w:rFonts w:hint="eastAsia"/>
          <w:sz w:val="21"/>
          <w:szCs w:val="21"/>
          <w:lang w:val="en-US"/>
        </w:rPr>
        <w:t>19</w:t>
      </w:r>
      <w:r>
        <w:rPr>
          <w:sz w:val="21"/>
          <w:szCs w:val="21"/>
          <w:lang w:val="en-US"/>
        </w:rPr>
        <w:t>.2022</w:t>
      </w:r>
      <w:r>
        <w:rPr>
          <w:rFonts w:hint="eastAsia"/>
          <w:sz w:val="21"/>
          <w:szCs w:val="21"/>
          <w:lang w:val="en-US"/>
        </w:rPr>
        <w:t>年</w:t>
      </w:r>
      <w:r>
        <w:rPr>
          <w:sz w:val="21"/>
          <w:szCs w:val="21"/>
          <w:lang w:val="en-US"/>
        </w:rPr>
        <w:t>11</w:t>
      </w:r>
      <w:r>
        <w:rPr>
          <w:sz w:val="21"/>
          <w:szCs w:val="21"/>
          <w:lang w:val="en-US"/>
        </w:rPr>
        <w:t>月</w:t>
      </w:r>
      <w:r>
        <w:rPr>
          <w:sz w:val="21"/>
          <w:szCs w:val="21"/>
          <w:lang w:val="en-US"/>
        </w:rPr>
        <w:t>28</w:t>
      </w:r>
      <w:r>
        <w:rPr>
          <w:sz w:val="21"/>
          <w:szCs w:val="21"/>
          <w:lang w:val="en-US"/>
        </w:rPr>
        <w:t>日起，</w:t>
      </w:r>
      <w:r>
        <w:rPr>
          <w:rFonts w:hint="eastAsia"/>
          <w:sz w:val="21"/>
          <w:szCs w:val="21"/>
          <w:lang w:val="en-US"/>
        </w:rPr>
        <w:t>本基金管理人暂停接受对东方臻宝纯债债券型证券投资基金</w:t>
      </w:r>
      <w:r>
        <w:rPr>
          <w:rFonts w:hint="eastAsia"/>
          <w:sz w:val="21"/>
          <w:szCs w:val="21"/>
        </w:rPr>
        <w:t>的</w:t>
      </w:r>
      <w:r>
        <w:rPr>
          <w:sz w:val="21"/>
          <w:szCs w:val="21"/>
        </w:rPr>
        <w:t>申购、转换转入及定期定额投资业务申请，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A954A2" w:rsidRDefault="00A8614F">
      <w:pPr>
        <w:pStyle w:val="ad"/>
        <w:numPr>
          <w:ilvl w:val="255"/>
          <w:numId w:val="0"/>
        </w:numPr>
        <w:tabs>
          <w:tab w:val="left" w:pos="842"/>
        </w:tabs>
        <w:spacing w:before="42" w:line="242" w:lineRule="auto"/>
        <w:ind w:left="420" w:right="237"/>
        <w:rPr>
          <w:sz w:val="21"/>
          <w:szCs w:val="21"/>
          <w:lang w:val="en-US"/>
        </w:rPr>
      </w:pPr>
      <w:r>
        <w:rPr>
          <w:sz w:val="21"/>
          <w:szCs w:val="21"/>
          <w:lang w:val="en-US"/>
        </w:rPr>
        <w:t>2</w:t>
      </w:r>
      <w:r>
        <w:rPr>
          <w:rFonts w:hint="eastAsia"/>
          <w:sz w:val="21"/>
          <w:szCs w:val="21"/>
          <w:lang w:val="en-US"/>
        </w:rPr>
        <w:t>0</w:t>
      </w:r>
      <w:r>
        <w:rPr>
          <w:sz w:val="21"/>
          <w:szCs w:val="21"/>
          <w:lang w:val="en-US"/>
        </w:rPr>
        <w:t>.2022</w:t>
      </w:r>
      <w:r>
        <w:rPr>
          <w:sz w:val="21"/>
          <w:szCs w:val="21"/>
          <w:lang w:val="en-US"/>
        </w:rPr>
        <w:t>年</w:t>
      </w:r>
      <w:r>
        <w:rPr>
          <w:sz w:val="21"/>
          <w:szCs w:val="21"/>
          <w:lang w:val="en-US"/>
        </w:rPr>
        <w:t>11</w:t>
      </w:r>
      <w:r>
        <w:rPr>
          <w:sz w:val="21"/>
          <w:szCs w:val="21"/>
          <w:lang w:val="en-US"/>
        </w:rPr>
        <w:t>月</w:t>
      </w:r>
      <w:r>
        <w:rPr>
          <w:sz w:val="21"/>
          <w:szCs w:val="21"/>
          <w:lang w:val="en-US"/>
        </w:rPr>
        <w:t>28</w:t>
      </w:r>
      <w:r>
        <w:rPr>
          <w:sz w:val="21"/>
          <w:szCs w:val="21"/>
          <w:lang w:val="en-US"/>
        </w:rPr>
        <w:t>日起，</w:t>
      </w:r>
      <w:r>
        <w:rPr>
          <w:rFonts w:hint="eastAsia"/>
          <w:sz w:val="21"/>
          <w:szCs w:val="21"/>
          <w:lang w:val="en-US"/>
        </w:rPr>
        <w:t>本基金管理人暂停接受对</w:t>
      </w:r>
      <w:r>
        <w:rPr>
          <w:sz w:val="21"/>
          <w:szCs w:val="21"/>
          <w:lang w:val="en-US"/>
        </w:rPr>
        <w:t>东方臻</w:t>
      </w:r>
      <w:r>
        <w:rPr>
          <w:rFonts w:hint="eastAsia"/>
          <w:sz w:val="21"/>
          <w:szCs w:val="21"/>
          <w:lang w:val="en-US"/>
        </w:rPr>
        <w:t>选纯债债券型证券投资基金</w:t>
      </w:r>
      <w:r>
        <w:rPr>
          <w:rFonts w:hint="eastAsia"/>
          <w:sz w:val="21"/>
          <w:szCs w:val="21"/>
        </w:rPr>
        <w:t>的</w:t>
      </w:r>
      <w:r>
        <w:rPr>
          <w:sz w:val="21"/>
          <w:szCs w:val="21"/>
        </w:rPr>
        <w:t>申购、转换转入及定期定额投资业务申请，</w:t>
      </w:r>
      <w:r>
        <w:rPr>
          <w:rFonts w:hint="eastAsia"/>
          <w:sz w:val="21"/>
          <w:szCs w:val="21"/>
        </w:rPr>
        <w:t>暂停办理申购、转换转入及定期定额投资业务期间，</w:t>
      </w:r>
      <w:r>
        <w:rPr>
          <w:sz w:val="21"/>
          <w:szCs w:val="21"/>
        </w:rPr>
        <w:t>转换转出及赎回等其他业务仍照常办理。</w:t>
      </w:r>
    </w:p>
    <w:p w:rsidR="00A954A2" w:rsidRDefault="00A8614F">
      <w:pPr>
        <w:pStyle w:val="ad"/>
        <w:numPr>
          <w:ilvl w:val="255"/>
          <w:numId w:val="0"/>
        </w:numPr>
        <w:tabs>
          <w:tab w:val="left" w:pos="842"/>
        </w:tabs>
        <w:spacing w:before="42" w:line="242" w:lineRule="auto"/>
        <w:ind w:left="420" w:right="237"/>
        <w:rPr>
          <w:sz w:val="21"/>
          <w:szCs w:val="21"/>
        </w:rPr>
      </w:pPr>
      <w:r>
        <w:rPr>
          <w:rFonts w:hint="eastAsia"/>
          <w:sz w:val="21"/>
          <w:szCs w:val="21"/>
          <w:lang w:val="en-US"/>
        </w:rPr>
        <w:t>2</w:t>
      </w:r>
      <w:r>
        <w:rPr>
          <w:rFonts w:hint="eastAsia"/>
          <w:sz w:val="21"/>
          <w:szCs w:val="21"/>
          <w:lang w:val="en-US"/>
        </w:rPr>
        <w:t>1</w:t>
      </w:r>
      <w:r>
        <w:rPr>
          <w:sz w:val="21"/>
          <w:szCs w:val="21"/>
          <w:lang w:val="en-US"/>
        </w:rPr>
        <w:t>.</w:t>
      </w:r>
      <w:r>
        <w:rPr>
          <w:sz w:val="21"/>
          <w:szCs w:val="21"/>
        </w:rPr>
        <w:t>后续产品上线及业务开通事宜本公司将另行公告。</w:t>
      </w:r>
    </w:p>
    <w:p w:rsidR="00A954A2" w:rsidRDefault="00A8614F" w:rsidP="00A8614F">
      <w:pPr>
        <w:pStyle w:val="Heading1"/>
        <w:spacing w:beforeLines="150" w:after="120"/>
        <w:ind w:left="737"/>
        <w:pPrChange w:id="2" w:author="ZHONGM" w:date="2024-08-21T00:00:00Z">
          <w:pPr>
            <w:pStyle w:val="Heading1"/>
            <w:spacing w:beforeLines="150" w:after="120"/>
            <w:ind w:left="737"/>
          </w:pPr>
        </w:pPrChange>
      </w:pPr>
      <w:r>
        <w:rPr>
          <w:rFonts w:hint="eastAsia"/>
        </w:rPr>
        <w:t>二、费率优惠安排</w:t>
      </w:r>
    </w:p>
    <w:p w:rsidR="00A954A2" w:rsidRDefault="00A8614F">
      <w:pPr>
        <w:pStyle w:val="ad"/>
        <w:tabs>
          <w:tab w:val="left" w:pos="861"/>
        </w:tabs>
        <w:spacing w:before="0" w:line="360" w:lineRule="auto"/>
        <w:ind w:left="0" w:firstLineChars="200" w:firstLine="480"/>
        <w:rPr>
          <w:sz w:val="24"/>
          <w:lang w:val="en-US"/>
        </w:rPr>
      </w:pPr>
      <w:r>
        <w:rPr>
          <w:rFonts w:hint="eastAsia"/>
          <w:sz w:val="24"/>
          <w:lang w:val="en-US"/>
        </w:rPr>
        <w:t>1.</w:t>
      </w:r>
      <w:r>
        <w:rPr>
          <w:rFonts w:hint="eastAsia"/>
          <w:sz w:val="24"/>
          <w:lang w:val="en-US"/>
        </w:rPr>
        <w:t>费率优惠内容</w:t>
      </w:r>
    </w:p>
    <w:p w:rsidR="00A954A2" w:rsidRDefault="00A8614F">
      <w:pPr>
        <w:pStyle w:val="ad"/>
        <w:tabs>
          <w:tab w:val="left" w:pos="861"/>
        </w:tabs>
        <w:spacing w:before="0" w:line="360" w:lineRule="auto"/>
        <w:ind w:left="0" w:firstLineChars="200" w:firstLine="480"/>
        <w:rPr>
          <w:sz w:val="24"/>
          <w:lang w:val="en-US"/>
        </w:rPr>
      </w:pPr>
      <w:r>
        <w:rPr>
          <w:rFonts w:hint="eastAsia"/>
          <w:sz w:val="24"/>
          <w:lang w:val="en-US"/>
        </w:rPr>
        <w:t>自</w:t>
      </w:r>
      <w:r>
        <w:rPr>
          <w:rFonts w:hint="eastAsia"/>
          <w:sz w:val="24"/>
          <w:lang w:val="en-US"/>
        </w:rPr>
        <w:t>2024</w:t>
      </w:r>
      <w:r>
        <w:rPr>
          <w:rFonts w:hint="eastAsia"/>
          <w:sz w:val="24"/>
          <w:lang w:val="en-US"/>
        </w:rPr>
        <w:t>年</w:t>
      </w:r>
      <w:r>
        <w:rPr>
          <w:rFonts w:hint="eastAsia"/>
          <w:sz w:val="24"/>
          <w:lang w:val="en-US"/>
        </w:rPr>
        <w:t>8</w:t>
      </w:r>
      <w:r>
        <w:rPr>
          <w:rFonts w:hint="eastAsia"/>
          <w:sz w:val="24"/>
          <w:lang w:val="en-US"/>
        </w:rPr>
        <w:t>月</w:t>
      </w:r>
      <w:r>
        <w:rPr>
          <w:rFonts w:hint="eastAsia"/>
          <w:sz w:val="24"/>
          <w:lang w:val="en-US"/>
        </w:rPr>
        <w:t>22</w:t>
      </w:r>
      <w:r>
        <w:rPr>
          <w:rFonts w:hint="eastAsia"/>
          <w:sz w:val="24"/>
          <w:lang w:val="en-US"/>
        </w:rPr>
        <w:t>日起，投资者通过</w:t>
      </w:r>
      <w:r>
        <w:rPr>
          <w:rFonts w:hint="eastAsia"/>
          <w:sz w:val="24"/>
          <w:lang w:val="en-US"/>
        </w:rPr>
        <w:t>民商</w:t>
      </w:r>
      <w:r>
        <w:rPr>
          <w:rFonts w:hint="eastAsia"/>
          <w:sz w:val="24"/>
          <w:lang w:val="en-US"/>
        </w:rPr>
        <w:t>基金申购（</w:t>
      </w:r>
      <w:r>
        <w:rPr>
          <w:rFonts w:hint="eastAsia"/>
          <w:spacing w:val="-2"/>
          <w:lang w:val="en-US"/>
        </w:rPr>
        <w:t>不含</w:t>
      </w:r>
      <w:r>
        <w:rPr>
          <w:rFonts w:hint="eastAsia"/>
          <w:sz w:val="24"/>
          <w:lang w:val="en-US"/>
        </w:rPr>
        <w:t>定期定额投资和转换转入）上述基金（仅限前端申购模式），申购</w:t>
      </w:r>
      <w:r>
        <w:rPr>
          <w:rFonts w:hint="eastAsia"/>
          <w:sz w:val="24"/>
          <w:lang w:val="en-US"/>
        </w:rPr>
        <w:t>(</w:t>
      </w:r>
      <w:r>
        <w:rPr>
          <w:rFonts w:hint="eastAsia"/>
          <w:spacing w:val="-2"/>
          <w:lang w:val="en-US"/>
        </w:rPr>
        <w:t>不含</w:t>
      </w:r>
      <w:r>
        <w:rPr>
          <w:rFonts w:hint="eastAsia"/>
          <w:sz w:val="24"/>
          <w:lang w:val="en-US"/>
        </w:rPr>
        <w:t>定期定额投资和转换转入）费率</w:t>
      </w:r>
      <w:r>
        <w:rPr>
          <w:rFonts w:hint="eastAsia"/>
          <w:sz w:val="24"/>
          <w:lang w:val="en-US"/>
        </w:rPr>
        <w:t>不低于</w:t>
      </w:r>
      <w:r>
        <w:rPr>
          <w:rFonts w:hint="eastAsia"/>
          <w:sz w:val="24"/>
          <w:lang w:val="en-US"/>
        </w:rPr>
        <w:t>1</w:t>
      </w:r>
      <w:r>
        <w:rPr>
          <w:rFonts w:hint="eastAsia"/>
          <w:sz w:val="24"/>
          <w:lang w:val="en-US"/>
        </w:rPr>
        <w:t>折</w:t>
      </w:r>
      <w:r>
        <w:rPr>
          <w:rFonts w:hint="eastAsia"/>
          <w:sz w:val="24"/>
          <w:lang w:val="en-US"/>
        </w:rPr>
        <w:t>，具体费率折扣和优惠活动期限以</w:t>
      </w:r>
      <w:r>
        <w:rPr>
          <w:rFonts w:hint="eastAsia"/>
          <w:sz w:val="24"/>
          <w:lang w:val="en-US"/>
        </w:rPr>
        <w:t>民商</w:t>
      </w:r>
      <w:r>
        <w:rPr>
          <w:rFonts w:hint="eastAsia"/>
          <w:sz w:val="24"/>
          <w:lang w:val="en-US"/>
        </w:rPr>
        <w:t>基金规定为准。优惠前基金费率为固定费用的，则按原费率或固定费用执行，不再享有费率折扣。</w:t>
      </w:r>
    </w:p>
    <w:p w:rsidR="00A954A2" w:rsidRDefault="00A8614F">
      <w:pPr>
        <w:pStyle w:val="ad"/>
        <w:numPr>
          <w:ilvl w:val="255"/>
          <w:numId w:val="0"/>
        </w:numPr>
        <w:tabs>
          <w:tab w:val="left" w:pos="861"/>
        </w:tabs>
        <w:spacing w:before="160"/>
        <w:ind w:right="0" w:firstLineChars="200" w:firstLine="480"/>
        <w:rPr>
          <w:sz w:val="24"/>
          <w:lang w:val="en-US"/>
        </w:rPr>
      </w:pPr>
      <w:r>
        <w:rPr>
          <w:rFonts w:hint="eastAsia"/>
          <w:sz w:val="24"/>
          <w:lang w:val="en-US"/>
        </w:rPr>
        <w:t>2.</w:t>
      </w:r>
      <w:r>
        <w:rPr>
          <w:rFonts w:hint="eastAsia"/>
          <w:sz w:val="24"/>
          <w:lang w:val="en-US"/>
        </w:rPr>
        <w:t>适用基金范围</w:t>
      </w:r>
    </w:p>
    <w:p w:rsidR="00A954A2" w:rsidRDefault="00A8614F">
      <w:pPr>
        <w:pStyle w:val="ad"/>
        <w:numPr>
          <w:ilvl w:val="255"/>
          <w:numId w:val="0"/>
        </w:numPr>
        <w:tabs>
          <w:tab w:val="left" w:pos="861"/>
        </w:tabs>
        <w:spacing w:before="160" w:line="360" w:lineRule="auto"/>
        <w:ind w:right="0" w:firstLineChars="200" w:firstLine="480"/>
        <w:rPr>
          <w:sz w:val="24"/>
          <w:lang w:val="en-US"/>
        </w:rPr>
      </w:pPr>
      <w:r>
        <w:rPr>
          <w:rFonts w:hint="eastAsia"/>
          <w:sz w:val="24"/>
          <w:lang w:val="en-US"/>
        </w:rPr>
        <w:t>本公司管理的且在</w:t>
      </w:r>
      <w:r>
        <w:rPr>
          <w:rFonts w:hint="eastAsia"/>
          <w:sz w:val="24"/>
          <w:lang w:val="en-US"/>
        </w:rPr>
        <w:t>民商</w:t>
      </w:r>
      <w:r>
        <w:rPr>
          <w:rFonts w:hint="eastAsia"/>
          <w:sz w:val="24"/>
          <w:lang w:val="en-US"/>
        </w:rPr>
        <w:t>基金销售的非零申购费率开放式基金。</w:t>
      </w:r>
    </w:p>
    <w:p w:rsidR="00A954A2" w:rsidRDefault="00A8614F">
      <w:pPr>
        <w:pStyle w:val="ad"/>
        <w:tabs>
          <w:tab w:val="left" w:pos="861"/>
        </w:tabs>
        <w:spacing w:before="0" w:line="360" w:lineRule="auto"/>
        <w:ind w:left="0" w:firstLineChars="200" w:firstLine="480"/>
        <w:rPr>
          <w:sz w:val="24"/>
          <w:lang w:val="en-US"/>
        </w:rPr>
      </w:pPr>
      <w:r>
        <w:rPr>
          <w:rFonts w:hint="eastAsia"/>
          <w:sz w:val="24"/>
          <w:lang w:val="en-US"/>
        </w:rPr>
        <w:t>费率优惠期限内，如本公司新增通过</w:t>
      </w:r>
      <w:r>
        <w:rPr>
          <w:rFonts w:hint="eastAsia"/>
          <w:sz w:val="24"/>
          <w:lang w:val="en-US"/>
        </w:rPr>
        <w:t>民商</w:t>
      </w:r>
      <w:r>
        <w:rPr>
          <w:rFonts w:hint="eastAsia"/>
          <w:sz w:val="24"/>
          <w:lang w:val="en-US"/>
        </w:rPr>
        <w:t>基金销售的基金，则自该基金开放申购（</w:t>
      </w:r>
      <w:r>
        <w:rPr>
          <w:rFonts w:hint="eastAsia"/>
          <w:spacing w:val="-2"/>
          <w:lang w:val="en-US"/>
        </w:rPr>
        <w:t>不含</w:t>
      </w:r>
      <w:r>
        <w:rPr>
          <w:rFonts w:hint="eastAsia"/>
          <w:sz w:val="24"/>
          <w:lang w:val="en-US"/>
        </w:rPr>
        <w:t>定期定额投资和转换转入）当日起，自动参与上述费率优惠活动</w:t>
      </w:r>
      <w:r>
        <w:rPr>
          <w:rFonts w:hint="eastAsia"/>
          <w:spacing w:val="-1"/>
          <w:sz w:val="24"/>
          <w:szCs w:val="24"/>
          <w:lang w:val="en-US"/>
        </w:rPr>
        <w:t>(</w:t>
      </w:r>
      <w:r>
        <w:rPr>
          <w:rFonts w:hint="eastAsia"/>
          <w:spacing w:val="-1"/>
          <w:sz w:val="24"/>
          <w:szCs w:val="24"/>
          <w:lang w:val="en-US"/>
        </w:rPr>
        <w:t>仅限前端申购模式</w:t>
      </w:r>
      <w:r>
        <w:rPr>
          <w:rFonts w:hint="eastAsia"/>
          <w:spacing w:val="-1"/>
          <w:sz w:val="24"/>
          <w:szCs w:val="24"/>
          <w:lang w:val="en-US"/>
        </w:rPr>
        <w:t>)</w:t>
      </w:r>
      <w:r>
        <w:rPr>
          <w:rFonts w:hint="eastAsia"/>
          <w:sz w:val="24"/>
          <w:lang w:val="en-US"/>
        </w:rPr>
        <w:t>，本公司不再另行公告。</w:t>
      </w:r>
    </w:p>
    <w:p w:rsidR="00A954A2" w:rsidRDefault="00A8614F">
      <w:pPr>
        <w:pStyle w:val="ad"/>
        <w:tabs>
          <w:tab w:val="left" w:pos="861"/>
        </w:tabs>
        <w:spacing w:before="0" w:line="360" w:lineRule="auto"/>
        <w:ind w:left="0" w:firstLineChars="200" w:firstLine="480"/>
        <w:rPr>
          <w:sz w:val="24"/>
          <w:lang w:val="en-US"/>
        </w:rPr>
      </w:pPr>
      <w:r>
        <w:rPr>
          <w:rFonts w:hint="eastAsia"/>
          <w:sz w:val="24"/>
          <w:lang w:val="en-US"/>
        </w:rPr>
        <w:t>3.</w:t>
      </w:r>
      <w:r>
        <w:rPr>
          <w:rFonts w:hint="eastAsia"/>
          <w:sz w:val="24"/>
          <w:lang w:val="en-US"/>
        </w:rPr>
        <w:t>费率优惠期限</w:t>
      </w:r>
    </w:p>
    <w:p w:rsidR="00A954A2" w:rsidRDefault="00A8614F">
      <w:pPr>
        <w:pStyle w:val="ad"/>
        <w:tabs>
          <w:tab w:val="left" w:pos="861"/>
        </w:tabs>
        <w:spacing w:before="0" w:line="360" w:lineRule="auto"/>
        <w:ind w:left="0" w:firstLineChars="200" w:firstLine="480"/>
        <w:rPr>
          <w:sz w:val="24"/>
          <w:lang w:val="en-US"/>
        </w:rPr>
      </w:pPr>
      <w:r>
        <w:rPr>
          <w:rFonts w:hint="eastAsia"/>
          <w:sz w:val="24"/>
          <w:lang w:val="en-US"/>
        </w:rPr>
        <w:t>截止时间以</w:t>
      </w:r>
      <w:r>
        <w:rPr>
          <w:rFonts w:hint="eastAsia"/>
          <w:sz w:val="24"/>
          <w:lang w:val="en-US"/>
        </w:rPr>
        <w:t>民商</w:t>
      </w:r>
      <w:r>
        <w:rPr>
          <w:rFonts w:hint="eastAsia"/>
          <w:sz w:val="24"/>
          <w:lang w:val="en-US"/>
        </w:rPr>
        <w:t>基金官方网站公告为准。</w:t>
      </w:r>
    </w:p>
    <w:p w:rsidR="00A954A2" w:rsidRDefault="00A8614F" w:rsidP="00A8614F">
      <w:pPr>
        <w:pStyle w:val="Heading1"/>
        <w:spacing w:beforeLines="150" w:after="120"/>
        <w:ind w:left="737"/>
        <w:pPrChange w:id="3" w:author="ZHONGM" w:date="2024-08-21T00:00:00Z">
          <w:pPr>
            <w:pStyle w:val="Heading1"/>
            <w:spacing w:beforeLines="150" w:after="120"/>
            <w:ind w:left="737"/>
          </w:pPr>
        </w:pPrChange>
      </w:pPr>
      <w:r>
        <w:t>三、重要提示</w:t>
      </w:r>
    </w:p>
    <w:p w:rsidR="00A954A2" w:rsidRDefault="00A8614F">
      <w:pPr>
        <w:pStyle w:val="ad"/>
        <w:numPr>
          <w:ilvl w:val="0"/>
          <w:numId w:val="1"/>
        </w:numPr>
        <w:tabs>
          <w:tab w:val="left" w:pos="861"/>
        </w:tabs>
        <w:spacing w:before="41" w:line="364" w:lineRule="auto"/>
        <w:ind w:left="0" w:right="237" w:firstLineChars="200" w:firstLine="480"/>
        <w:rPr>
          <w:sz w:val="24"/>
          <w:lang w:val="en-US"/>
        </w:rPr>
      </w:pPr>
      <w:r>
        <w:rPr>
          <w:sz w:val="24"/>
          <w:lang w:val="en-US"/>
        </w:rPr>
        <w:t>上述基金费率请详见基金的《基金合同》、《招募说明书》、《基金产品资料概</w:t>
      </w:r>
      <w:r>
        <w:rPr>
          <w:sz w:val="24"/>
          <w:lang w:val="en-US"/>
        </w:rPr>
        <w:t>要》等相关法律文件及本公司发布的最新业务公告。</w:t>
      </w:r>
    </w:p>
    <w:p w:rsidR="00A954A2" w:rsidRDefault="00A8614F">
      <w:pPr>
        <w:pStyle w:val="ad"/>
        <w:numPr>
          <w:ilvl w:val="0"/>
          <w:numId w:val="1"/>
        </w:numPr>
        <w:tabs>
          <w:tab w:val="left" w:pos="861"/>
        </w:tabs>
        <w:spacing w:before="41" w:line="364" w:lineRule="auto"/>
        <w:ind w:left="0" w:right="237" w:firstLineChars="200" w:firstLine="480"/>
        <w:rPr>
          <w:sz w:val="24"/>
          <w:lang w:val="en-US"/>
        </w:rPr>
      </w:pPr>
      <w:r>
        <w:rPr>
          <w:sz w:val="24"/>
          <w:lang w:val="en-US"/>
        </w:rPr>
        <w:t>定期定额投资业务不额外收取手续费用，定期定额申购费率与相关基金的日常的申购费率相同。</w:t>
      </w:r>
    </w:p>
    <w:p w:rsidR="00A954A2" w:rsidRDefault="00A8614F">
      <w:pPr>
        <w:pStyle w:val="ad"/>
        <w:numPr>
          <w:ilvl w:val="0"/>
          <w:numId w:val="1"/>
        </w:numPr>
        <w:tabs>
          <w:tab w:val="left" w:pos="861"/>
        </w:tabs>
        <w:spacing w:before="41" w:line="364" w:lineRule="auto"/>
        <w:ind w:left="0" w:right="237" w:firstLineChars="200" w:firstLine="480"/>
        <w:rPr>
          <w:sz w:val="24"/>
          <w:lang w:val="en-US"/>
        </w:rPr>
      </w:pPr>
      <w:r>
        <w:rPr>
          <w:sz w:val="24"/>
          <w:lang w:val="en-US"/>
        </w:rPr>
        <w:t>基金转换是指投资者可将其持有的本公司旗下某只开放式基金的全部或部分基金份额转换为本公司管理的另一只开放式基金份额的交易行为。上述基金列表中的基金，若同时采用前端收费和后端收费，则只开通前端收费模式下的转换业务。</w:t>
      </w:r>
    </w:p>
    <w:p w:rsidR="00A954A2" w:rsidRDefault="00A8614F">
      <w:pPr>
        <w:pStyle w:val="ad"/>
        <w:numPr>
          <w:ilvl w:val="0"/>
          <w:numId w:val="1"/>
        </w:numPr>
        <w:tabs>
          <w:tab w:val="left" w:pos="861"/>
        </w:tabs>
        <w:spacing w:before="41" w:line="364" w:lineRule="auto"/>
        <w:ind w:left="0" w:right="237" w:firstLineChars="200" w:firstLine="480"/>
        <w:rPr>
          <w:sz w:val="24"/>
          <w:lang w:val="en-US"/>
        </w:rPr>
      </w:pPr>
      <w:r>
        <w:rPr>
          <w:sz w:val="24"/>
          <w:lang w:val="en-US"/>
        </w:rPr>
        <w:t>业务办理的业务规则和流程以上述机构的安排和规定为准。相关活动的具体规定如有变化，以上述机构网站或平台的最新公告为准，敬请投资者关注。</w:t>
      </w:r>
    </w:p>
    <w:p w:rsidR="00A954A2" w:rsidRDefault="00A8614F">
      <w:pPr>
        <w:spacing w:before="167" w:line="367" w:lineRule="auto"/>
        <w:ind w:left="600" w:right="4731" w:firstLine="139"/>
        <w:rPr>
          <w:b/>
          <w:w w:val="95"/>
          <w:sz w:val="24"/>
        </w:rPr>
      </w:pPr>
      <w:r>
        <w:rPr>
          <w:b/>
          <w:w w:val="95"/>
          <w:sz w:val="24"/>
        </w:rPr>
        <w:t>四、投资者可通过以下途径咨询详情</w:t>
      </w:r>
    </w:p>
    <w:p w:rsidR="00A954A2" w:rsidRDefault="00A8614F">
      <w:pPr>
        <w:pStyle w:val="ad"/>
        <w:numPr>
          <w:ilvl w:val="0"/>
          <w:numId w:val="2"/>
        </w:numPr>
        <w:tabs>
          <w:tab w:val="left" w:pos="861"/>
        </w:tabs>
        <w:spacing w:before="41" w:line="364" w:lineRule="auto"/>
        <w:ind w:right="237"/>
        <w:rPr>
          <w:sz w:val="24"/>
          <w:lang w:val="en-US"/>
        </w:rPr>
      </w:pPr>
      <w:r>
        <w:rPr>
          <w:rFonts w:hint="eastAsia"/>
          <w:sz w:val="24"/>
          <w:lang w:val="en-US"/>
        </w:rPr>
        <w:t>民商基金销售（上海）有限公司</w:t>
      </w:r>
    </w:p>
    <w:p w:rsidR="00A954A2" w:rsidRDefault="00A8614F">
      <w:pPr>
        <w:pStyle w:val="ad"/>
        <w:tabs>
          <w:tab w:val="left" w:pos="861"/>
        </w:tabs>
        <w:spacing w:before="41" w:line="364" w:lineRule="auto"/>
        <w:ind w:leftChars="218" w:left="480" w:right="237" w:firstLineChars="150" w:firstLine="360"/>
        <w:rPr>
          <w:sz w:val="24"/>
          <w:lang w:val="en-US"/>
        </w:rPr>
      </w:pPr>
      <w:r>
        <w:rPr>
          <w:sz w:val="24"/>
          <w:lang w:val="en-US"/>
        </w:rPr>
        <w:t>客服电话：</w:t>
      </w:r>
      <w:r>
        <w:rPr>
          <w:sz w:val="24"/>
          <w:lang w:val="en-US"/>
        </w:rPr>
        <w:t>400-619-8699</w:t>
      </w:r>
    </w:p>
    <w:p w:rsidR="00A954A2" w:rsidRDefault="00A8614F">
      <w:pPr>
        <w:pStyle w:val="ad"/>
        <w:tabs>
          <w:tab w:val="left" w:pos="861"/>
        </w:tabs>
        <w:spacing w:before="41" w:line="364" w:lineRule="auto"/>
        <w:ind w:leftChars="218" w:left="480" w:right="237" w:firstLineChars="150" w:firstLine="360"/>
        <w:rPr>
          <w:sz w:val="24"/>
          <w:lang w:val="en-US"/>
        </w:rPr>
      </w:pPr>
      <w:r>
        <w:rPr>
          <w:sz w:val="24"/>
          <w:lang w:val="en-US"/>
        </w:rPr>
        <w:t>网址：</w:t>
      </w:r>
      <w:hyperlink r:id="rId8" w:history="1">
        <w:r>
          <w:rPr>
            <w:sz w:val="24"/>
            <w:lang w:val="en-US"/>
          </w:rPr>
          <w:t>www.msftec.com</w:t>
        </w:r>
      </w:hyperlink>
      <w:hyperlink r:id="rId9"/>
    </w:p>
    <w:p w:rsidR="00A954A2" w:rsidRDefault="00A8614F">
      <w:pPr>
        <w:pStyle w:val="ad"/>
        <w:numPr>
          <w:ilvl w:val="0"/>
          <w:numId w:val="2"/>
        </w:numPr>
        <w:tabs>
          <w:tab w:val="left" w:pos="861"/>
        </w:tabs>
        <w:spacing w:before="41" w:line="364" w:lineRule="auto"/>
        <w:ind w:right="237"/>
        <w:rPr>
          <w:sz w:val="24"/>
          <w:lang w:val="en-US"/>
        </w:rPr>
      </w:pPr>
      <w:r>
        <w:rPr>
          <w:sz w:val="24"/>
          <w:lang w:val="en-US"/>
        </w:rPr>
        <w:t>本公司客户服务中心电话：</w:t>
      </w:r>
      <w:r>
        <w:rPr>
          <w:sz w:val="24"/>
          <w:lang w:val="en-US"/>
        </w:rPr>
        <w:t>400-628-5</w:t>
      </w:r>
      <w:r>
        <w:rPr>
          <w:rFonts w:hint="eastAsia"/>
          <w:sz w:val="24"/>
          <w:lang w:val="en-US"/>
        </w:rPr>
        <w:t>888</w:t>
      </w:r>
    </w:p>
    <w:p w:rsidR="00A954A2" w:rsidRDefault="00A8614F">
      <w:pPr>
        <w:pStyle w:val="ad"/>
        <w:tabs>
          <w:tab w:val="left" w:pos="861"/>
        </w:tabs>
        <w:spacing w:before="41" w:line="364" w:lineRule="auto"/>
        <w:ind w:left="900" w:right="237"/>
        <w:rPr>
          <w:sz w:val="24"/>
          <w:lang w:val="en-US"/>
        </w:rPr>
      </w:pPr>
      <w:r>
        <w:rPr>
          <w:sz w:val="24"/>
          <w:lang w:val="en-US"/>
        </w:rPr>
        <w:t>网址：</w:t>
      </w:r>
      <w:r>
        <w:rPr>
          <w:rFonts w:hint="eastAsia"/>
          <w:sz w:val="24"/>
          <w:lang w:val="en-US"/>
        </w:rPr>
        <w:t>www.orient-fund.com</w:t>
      </w:r>
      <w:hyperlink r:id="rId10"/>
    </w:p>
    <w:p w:rsidR="00A954A2" w:rsidRDefault="00A954A2">
      <w:pPr>
        <w:pStyle w:val="a4"/>
        <w:ind w:left="0"/>
        <w:rPr>
          <w:lang w:val="en-US"/>
        </w:rPr>
      </w:pPr>
    </w:p>
    <w:p w:rsidR="00A954A2" w:rsidRDefault="00A8614F">
      <w:pPr>
        <w:pStyle w:val="Heading1"/>
        <w:spacing w:before="167"/>
      </w:pPr>
      <w:r>
        <w:t>风险提示：</w:t>
      </w:r>
    </w:p>
    <w:p w:rsidR="00A954A2" w:rsidRDefault="00A8614F">
      <w:pPr>
        <w:pStyle w:val="a4"/>
        <w:spacing w:before="163" w:line="364" w:lineRule="auto"/>
        <w:ind w:right="364" w:firstLine="479"/>
      </w:pPr>
      <w:r>
        <w:rPr>
          <w:spacing w:val="-6"/>
        </w:rPr>
        <w:t>基金管理人承诺以诚实信用、勤勉尽责的原则管理和运用基金资产，但不</w:t>
      </w:r>
      <w:r>
        <w:t>保</w:t>
      </w:r>
      <w:r>
        <w:t xml:space="preserve"> </w:t>
      </w:r>
      <w:r>
        <w:t>证基金一定盈利，也不保证最低收益。基金管理人管理的基金业绩不构成对其他</w:t>
      </w:r>
      <w:r>
        <w:t xml:space="preserve"> </w:t>
      </w:r>
      <w:r>
        <w:t>基金业绩表现的保证。基金管理人提醒投资人遵循基金投资</w:t>
      </w:r>
      <w:r>
        <w:t>“</w:t>
      </w:r>
      <w:r>
        <w:t>买者自</w:t>
      </w:r>
      <w:r>
        <w:rPr>
          <w:spacing w:val="-8"/>
        </w:rPr>
        <w:t>负</w:t>
      </w:r>
      <w:r>
        <w:rPr>
          <w:spacing w:val="-8"/>
        </w:rPr>
        <w:t>”</w:t>
      </w:r>
      <w:r>
        <w:rPr>
          <w:spacing w:val="-8"/>
        </w:rPr>
        <w:t>的原则，应认真阅读《基金合同》、《招募说明书》、《基金产品资料概</w:t>
      </w:r>
      <w:r>
        <w:rPr>
          <w:spacing w:val="-7"/>
        </w:rPr>
        <w:t>要》等基金法律文件，</w:t>
      </w:r>
      <w:r>
        <w:rPr>
          <w:spacing w:val="-7"/>
        </w:rPr>
        <w:t xml:space="preserve"> </w:t>
      </w:r>
      <w:r>
        <w:rPr>
          <w:spacing w:val="-7"/>
        </w:rPr>
        <w:t>全面认识产品风险收益特征和产品特征，充分考虑自</w:t>
      </w:r>
      <w:r>
        <w:rPr>
          <w:spacing w:val="-12"/>
        </w:rPr>
        <w:t>身的风险承受能力，理性判断市场，在对申购基金的意愿、时机、数量等投资</w:t>
      </w:r>
      <w:r>
        <w:rPr>
          <w:spacing w:val="-13"/>
        </w:rPr>
        <w:t>行为做出独立、谨慎决策后，基金运营状况与基金净值变化引致的投资风险，</w:t>
      </w:r>
      <w:r>
        <w:rPr>
          <w:spacing w:val="-13"/>
        </w:rPr>
        <w:t xml:space="preserve"> </w:t>
      </w:r>
      <w:r>
        <w:t>由投资者自行负担。</w:t>
      </w:r>
    </w:p>
    <w:p w:rsidR="00A954A2" w:rsidRDefault="00A8614F">
      <w:pPr>
        <w:pStyle w:val="a4"/>
        <w:spacing w:before="5"/>
        <w:ind w:left="1219"/>
      </w:pPr>
      <w:r>
        <w:t>特此公告。</w:t>
      </w:r>
    </w:p>
    <w:p w:rsidR="00A954A2" w:rsidRDefault="00A954A2">
      <w:pPr>
        <w:pStyle w:val="a4"/>
        <w:spacing w:before="46" w:line="302" w:lineRule="auto"/>
        <w:ind w:left="6267" w:right="236" w:hanging="240"/>
        <w:jc w:val="right"/>
      </w:pPr>
    </w:p>
    <w:p w:rsidR="00A954A2" w:rsidRDefault="00A8614F">
      <w:pPr>
        <w:pStyle w:val="a4"/>
        <w:spacing w:before="46" w:line="302" w:lineRule="auto"/>
        <w:ind w:left="6267" w:right="236" w:hanging="240"/>
        <w:jc w:val="right"/>
        <w:rPr>
          <w:bCs/>
        </w:rPr>
      </w:pPr>
      <w:r>
        <w:rPr>
          <w:bCs/>
        </w:rPr>
        <w:t>东方</w:t>
      </w:r>
      <w:r>
        <w:rPr>
          <w:bCs/>
        </w:rPr>
        <w:t>基金管理股份有限公司</w:t>
      </w:r>
    </w:p>
    <w:p w:rsidR="00A954A2" w:rsidRDefault="00A8614F">
      <w:pPr>
        <w:pStyle w:val="a4"/>
        <w:spacing w:before="46" w:line="302" w:lineRule="auto"/>
        <w:ind w:left="6267" w:right="236" w:hanging="240"/>
        <w:jc w:val="right"/>
        <w:rPr>
          <w:bCs/>
        </w:rPr>
      </w:pPr>
      <w:r>
        <w:rPr>
          <w:bCs/>
        </w:rPr>
        <w:t>二〇二</w:t>
      </w:r>
      <w:r>
        <w:rPr>
          <w:rFonts w:hint="eastAsia"/>
          <w:bCs/>
          <w:lang w:val="en-US"/>
        </w:rPr>
        <w:t>四</w:t>
      </w:r>
      <w:r>
        <w:rPr>
          <w:bCs/>
        </w:rPr>
        <w:t>年</w:t>
      </w:r>
      <w:r>
        <w:rPr>
          <w:rFonts w:hint="eastAsia"/>
          <w:bCs/>
          <w:lang w:val="en-US"/>
        </w:rPr>
        <w:t>八</w:t>
      </w:r>
      <w:r>
        <w:rPr>
          <w:bCs/>
        </w:rPr>
        <w:t>月</w:t>
      </w:r>
      <w:r>
        <w:rPr>
          <w:rFonts w:hint="eastAsia"/>
          <w:bCs/>
          <w:lang w:val="en-US"/>
        </w:rPr>
        <w:t>二十一</w:t>
      </w:r>
      <w:r>
        <w:rPr>
          <w:bCs/>
        </w:rPr>
        <w:t>日</w:t>
      </w:r>
    </w:p>
    <w:sectPr w:rsidR="00A954A2" w:rsidSect="00A954A2">
      <w:pgSz w:w="11910" w:h="16840"/>
      <w:pgMar w:top="1457" w:right="1202" w:bottom="1457" w:left="120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4A2" w:rsidRDefault="00A954A2"/>
  </w:endnote>
  <w:endnote w:type="continuationSeparator" w:id="0">
    <w:p w:rsidR="00A954A2" w:rsidRDefault="00A954A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4A2" w:rsidRDefault="00A954A2"/>
  </w:footnote>
  <w:footnote w:type="continuationSeparator" w:id="0">
    <w:p w:rsidR="00A954A2" w:rsidRDefault="00A954A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F00FD"/>
    <w:multiLevelType w:val="multilevel"/>
    <w:tmpl w:val="262F00FD"/>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26C50732"/>
    <w:multiLevelType w:val="multilevel"/>
    <w:tmpl w:val="26C50732"/>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doNotUseIndentAsNumberingTabStop/>
  </w:compat>
  <w:docVars>
    <w:docVar w:name="commondata" w:val="eyJoZGlkIjoiYzZkNzQ4ZWFiZmQ4NTRhOWRkZTk3YTMwMjlmMmZhYmUifQ=="/>
  </w:docVars>
  <w:rsids>
    <w:rsidRoot w:val="00277604"/>
    <w:rsid w:val="000C7735"/>
    <w:rsid w:val="00131AF4"/>
    <w:rsid w:val="0015611C"/>
    <w:rsid w:val="00162359"/>
    <w:rsid w:val="00184203"/>
    <w:rsid w:val="001A0D47"/>
    <w:rsid w:val="001B47DE"/>
    <w:rsid w:val="00277604"/>
    <w:rsid w:val="002A7151"/>
    <w:rsid w:val="003837F2"/>
    <w:rsid w:val="003A37B6"/>
    <w:rsid w:val="003B0D65"/>
    <w:rsid w:val="00517402"/>
    <w:rsid w:val="005D3823"/>
    <w:rsid w:val="006116B5"/>
    <w:rsid w:val="00630053"/>
    <w:rsid w:val="006E63A1"/>
    <w:rsid w:val="006F7297"/>
    <w:rsid w:val="007312B5"/>
    <w:rsid w:val="0076053B"/>
    <w:rsid w:val="007F24BB"/>
    <w:rsid w:val="00831F2E"/>
    <w:rsid w:val="009A2BA6"/>
    <w:rsid w:val="009C1DDC"/>
    <w:rsid w:val="009C4E01"/>
    <w:rsid w:val="00A105BC"/>
    <w:rsid w:val="00A252E8"/>
    <w:rsid w:val="00A35E33"/>
    <w:rsid w:val="00A705AB"/>
    <w:rsid w:val="00A8614F"/>
    <w:rsid w:val="00A954A2"/>
    <w:rsid w:val="00B10C77"/>
    <w:rsid w:val="00B6185B"/>
    <w:rsid w:val="00B6278F"/>
    <w:rsid w:val="00B82C22"/>
    <w:rsid w:val="00BF4F65"/>
    <w:rsid w:val="00C84D8B"/>
    <w:rsid w:val="00D63FC2"/>
    <w:rsid w:val="00D72624"/>
    <w:rsid w:val="00DD60BA"/>
    <w:rsid w:val="00E35969"/>
    <w:rsid w:val="00E43860"/>
    <w:rsid w:val="00E854C2"/>
    <w:rsid w:val="00E85826"/>
    <w:rsid w:val="00EC69B0"/>
    <w:rsid w:val="00EF0D5E"/>
    <w:rsid w:val="00F601E2"/>
    <w:rsid w:val="00F71F2E"/>
    <w:rsid w:val="04EA3A60"/>
    <w:rsid w:val="05EB52EB"/>
    <w:rsid w:val="09DE37EC"/>
    <w:rsid w:val="0A136E1C"/>
    <w:rsid w:val="0E335B28"/>
    <w:rsid w:val="0EAE0C7D"/>
    <w:rsid w:val="13816976"/>
    <w:rsid w:val="1A80159C"/>
    <w:rsid w:val="1CF447C4"/>
    <w:rsid w:val="1D01647C"/>
    <w:rsid w:val="1DC8598B"/>
    <w:rsid w:val="25F848B2"/>
    <w:rsid w:val="2A29229C"/>
    <w:rsid w:val="2AA4697F"/>
    <w:rsid w:val="36BF2342"/>
    <w:rsid w:val="389E0447"/>
    <w:rsid w:val="39A004BA"/>
    <w:rsid w:val="40E87CDA"/>
    <w:rsid w:val="43C47FE4"/>
    <w:rsid w:val="49C56DE5"/>
    <w:rsid w:val="4B341B79"/>
    <w:rsid w:val="50484384"/>
    <w:rsid w:val="5A736368"/>
    <w:rsid w:val="5D134AA5"/>
    <w:rsid w:val="646915CF"/>
    <w:rsid w:val="65D723E6"/>
    <w:rsid w:val="66304135"/>
    <w:rsid w:val="6D6010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A954A2"/>
    <w:pPr>
      <w:widowControl w:val="0"/>
      <w:autoSpaceDE w:val="0"/>
      <w:autoSpaceDN w:val="0"/>
    </w:pPr>
    <w:rPr>
      <w:rFonts w:ascii="仿宋" w:eastAsia="仿宋" w:hAnsi="仿宋" w:cs="仿宋"/>
      <w:sz w:val="22"/>
      <w:szCs w:val="22"/>
      <w:lang w:val="zh-CN" w:bidi="zh-CN"/>
    </w:rPr>
  </w:style>
  <w:style w:type="paragraph" w:styleId="2">
    <w:name w:val="heading 2"/>
    <w:basedOn w:val="a"/>
    <w:next w:val="a"/>
    <w:link w:val="2Char"/>
    <w:autoRedefine/>
    <w:uiPriority w:val="1"/>
    <w:qFormat/>
    <w:rsid w:val="00A954A2"/>
    <w:pPr>
      <w:spacing w:before="1"/>
      <w:ind w:left="1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954A2"/>
  </w:style>
  <w:style w:type="paragraph" w:styleId="a4">
    <w:name w:val="Body Text"/>
    <w:basedOn w:val="a"/>
    <w:autoRedefine/>
    <w:uiPriority w:val="1"/>
    <w:qFormat/>
    <w:rsid w:val="00A954A2"/>
    <w:pPr>
      <w:ind w:left="600"/>
    </w:pPr>
    <w:rPr>
      <w:sz w:val="24"/>
      <w:szCs w:val="24"/>
    </w:rPr>
  </w:style>
  <w:style w:type="paragraph" w:styleId="a5">
    <w:name w:val="Balloon Text"/>
    <w:basedOn w:val="a"/>
    <w:link w:val="Char0"/>
    <w:uiPriority w:val="99"/>
    <w:semiHidden/>
    <w:unhideWhenUsed/>
    <w:qFormat/>
    <w:rsid w:val="00A954A2"/>
    <w:rPr>
      <w:sz w:val="18"/>
      <w:szCs w:val="18"/>
    </w:rPr>
  </w:style>
  <w:style w:type="paragraph" w:styleId="a6">
    <w:name w:val="footer"/>
    <w:basedOn w:val="a"/>
    <w:link w:val="Char1"/>
    <w:autoRedefine/>
    <w:uiPriority w:val="99"/>
    <w:semiHidden/>
    <w:unhideWhenUsed/>
    <w:qFormat/>
    <w:rsid w:val="00A954A2"/>
    <w:pPr>
      <w:tabs>
        <w:tab w:val="center" w:pos="4153"/>
        <w:tab w:val="right" w:pos="8306"/>
      </w:tabs>
      <w:snapToGrid w:val="0"/>
    </w:pPr>
    <w:rPr>
      <w:sz w:val="18"/>
      <w:szCs w:val="18"/>
    </w:rPr>
  </w:style>
  <w:style w:type="paragraph" w:styleId="a7">
    <w:name w:val="header"/>
    <w:basedOn w:val="a"/>
    <w:link w:val="Char2"/>
    <w:autoRedefine/>
    <w:uiPriority w:val="99"/>
    <w:semiHidden/>
    <w:unhideWhenUsed/>
    <w:qFormat/>
    <w:rsid w:val="00A954A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A954A2"/>
    <w:rPr>
      <w:sz w:val="24"/>
    </w:rPr>
  </w:style>
  <w:style w:type="paragraph" w:styleId="a9">
    <w:name w:val="annotation subject"/>
    <w:basedOn w:val="a3"/>
    <w:next w:val="a3"/>
    <w:link w:val="Char3"/>
    <w:uiPriority w:val="99"/>
    <w:semiHidden/>
    <w:unhideWhenUsed/>
    <w:qFormat/>
    <w:rsid w:val="00A954A2"/>
    <w:rPr>
      <w:b/>
      <w:bCs/>
    </w:rPr>
  </w:style>
  <w:style w:type="character" w:styleId="aa">
    <w:name w:val="FollowedHyperlink"/>
    <w:basedOn w:val="a0"/>
    <w:uiPriority w:val="99"/>
    <w:semiHidden/>
    <w:unhideWhenUsed/>
    <w:qFormat/>
    <w:rsid w:val="00A954A2"/>
    <w:rPr>
      <w:color w:val="800080"/>
      <w:u w:val="single"/>
    </w:rPr>
  </w:style>
  <w:style w:type="character" w:styleId="ab">
    <w:name w:val="Hyperlink"/>
    <w:basedOn w:val="a0"/>
    <w:autoRedefine/>
    <w:uiPriority w:val="99"/>
    <w:unhideWhenUsed/>
    <w:qFormat/>
    <w:rsid w:val="00A954A2"/>
    <w:rPr>
      <w:color w:val="0000FF" w:themeColor="hyperlink"/>
      <w:u w:val="single"/>
    </w:rPr>
  </w:style>
  <w:style w:type="character" w:styleId="ac">
    <w:name w:val="annotation reference"/>
    <w:basedOn w:val="a0"/>
    <w:uiPriority w:val="99"/>
    <w:semiHidden/>
    <w:unhideWhenUsed/>
    <w:qFormat/>
    <w:rsid w:val="00A954A2"/>
    <w:rPr>
      <w:sz w:val="21"/>
      <w:szCs w:val="21"/>
    </w:rPr>
  </w:style>
  <w:style w:type="table" w:customStyle="1" w:styleId="TableNormal">
    <w:name w:val="Table Normal"/>
    <w:autoRedefine/>
    <w:uiPriority w:val="2"/>
    <w:semiHidden/>
    <w:unhideWhenUsed/>
    <w:qFormat/>
    <w:rsid w:val="00A954A2"/>
    <w:tblPr>
      <w:tblCellMar>
        <w:top w:w="0" w:type="dxa"/>
        <w:left w:w="0" w:type="dxa"/>
        <w:bottom w:w="0" w:type="dxa"/>
        <w:right w:w="0" w:type="dxa"/>
      </w:tblCellMar>
    </w:tblPr>
  </w:style>
  <w:style w:type="paragraph" w:customStyle="1" w:styleId="Heading1">
    <w:name w:val="Heading 1"/>
    <w:basedOn w:val="a"/>
    <w:autoRedefine/>
    <w:uiPriority w:val="1"/>
    <w:qFormat/>
    <w:rsid w:val="00A954A2"/>
    <w:pPr>
      <w:ind w:left="739"/>
      <w:outlineLvl w:val="1"/>
    </w:pPr>
    <w:rPr>
      <w:b/>
      <w:bCs/>
      <w:sz w:val="24"/>
      <w:szCs w:val="24"/>
    </w:rPr>
  </w:style>
  <w:style w:type="paragraph" w:styleId="ad">
    <w:name w:val="List Paragraph"/>
    <w:basedOn w:val="a"/>
    <w:autoRedefine/>
    <w:uiPriority w:val="1"/>
    <w:qFormat/>
    <w:rsid w:val="00A954A2"/>
    <w:pPr>
      <w:spacing w:before="7"/>
      <w:ind w:left="600" w:right="236"/>
      <w:jc w:val="both"/>
    </w:pPr>
  </w:style>
  <w:style w:type="paragraph" w:customStyle="1" w:styleId="TableParagraph">
    <w:name w:val="Table Paragraph"/>
    <w:basedOn w:val="a"/>
    <w:autoRedefine/>
    <w:uiPriority w:val="1"/>
    <w:qFormat/>
    <w:rsid w:val="00A954A2"/>
  </w:style>
  <w:style w:type="character" w:customStyle="1" w:styleId="Char2">
    <w:name w:val="页眉 Char"/>
    <w:basedOn w:val="a0"/>
    <w:link w:val="a7"/>
    <w:autoRedefine/>
    <w:uiPriority w:val="99"/>
    <w:semiHidden/>
    <w:qFormat/>
    <w:rsid w:val="00A954A2"/>
    <w:rPr>
      <w:rFonts w:ascii="仿宋" w:eastAsia="仿宋" w:hAnsi="仿宋" w:cs="仿宋"/>
      <w:sz w:val="18"/>
      <w:szCs w:val="18"/>
      <w:lang w:val="zh-CN" w:eastAsia="zh-CN" w:bidi="zh-CN"/>
    </w:rPr>
  </w:style>
  <w:style w:type="character" w:customStyle="1" w:styleId="Char1">
    <w:name w:val="页脚 Char"/>
    <w:basedOn w:val="a0"/>
    <w:link w:val="a6"/>
    <w:autoRedefine/>
    <w:uiPriority w:val="99"/>
    <w:semiHidden/>
    <w:qFormat/>
    <w:rsid w:val="00A954A2"/>
    <w:rPr>
      <w:rFonts w:ascii="仿宋" w:eastAsia="仿宋" w:hAnsi="仿宋" w:cs="仿宋"/>
      <w:sz w:val="18"/>
      <w:szCs w:val="18"/>
      <w:lang w:val="zh-CN" w:eastAsia="zh-CN" w:bidi="zh-CN"/>
    </w:rPr>
  </w:style>
  <w:style w:type="character" w:customStyle="1" w:styleId="2Char">
    <w:name w:val="标题 2 Char"/>
    <w:basedOn w:val="a0"/>
    <w:link w:val="2"/>
    <w:autoRedefine/>
    <w:uiPriority w:val="1"/>
    <w:qFormat/>
    <w:rsid w:val="00A954A2"/>
    <w:rPr>
      <w:rFonts w:ascii="仿宋" w:eastAsia="仿宋" w:hAnsi="仿宋" w:cs="仿宋"/>
      <w:b/>
      <w:bCs/>
      <w:sz w:val="24"/>
      <w:szCs w:val="24"/>
      <w:lang w:val="zh-CN" w:eastAsia="zh-CN" w:bidi="zh-CN"/>
    </w:rPr>
  </w:style>
  <w:style w:type="character" w:customStyle="1" w:styleId="Char0">
    <w:name w:val="批注框文本 Char"/>
    <w:basedOn w:val="a0"/>
    <w:link w:val="a5"/>
    <w:autoRedefine/>
    <w:uiPriority w:val="99"/>
    <w:semiHidden/>
    <w:qFormat/>
    <w:rsid w:val="00A954A2"/>
    <w:rPr>
      <w:rFonts w:ascii="仿宋" w:eastAsia="仿宋" w:hAnsi="仿宋" w:cs="仿宋"/>
      <w:sz w:val="18"/>
      <w:szCs w:val="18"/>
      <w:lang w:val="zh-CN" w:bidi="zh-CN"/>
    </w:rPr>
  </w:style>
  <w:style w:type="character" w:customStyle="1" w:styleId="Char">
    <w:name w:val="批注文字 Char"/>
    <w:basedOn w:val="a0"/>
    <w:link w:val="a3"/>
    <w:autoRedefine/>
    <w:uiPriority w:val="99"/>
    <w:semiHidden/>
    <w:qFormat/>
    <w:rsid w:val="00A954A2"/>
    <w:rPr>
      <w:rFonts w:ascii="仿宋" w:eastAsia="仿宋" w:hAnsi="仿宋" w:cs="仿宋"/>
      <w:sz w:val="22"/>
      <w:szCs w:val="22"/>
      <w:lang w:val="zh-CN" w:bidi="zh-CN"/>
    </w:rPr>
  </w:style>
  <w:style w:type="character" w:customStyle="1" w:styleId="Char3">
    <w:name w:val="批注主题 Char"/>
    <w:basedOn w:val="Char"/>
    <w:link w:val="a9"/>
    <w:autoRedefine/>
    <w:uiPriority w:val="99"/>
    <w:semiHidden/>
    <w:qFormat/>
    <w:rsid w:val="00A954A2"/>
    <w:rPr>
      <w:b/>
      <w:bCs/>
    </w:rPr>
  </w:style>
  <w:style w:type="paragraph" w:customStyle="1" w:styleId="msolistparagraph0">
    <w:name w:val="msolistparagraph"/>
    <w:basedOn w:val="a"/>
    <w:qFormat/>
    <w:rsid w:val="00A954A2"/>
    <w:pPr>
      <w:widowControl/>
      <w:ind w:firstLine="420"/>
      <w:jc w:val="both"/>
    </w:pPr>
    <w:rPr>
      <w:rFonts w:ascii="Calibri" w:eastAsia="宋体" w:hAnsi="Calibri" w:cs="Times New Roman"/>
      <w:sz w:val="21"/>
      <w:szCs w:val="21"/>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sfte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nhbstock.com/" TargetMode="External"/><Relationship Id="rId4" Type="http://schemas.openxmlformats.org/officeDocument/2006/relationships/settings" Target="settings.xml"/><Relationship Id="rId9" Type="http://schemas.openxmlformats.org/officeDocument/2006/relationships/hyperlink" Target="http://www.cnhbsto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D4B0-8BBC-4FD7-8DD5-8765129B6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7427</Characters>
  <Application>Microsoft Office Word</Application>
  <DocSecurity>4</DocSecurity>
  <Lines>61</Lines>
  <Paragraphs>17</Paragraphs>
  <ScaleCrop>false</ScaleCrop>
  <Company>CNSTOCK</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高子健</dc:creator>
  <cp:lastModifiedBy>ZHONGM</cp:lastModifiedBy>
  <cp:revision>2</cp:revision>
  <cp:lastPrinted>2022-10-17T03:02:00Z</cp:lastPrinted>
  <dcterms:created xsi:type="dcterms:W3CDTF">2024-08-20T16:00:00Z</dcterms:created>
  <dcterms:modified xsi:type="dcterms:W3CDTF">2024-08-20T16:00:00Z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Office Word 2007</vt:lpwstr>
  </property>
  <property fmtid="{D5CDD505-2E9C-101B-9397-08002B2CF9AE}" pid="4" name="LastSaved">
    <vt:filetime>2022-10-14T00:00:00Z</vt:filetime>
  </property>
  <property fmtid="{D5CDD505-2E9C-101B-9397-08002B2CF9AE}" pid="5" name="KSOProductBuildVer">
    <vt:lpwstr>2052-12.1.0.17827</vt:lpwstr>
  </property>
  <property fmtid="{D5CDD505-2E9C-101B-9397-08002B2CF9AE}" pid="6" name="ICV">
    <vt:lpwstr>D32279EF88B6466A82B0F35DDAEE3FAE</vt:lpwstr>
  </property>
</Properties>
</file>