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19" w:rsidRDefault="00183A64" w:rsidP="00B06A4B">
      <w:pPr>
        <w:pStyle w:val="4"/>
        <w:keepNext w:val="0"/>
        <w:spacing w:before="0" w:after="0" w:line="360" w:lineRule="auto"/>
        <w:jc w:val="center"/>
        <w:rPr>
          <w:lang w:eastAsia="zh-CN"/>
        </w:rPr>
      </w:pPr>
      <w:r>
        <w:rPr>
          <w:rFonts w:ascii="宋体" w:eastAsia="宋体" w:hAnsi="宋体" w:cs="宋体"/>
          <w:sz w:val="32"/>
          <w:szCs w:val="32"/>
          <w:lang w:eastAsia="zh-CN"/>
        </w:rPr>
        <w:t>关于鹏华基金管理有限公司旗下部分基金申购</w:t>
      </w:r>
      <w:r>
        <w:rPr>
          <w:rFonts w:eastAsia="Times New Roman"/>
          <w:sz w:val="24"/>
          <w:szCs w:val="24"/>
          <w:lang w:eastAsia="zh-CN"/>
        </w:rPr>
        <w:t xml:space="preserve"> </w:t>
      </w:r>
    </w:p>
    <w:p w:rsidR="00695019" w:rsidRDefault="00183A64" w:rsidP="00B06A4B">
      <w:pPr>
        <w:pStyle w:val="MsoNormal0"/>
        <w:spacing w:line="360" w:lineRule="auto"/>
        <w:jc w:val="center"/>
        <w:rPr>
          <w:rFonts w:eastAsia="Times New Roman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小方制药首次公开发行A股的公告</w:t>
      </w:r>
      <w:r>
        <w:rPr>
          <w:rFonts w:eastAsia="Times New Roman"/>
          <w:lang w:eastAsia="zh-CN"/>
        </w:rPr>
        <w:t xml:space="preserve"> </w:t>
      </w:r>
    </w:p>
    <w:p w:rsidR="00B06A4B" w:rsidRDefault="00B06A4B" w:rsidP="00B06A4B">
      <w:pPr>
        <w:pStyle w:val="MsoNormal0"/>
        <w:spacing w:line="360" w:lineRule="auto"/>
        <w:jc w:val="center"/>
        <w:rPr>
          <w:lang w:eastAsia="zh-CN"/>
        </w:rPr>
      </w:pPr>
    </w:p>
    <w:p w:rsidR="00695019" w:rsidRDefault="00183A64" w:rsidP="00B06A4B">
      <w:pPr>
        <w:pStyle w:val="MsoNormal0"/>
        <w:spacing w:line="360" w:lineRule="auto"/>
        <w:ind w:firstLine="561"/>
        <w:jc w:val="both"/>
        <w:rPr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根据《中华人民共和国证券投资基金法》《公开募集证券投资基金运作管理办法》《公开募集证券投资基金信息披露管理办法》及相关基金基金合同、招募说明书等有关规定，经履行适当审批程序，鹏华基金管理有限公司（以下简称“本公司”）所管理的部分基金参与了上海小方制药股份有限公司（证券代码：</w:t>
      </w:r>
      <w:bookmarkStart w:id="0" w:name="_GoBack"/>
      <w:bookmarkEnd w:id="0"/>
      <w:r>
        <w:rPr>
          <w:rFonts w:ascii="宋体" w:eastAsia="宋体" w:hAnsi="宋体" w:cs="宋体"/>
          <w:sz w:val="28"/>
          <w:szCs w:val="28"/>
          <w:lang w:eastAsia="zh-CN"/>
        </w:rPr>
        <w:t>603207）首次公开发行A股的申购。上述新股的主承销商国信证券股份有限公司，为本公司的关联方。本次发行价格为 12.47元/股，由发行人和主承销商根据初步询价结果，综合考虑发行人基本面、本次公开发行的股份数量、发行人所处行业、可比上市公司估值水平、市场情况、募集资金需求以及承销风险等因素后协商确定。</w:t>
      </w:r>
      <w:r>
        <w:rPr>
          <w:rFonts w:eastAsia="Times New Roman"/>
          <w:lang w:eastAsia="zh-CN"/>
        </w:rPr>
        <w:t xml:space="preserve"> </w:t>
      </w:r>
    </w:p>
    <w:p w:rsidR="00695019" w:rsidRDefault="00183A64" w:rsidP="00B06A4B">
      <w:pPr>
        <w:pStyle w:val="MsoNormal0"/>
        <w:spacing w:line="360" w:lineRule="auto"/>
        <w:ind w:firstLine="561"/>
        <w:rPr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本公司旗下基金获配数量及金额如下：</w:t>
      </w:r>
      <w:r>
        <w:rPr>
          <w:rFonts w:eastAsia="Times New Roman"/>
          <w:lang w:eastAsia="zh-CN"/>
        </w:rPr>
        <w:t xml:space="preserve"> </w:t>
      </w:r>
    </w:p>
    <w:tbl>
      <w:tblPr>
        <w:tblW w:w="829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21"/>
        <w:gridCol w:w="2228"/>
        <w:gridCol w:w="2141"/>
      </w:tblGrid>
      <w:tr w:rsidR="00695019" w:rsidTr="00B06A4B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vAlign w:val="center"/>
            <w:hideMark/>
          </w:tcPr>
          <w:p w:rsidR="00695019" w:rsidRDefault="00183A64" w:rsidP="00B06A4B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基金名称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vAlign w:val="center"/>
            <w:hideMark/>
          </w:tcPr>
          <w:p w:rsidR="00695019" w:rsidRDefault="00183A64" w:rsidP="00B06A4B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获配数量（股/份）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vAlign w:val="center"/>
            <w:hideMark/>
          </w:tcPr>
          <w:p w:rsidR="00695019" w:rsidRDefault="00183A64" w:rsidP="00B06A4B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获配金额（元）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鹏华外延成长灵活配置混合型证券投资基金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鹏华中证全指证券公司指数型证券投资基金（LOF）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鹏华中证一带一路主题指数型证券投资基金（LOF）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鹏华医药科技股票型证券投资基金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鹏华中证环保产业指数型证券投资基金（LOF）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鹏华国证钢铁行业指数型证券投资基金（LOF）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鹏华沪深300指数增强型证券投资基金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鹏华前海万科REITs封闭式混合型发起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式证券投资基金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鹏华消费领先灵活配置混合型证券投资基金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鹏华策略优选灵活配置混合型证券投资基金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鹏华研究精选灵活配置混合型证券投资基金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鹏华弘嘉灵活配置混合型证券投资基金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鹏华沪深港新兴成长灵活配置混合型证券投资基金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鹏华中证空天一体军工指数证券投资基金（LOF）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鹏华策略回报灵活配置混合型证券投资基金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鹏华优势企业股票型证券投资基金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鹏华睿投灵活配置混合型证券投资基金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1663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20737.61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鹏华产业精选灵活配置混合型证券投资基金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鹏华核心优势混合型证券投资基金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鹏华研究智选混合型证券投资基金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鹏华创新动力灵活配置混合型证券投资基金（LOF）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鹏华中证国防交易型开放式指数证券投资基金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鹏华中证500交易型开放式指数证券投资基金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鹏华优选价值股票型证券投资基金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鹏华价值驱动混合型证券投资基金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鹏华价值成长混合型证券投资基金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鹏华中证传媒交易型开放式指数证券投资基金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鹏华优质回报两年定期开放混合型证券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鹏华国证半导体芯片交易型开放式指数证券投资基金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鹏华价值共赢两年持有期混合型证券投资基金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鹏华成长价值混合型证券投资基金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鹏华匠心精选混合型证券投资基金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鹏华安庆混合型证券投资基金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鹏华招华一年持有期混合型证券投资基金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鹏华成长智选混合型证券投资基金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鹏华创新未来混合型证券投资基金（LOF）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鹏华高质量增长混合型证券投资基金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鹏华优选成长混合型证券投资基金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鹏华汇智优选混合型证券投资基金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鹏华中证细分化工产业主题交易型开放式指数证券投资基金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鹏华中证畜牧养殖交易型开放式指数证券投资基金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鹏华鑫远价值一年持有期混合型证券投资基金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鹏华远见回报三年持有期混合型证券投资基金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鹏华创新成长混合型证券投资基金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鹏华产业升级混合型证券投资基金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鹏华品质成长混合型证券投资基金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鹏华创新升级混合型证券投资基金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鹏华优质治理混合型证券投资基金（LOF）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鹏华品质精选混合型证券投资基金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鹏华沃鑫混合型证券投资基金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鹏华创新增长一年持有期混合型证券投资基金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939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11709.33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鹏华中证500指数增强型证券投资基金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鹏华成长领航两年持有期混合型证券投资基金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1478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18430.66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鹏华新能源汽车主题混合型证券投资基金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鹏华中证1000指数增强型证券投资基金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鹏华上证科创板50成份增强策略交易型开放式指数证券投资基金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鹏华沪深300交易型开放式指数证券投资基金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鹏华国证2000指数增强型证券投资基金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1833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22857.51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鹏华国证粮食产业交易型开放式指数证券投资基金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鹏华上证科创板100交易型开放式指数证券投资基金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普天收益证券投资基金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鹏华中国50开放式证券投资基金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鹏华动力增长混合型证券投资基金（LOF）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鹏华盛世创新混合型证券投资基金（LOF）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鹏华中证500指数证券投资基金（LOF）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鹏华消费优选混合型证券投资基金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鹏华中证A股资源产业指数型证券投资基金（LOF）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1525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19016.75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鹏华量化先锋混合型证券投资基金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鹏华品牌传承灵活配置混合型证券投资基金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鹏华环保产业股票型证券投资基金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鹏华中证信息技术指数型证券投资基金（LOF）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鹏华中证800证券保险指数型证券投资基金（LOF）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鹏华中证800地产指数型证券投资基金（LOF）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鹏华医疗保健股票型证券投资基金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鹏华先进制造股票型证券投资基金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鹏华中证国防指数型证券投资基金（LOF）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鹏华养老产业股票型证券投资基金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鹏华中证传媒指数型证券投资基金（LOF）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鹏华弘泽灵活配置混合型证券投资基金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1525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19016.75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鹏华中证银行指数型证券投资基金（LOF）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  <w:tr w:rsidR="00695019">
        <w:tc>
          <w:tcPr>
            <w:tcW w:w="6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鹏华改革红利股票型证券投资基金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23" w:type="dxa"/>
              <w:bottom w:w="10" w:type="dxa"/>
              <w:right w:w="108" w:type="dxa"/>
            </w:tcMar>
            <w:hideMark/>
          </w:tcPr>
          <w:p w:rsidR="00695019" w:rsidRDefault="00183A6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23044.56</w:t>
            </w:r>
          </w:p>
        </w:tc>
      </w:tr>
    </w:tbl>
    <w:p w:rsidR="00695019" w:rsidRDefault="00183A64" w:rsidP="006C29AE">
      <w:pPr>
        <w:pStyle w:val="MsoNormal0"/>
        <w:spacing w:beforeLines="100" w:line="360" w:lineRule="auto"/>
        <w:ind w:firstLine="560"/>
        <w:rPr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本公司参与本次发行过程公开透明，交易价格公允。本公司严格按照法律法规和《基金合同》约定，履行相关审批程序，不存在利益输送情况。</w:t>
      </w:r>
      <w:r>
        <w:rPr>
          <w:rFonts w:eastAsia="Times New Roman"/>
          <w:lang w:eastAsia="zh-CN"/>
        </w:rPr>
        <w:t xml:space="preserve"> </w:t>
      </w:r>
    </w:p>
    <w:p w:rsidR="00695019" w:rsidRDefault="00183A64" w:rsidP="00B06A4B">
      <w:pPr>
        <w:pStyle w:val="MsoNormal0"/>
        <w:spacing w:line="360" w:lineRule="auto"/>
        <w:ind w:firstLine="560"/>
        <w:jc w:val="both"/>
        <w:rPr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特此公告。</w:t>
      </w:r>
      <w:r>
        <w:rPr>
          <w:rFonts w:eastAsia="Times New Roman"/>
          <w:lang w:eastAsia="zh-CN"/>
        </w:rPr>
        <w:t xml:space="preserve"> </w:t>
      </w:r>
    </w:p>
    <w:p w:rsidR="00695019" w:rsidRDefault="00183A64" w:rsidP="00B06A4B">
      <w:pPr>
        <w:pStyle w:val="MsoNormal0"/>
        <w:spacing w:line="360" w:lineRule="auto"/>
        <w:ind w:firstLine="560"/>
        <w:jc w:val="both"/>
        <w:rPr>
          <w:rFonts w:eastAsia="Times New Roman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风险提示：本公司承诺以诚实信用、勤勉尽责的原则管理和运用基金资产，但不保证基金一定盈利，也不保证最低收益，敬请投资者注意投资风险。投资者投资于本基金前应认真阅读基金的基金合同、招募说明书（更新）、基金产品资料概要（更新）等文件，并根据自身风险承受能力选择适合自己的基金产品。</w:t>
      </w:r>
      <w:r>
        <w:rPr>
          <w:rFonts w:eastAsia="Times New Roman"/>
          <w:lang w:eastAsia="zh-CN"/>
        </w:rPr>
        <w:t xml:space="preserve"> </w:t>
      </w:r>
    </w:p>
    <w:p w:rsidR="00B06A4B" w:rsidRDefault="00B06A4B" w:rsidP="00B06A4B">
      <w:pPr>
        <w:pStyle w:val="MsoNormal0"/>
        <w:spacing w:line="360" w:lineRule="auto"/>
        <w:ind w:firstLine="560"/>
        <w:jc w:val="both"/>
        <w:rPr>
          <w:lang w:eastAsia="zh-CN"/>
        </w:rPr>
      </w:pPr>
    </w:p>
    <w:p w:rsidR="00695019" w:rsidRDefault="00183A64" w:rsidP="00B06A4B">
      <w:pPr>
        <w:spacing w:line="360" w:lineRule="auto"/>
        <w:jc w:val="right"/>
        <w:rPr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鹏华基金管理有限公司</w:t>
      </w:r>
    </w:p>
    <w:p w:rsidR="00A77B3E" w:rsidRDefault="00183A64" w:rsidP="00B06A4B">
      <w:pPr>
        <w:spacing w:line="360" w:lineRule="auto"/>
        <w:jc w:val="right"/>
        <w:rPr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2024年8月21日</w:t>
      </w:r>
    </w:p>
    <w:sectPr w:rsidR="00A77B3E" w:rsidSect="00E72E5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A5" w:rsidRDefault="000541A5">
      <w:r>
        <w:separator/>
      </w:r>
    </w:p>
  </w:endnote>
  <w:endnote w:type="continuationSeparator" w:id="0">
    <w:p w:rsidR="000541A5" w:rsidRDefault="0005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19" w:rsidRDefault="00E72E5F">
    <w:pPr>
      <w:jc w:val="center"/>
    </w:pPr>
    <w:r>
      <w:rPr>
        <w:rFonts w:ascii="宋体" w:eastAsia="宋体" w:hAnsi="宋体" w:cs="宋体"/>
        <w:sz w:val="18"/>
      </w:rPr>
      <w:fldChar w:fldCharType="begin"/>
    </w:r>
    <w:r w:rsidR="00183A64">
      <w:rPr>
        <w:rFonts w:ascii="宋体" w:eastAsia="宋体" w:hAnsi="宋体" w:cs="宋体"/>
        <w:sz w:val="18"/>
        <w:lang w:eastAsia="zh-CN"/>
      </w:rPr>
      <w:instrText xml:space="preserve"> PAGE </w:instrText>
    </w:r>
    <w:r>
      <w:rPr>
        <w:rFonts w:ascii="宋体" w:eastAsia="宋体" w:hAnsi="宋体" w:cs="宋体"/>
        <w:sz w:val="18"/>
      </w:rPr>
      <w:fldChar w:fldCharType="separate"/>
    </w:r>
    <w:r w:rsidR="006C29AE">
      <w:rPr>
        <w:rFonts w:ascii="宋体" w:eastAsia="宋体" w:hAnsi="宋体" w:cs="宋体"/>
        <w:noProof/>
        <w:sz w:val="18"/>
        <w:lang w:eastAsia="zh-CN"/>
      </w:rPr>
      <w:t>1</w:t>
    </w:r>
    <w:r>
      <w:rPr>
        <w:rFonts w:ascii="宋体" w:eastAsia="宋体" w:hAnsi="宋体" w:cs="宋体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A5" w:rsidRDefault="000541A5">
      <w:r>
        <w:separator/>
      </w:r>
    </w:p>
  </w:footnote>
  <w:footnote w:type="continuationSeparator" w:id="0">
    <w:p w:rsidR="000541A5" w:rsidRDefault="00054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41A5"/>
    <w:rsid w:val="00183A64"/>
    <w:rsid w:val="00695019"/>
    <w:rsid w:val="006C29AE"/>
    <w:rsid w:val="008B62B8"/>
    <w:rsid w:val="00A77B3E"/>
    <w:rsid w:val="00B06A4B"/>
    <w:rsid w:val="00CA2A55"/>
    <w:rsid w:val="00E7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5F"/>
    <w:rPr>
      <w:sz w:val="24"/>
      <w:szCs w:val="24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72E5F"/>
  </w:style>
  <w:style w:type="paragraph" w:styleId="1">
    <w:name w:val="toc 1"/>
    <w:basedOn w:val="a"/>
    <w:next w:val="a"/>
    <w:autoRedefine/>
    <w:rsid w:val="00805BCE"/>
    <w:pPr>
      <w:spacing w:line="360" w:lineRule="auto"/>
    </w:pPr>
    <w:rPr>
      <w:rFonts w:ascii="宋体" w:eastAsia="宋体" w:hAnsi="宋体" w:cs="宋体"/>
      <w:b/>
      <w:sz w:val="21"/>
    </w:rPr>
  </w:style>
  <w:style w:type="character" w:styleId="a3">
    <w:name w:val="annotation reference"/>
    <w:basedOn w:val="a0"/>
    <w:semiHidden/>
    <w:unhideWhenUsed/>
    <w:rsid w:val="00B06A4B"/>
    <w:rPr>
      <w:sz w:val="21"/>
      <w:szCs w:val="21"/>
    </w:rPr>
  </w:style>
  <w:style w:type="paragraph" w:styleId="a4">
    <w:name w:val="annotation text"/>
    <w:basedOn w:val="a"/>
    <w:link w:val="Char"/>
    <w:semiHidden/>
    <w:unhideWhenUsed/>
    <w:rsid w:val="00B06A4B"/>
  </w:style>
  <w:style w:type="character" w:customStyle="1" w:styleId="Char">
    <w:name w:val="批注文字 Char"/>
    <w:basedOn w:val="a0"/>
    <w:link w:val="a4"/>
    <w:semiHidden/>
    <w:rsid w:val="00B06A4B"/>
    <w:rPr>
      <w:sz w:val="24"/>
      <w:szCs w:val="24"/>
    </w:rPr>
  </w:style>
  <w:style w:type="paragraph" w:styleId="a5">
    <w:name w:val="annotation subject"/>
    <w:basedOn w:val="a4"/>
    <w:next w:val="a4"/>
    <w:link w:val="Char0"/>
    <w:semiHidden/>
    <w:unhideWhenUsed/>
    <w:rsid w:val="00B06A4B"/>
    <w:rPr>
      <w:b/>
      <w:bCs/>
    </w:rPr>
  </w:style>
  <w:style w:type="character" w:customStyle="1" w:styleId="Char0">
    <w:name w:val="批注主题 Char"/>
    <w:basedOn w:val="Char"/>
    <w:link w:val="a5"/>
    <w:semiHidden/>
    <w:rsid w:val="00B06A4B"/>
    <w:rPr>
      <w:b/>
      <w:bCs/>
      <w:sz w:val="24"/>
      <w:szCs w:val="24"/>
    </w:rPr>
  </w:style>
  <w:style w:type="paragraph" w:styleId="a6">
    <w:name w:val="Balloon Text"/>
    <w:basedOn w:val="a"/>
    <w:link w:val="Char1"/>
    <w:semiHidden/>
    <w:unhideWhenUsed/>
    <w:rsid w:val="00B06A4B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B06A4B"/>
    <w:rPr>
      <w:sz w:val="18"/>
      <w:szCs w:val="18"/>
    </w:rPr>
  </w:style>
  <w:style w:type="paragraph" w:styleId="a7">
    <w:name w:val="header"/>
    <w:basedOn w:val="a"/>
    <w:link w:val="Char2"/>
    <w:unhideWhenUsed/>
    <w:rsid w:val="008B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8B62B8"/>
    <w:rPr>
      <w:sz w:val="18"/>
      <w:szCs w:val="18"/>
    </w:rPr>
  </w:style>
  <w:style w:type="paragraph" w:styleId="a8">
    <w:name w:val="footer"/>
    <w:basedOn w:val="a"/>
    <w:link w:val="Char3"/>
    <w:unhideWhenUsed/>
    <w:rsid w:val="008B62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8B6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2024-08-20T16:02:00Z</dcterms:created>
  <dcterms:modified xsi:type="dcterms:W3CDTF">2024-08-20T16:02:00Z</dcterms:modified>
</cp:coreProperties>
</file>