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2D" w:rsidRPr="00FD462D" w:rsidRDefault="00FD462D" w:rsidP="00FD462D">
      <w:pPr>
        <w:widowControl/>
        <w:spacing w:line="480" w:lineRule="atLeast"/>
        <w:jc w:val="left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FD462D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招商基金管理有限公司关于终止</w:t>
      </w:r>
      <w:r w:rsidR="00C838BF" w:rsidRPr="00C838BF">
        <w:rPr>
          <w:rFonts w:ascii="微软雅黑" w:eastAsia="微软雅黑" w:hAnsi="微软雅黑" w:cs="宋体"/>
          <w:color w:val="333333"/>
          <w:kern w:val="0"/>
          <w:sz w:val="36"/>
          <w:szCs w:val="36"/>
        </w:rPr>
        <w:t>中民财富基金销售（上海）有限公司</w:t>
      </w:r>
      <w:r w:rsidRPr="00FD462D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办理旗下基金销售业务的公告</w:t>
      </w:r>
    </w:p>
    <w:p w:rsidR="000A5EBA" w:rsidRDefault="000A5EBA"/>
    <w:p w:rsidR="00FD462D" w:rsidRDefault="00FD462D" w:rsidP="00A75C46">
      <w:pPr>
        <w:pStyle w:val="a3"/>
        <w:spacing w:before="0" w:beforeAutospacing="0" w:after="0" w:afterAutospacing="0" w:line="360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经协商一致，招商基金管理有限公司（以下简称“本公司”）自202</w:t>
      </w:r>
      <w:r>
        <w:rPr>
          <w:rFonts w:ascii="仿宋" w:eastAsia="仿宋" w:hAnsi="仿宋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21</w:t>
      </w:r>
      <w:r>
        <w:rPr>
          <w:rFonts w:ascii="仿宋" w:eastAsia="仿宋" w:hAnsi="仿宋" w:hint="eastAsia"/>
          <w:color w:val="000000"/>
          <w:sz w:val="30"/>
          <w:szCs w:val="30"/>
        </w:rPr>
        <w:t>日起终止与</w:t>
      </w:r>
      <w:r w:rsidR="00C838BF" w:rsidRPr="00C838BF">
        <w:rPr>
          <w:rFonts w:ascii="仿宋" w:eastAsia="仿宋" w:hAnsi="仿宋"/>
          <w:color w:val="000000"/>
          <w:sz w:val="30"/>
          <w:szCs w:val="30"/>
        </w:rPr>
        <w:t>中民财富基金销售（上海）有限公司</w:t>
      </w:r>
      <w:r>
        <w:rPr>
          <w:rFonts w:ascii="仿宋" w:eastAsia="仿宋" w:hAnsi="仿宋" w:hint="eastAsia"/>
          <w:color w:val="000000"/>
          <w:sz w:val="30"/>
          <w:szCs w:val="30"/>
        </w:rPr>
        <w:t>（以下简称“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中民财富</w:t>
      </w:r>
      <w:r>
        <w:rPr>
          <w:rFonts w:ascii="仿宋" w:eastAsia="仿宋" w:hAnsi="仿宋" w:hint="eastAsia"/>
          <w:color w:val="000000"/>
          <w:sz w:val="30"/>
          <w:szCs w:val="30"/>
        </w:rPr>
        <w:t>”）在基金销售业务上的合作，包括基金的认购、申购、定期定额投资及转换等业务。</w:t>
      </w:r>
    </w:p>
    <w:p w:rsidR="00FD462D" w:rsidRDefault="00FD462D" w:rsidP="00FD462D">
      <w:pPr>
        <w:pStyle w:val="a3"/>
        <w:spacing w:before="0" w:beforeAutospacing="0" w:after="0" w:afterAutospacing="0" w:line="360" w:lineRule="atLeast"/>
        <w:ind w:firstLine="60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对于已通过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中民财富</w:t>
      </w:r>
      <w:r>
        <w:rPr>
          <w:rFonts w:ascii="仿宋" w:eastAsia="仿宋" w:hAnsi="仿宋" w:hint="eastAsia"/>
          <w:color w:val="000000"/>
          <w:sz w:val="30"/>
          <w:szCs w:val="30"/>
        </w:rPr>
        <w:t>购买并持有本公司旗下基金的投资者，为维护投资者利益，请于202</w:t>
      </w:r>
      <w:r>
        <w:rPr>
          <w:rFonts w:ascii="仿宋" w:eastAsia="仿宋" w:hAnsi="仿宋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</w:rPr>
        <w:t>日15点之前自行办理基金份额转托管或赎回业务。如投资者未及时处理，本公司将直接为投资者将存量份额转至本公司直销平台。后续投资者可以通过本公司办理基金份额查询等相关业务。</w:t>
      </w:r>
    </w:p>
    <w:p w:rsidR="00FD462D" w:rsidRDefault="00FD462D" w:rsidP="00FD462D">
      <w:pPr>
        <w:pStyle w:val="a3"/>
        <w:spacing w:before="0" w:beforeAutospacing="0" w:after="0" w:afterAutospacing="0" w:line="360" w:lineRule="atLeast"/>
        <w:ind w:firstLine="60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如有疑问，请拨打本公司客户服务热线：400-887-9555（免长途话费），或登陆本公司网站www.cmfchina.com获取相关信息。</w:t>
      </w:r>
      <w:r>
        <w:rPr>
          <w:rFonts w:ascii="Calibri" w:eastAsia="微软雅黑" w:hAnsi="Calibri" w:cs="Calibri"/>
          <w:color w:val="000000"/>
          <w:sz w:val="30"/>
          <w:szCs w:val="30"/>
        </w:rPr>
        <w:t>   </w:t>
      </w:r>
    </w:p>
    <w:p w:rsidR="00FD462D" w:rsidRDefault="00FD462D" w:rsidP="00FD462D">
      <w:pPr>
        <w:pStyle w:val="a3"/>
        <w:spacing w:before="0" w:beforeAutospacing="0" w:after="0" w:afterAutospacing="0" w:line="360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Fonts w:ascii="仿宋" w:eastAsia="仿宋" w:hAnsi="仿宋" w:hint="eastAsia"/>
          <w:color w:val="000000"/>
          <w:sz w:val="30"/>
          <w:szCs w:val="30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、产品资料概要等基金法律文件，全面认识基金产品的风险收益特征，在了解产品情况及听取销售机构适当性意见的基础上，根据自身的风险承受能力、投资</w:t>
      </w: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期限和投资目标，对基金投资作出独立决策，选择合适的基金产品。</w:t>
      </w:r>
    </w:p>
    <w:p w:rsidR="00FD462D" w:rsidRDefault="00FD462D" w:rsidP="00FD462D">
      <w:pPr>
        <w:pStyle w:val="a3"/>
        <w:spacing w:before="0" w:beforeAutospacing="0" w:after="0" w:afterAutospacing="0" w:line="360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特此公告。</w:t>
      </w:r>
    </w:p>
    <w:p w:rsidR="00FD462D" w:rsidRDefault="00FD462D" w:rsidP="00FD462D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 </w:t>
      </w:r>
    </w:p>
    <w:p w:rsidR="00FD462D" w:rsidRDefault="00FD462D" w:rsidP="00FD462D">
      <w:pPr>
        <w:pStyle w:val="a3"/>
        <w:spacing w:before="0" w:beforeAutospacing="0" w:after="0" w:afterAutospacing="0" w:line="360" w:lineRule="atLeast"/>
        <w:jc w:val="righ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br/>
        <w:t>招商基金管理有限公司</w:t>
      </w:r>
      <w:r>
        <w:rPr>
          <w:rFonts w:ascii="仿宋" w:eastAsia="仿宋" w:hAnsi="仿宋" w:hint="eastAsia"/>
          <w:color w:val="000000"/>
          <w:sz w:val="30"/>
          <w:szCs w:val="30"/>
        </w:rPr>
        <w:br/>
        <w:t>202</w:t>
      </w:r>
      <w:r>
        <w:rPr>
          <w:rFonts w:ascii="仿宋" w:eastAsia="仿宋" w:hAnsi="仿宋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C838BF">
        <w:rPr>
          <w:rFonts w:ascii="仿宋" w:eastAsia="仿宋" w:hAnsi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987CEF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987CEF">
        <w:rPr>
          <w:rFonts w:ascii="仿宋" w:eastAsia="仿宋" w:hAnsi="仿宋"/>
          <w:color w:val="00000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FD462D" w:rsidRPr="00FD462D" w:rsidRDefault="00FD462D"/>
    <w:sectPr w:rsidR="00FD462D" w:rsidRPr="00FD462D" w:rsidSect="006E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AF" w:rsidRDefault="002B35AF" w:rsidP="0037407F">
      <w:r>
        <w:separator/>
      </w:r>
    </w:p>
  </w:endnote>
  <w:endnote w:type="continuationSeparator" w:id="0">
    <w:p w:rsidR="002B35AF" w:rsidRDefault="002B35AF" w:rsidP="0037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AF" w:rsidRDefault="002B35AF" w:rsidP="0037407F">
      <w:r>
        <w:separator/>
      </w:r>
    </w:p>
  </w:footnote>
  <w:footnote w:type="continuationSeparator" w:id="0">
    <w:p w:rsidR="002B35AF" w:rsidRDefault="002B35AF" w:rsidP="00374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62D"/>
    <w:rsid w:val="00067448"/>
    <w:rsid w:val="000A5EBA"/>
    <w:rsid w:val="00100C9C"/>
    <w:rsid w:val="0016296F"/>
    <w:rsid w:val="00175B27"/>
    <w:rsid w:val="00246B89"/>
    <w:rsid w:val="002B35AF"/>
    <w:rsid w:val="0037407F"/>
    <w:rsid w:val="00511098"/>
    <w:rsid w:val="006E3655"/>
    <w:rsid w:val="00987CEF"/>
    <w:rsid w:val="00A75C46"/>
    <w:rsid w:val="00C838BF"/>
    <w:rsid w:val="00D0579A"/>
    <w:rsid w:val="00DB4E0D"/>
    <w:rsid w:val="00F3765E"/>
    <w:rsid w:val="00F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46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D462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4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37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40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4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407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7407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7407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7407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7407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7407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7407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7407F"/>
    <w:rPr>
      <w:sz w:val="18"/>
      <w:szCs w:val="18"/>
    </w:rPr>
  </w:style>
  <w:style w:type="paragraph" w:styleId="aa">
    <w:name w:val="Revision"/>
    <w:hidden/>
    <w:uiPriority w:val="99"/>
    <w:semiHidden/>
    <w:rsid w:val="0010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t032792</dc:creator>
  <cp:keywords/>
  <dc:description/>
  <cp:lastModifiedBy>ZHONGM</cp:lastModifiedBy>
  <cp:revision>2</cp:revision>
  <dcterms:created xsi:type="dcterms:W3CDTF">2024-08-19T16:02:00Z</dcterms:created>
  <dcterms:modified xsi:type="dcterms:W3CDTF">2024-08-19T16:02:00Z</dcterms:modified>
</cp:coreProperties>
</file>