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7E" w:rsidRDefault="001F1BC0">
      <w:pPr>
        <w:pStyle w:val="1"/>
        <w:numPr>
          <w:ilvl w:val="0"/>
          <w:numId w:val="0"/>
        </w:numPr>
        <w:snapToGrid w:val="0"/>
        <w:spacing w:line="24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关于博时基金管理有限公司旗下部分基金新增国联证券为申购、赎回代办券商的公告</w:t>
      </w:r>
    </w:p>
    <w:p w:rsidR="00D3007E" w:rsidRDefault="00D3007E">
      <w:pPr>
        <w:rPr>
          <w:rFonts w:ascii="楷体_GB2312" w:eastAsia="楷体_GB2312"/>
          <w:color w:val="000000"/>
          <w:sz w:val="24"/>
          <w:szCs w:val="24"/>
        </w:rPr>
      </w:pPr>
    </w:p>
    <w:p w:rsidR="00D3007E" w:rsidRDefault="001F1BC0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由博时基金管理有限公司（以下简称“本公司”）申请，并经上海证券交易所</w:t>
      </w:r>
      <w:r>
        <w:rPr>
          <w:rFonts w:hint="eastAsia"/>
        </w:rPr>
        <w:t>、</w:t>
      </w:r>
      <w:r>
        <w:rPr>
          <w:rFonts w:hint="eastAsia"/>
        </w:rPr>
        <w:t>深圳证券交易所确认，自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日起，本公司旗下部分基金将新增国联证券股份有限公司为场内申购、赎回业务的代办券商（以下简称“一级交易商”）。投资者可通过上述券商办理下述基金的场内申购、赎回等业务。具体基金如下：</w:t>
      </w:r>
    </w:p>
    <w:p w:rsidR="00D3007E" w:rsidRDefault="001F1BC0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</w:rPr>
        <w:t>沪市</w:t>
      </w:r>
      <w:r>
        <w:rPr>
          <w:rFonts w:hint="eastAsia"/>
        </w:rPr>
        <w:t>ETF</w:t>
      </w:r>
    </w:p>
    <w:tbl>
      <w:tblPr>
        <w:tblW w:w="50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3322"/>
        <w:gridCol w:w="1466"/>
        <w:gridCol w:w="1466"/>
        <w:gridCol w:w="1467"/>
        <w:gridCol w:w="1469"/>
      </w:tblGrid>
      <w:tr w:rsidR="00D3007E">
        <w:trPr>
          <w:tblHeader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场内简称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扩位简称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上证自然资源交易型开放式指数证券投资基金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博时上证自然资源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510410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</w:t>
            </w:r>
            <w:r>
              <w:rPr>
                <w:rFonts w:hint="eastAsia"/>
              </w:rPr>
              <w:t>50ETF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50ETF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上证</w:t>
            </w:r>
            <w:r>
              <w:rPr>
                <w:rFonts w:hint="eastAsia"/>
              </w:rPr>
              <w:t>50ETF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510710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博时中证央企结构调整交易型开放式指数证券投资基金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博时央企结构调整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央调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央企结构调整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512960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博时恒生医疗保健交易型开放式指数证券投资基金</w:t>
            </w:r>
            <w:r>
              <w:rPr>
                <w:rFonts w:hint="eastAsia"/>
              </w:rPr>
              <w:t>(QDII)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博时恒生医疗保健（</w:t>
            </w:r>
            <w:r>
              <w:rPr>
                <w:rFonts w:hint="eastAsia"/>
              </w:rPr>
              <w:t>QDII-ETF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恒生医疗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恒生医疗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513060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博时中证全球中国教育主题交易型开放式指数证券投资基金</w:t>
            </w:r>
            <w:r>
              <w:rPr>
                <w:rFonts w:hint="eastAsia"/>
              </w:rPr>
              <w:t>(QDII)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博时全球中国教育（</w:t>
            </w:r>
            <w:r>
              <w:rPr>
                <w:rFonts w:hint="eastAsia"/>
              </w:rPr>
              <w:t>QDII-ETF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513360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6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博时纳斯达克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交易型开放式指数证券投资基金（</w:t>
            </w:r>
            <w:r>
              <w:rPr>
                <w:rFonts w:hint="eastAsia"/>
              </w:rPr>
              <w:t>QDII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博时纳斯达克</w:t>
            </w:r>
            <w:r>
              <w:rPr>
                <w:rFonts w:hint="eastAsia"/>
              </w:rPr>
              <w:t>100ETF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纳指基金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纳指</w:t>
            </w:r>
            <w:r>
              <w:rPr>
                <w:rFonts w:hint="eastAsia"/>
              </w:rPr>
              <w:t>100ETF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513390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7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博时标普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博时标普</w:t>
            </w:r>
            <w:r>
              <w:rPr>
                <w:rFonts w:hint="eastAsia"/>
              </w:rPr>
              <w:t>500ETF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标普</w:t>
            </w:r>
            <w:r>
              <w:rPr>
                <w:rFonts w:hint="eastAsia"/>
              </w:rPr>
              <w:t>500 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标普</w:t>
            </w:r>
            <w:r>
              <w:rPr>
                <w:rFonts w:hint="eastAsia"/>
              </w:rPr>
              <w:t>500ETF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513500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8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博时中证可持续发展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博时可持续发展</w:t>
            </w:r>
            <w:r>
              <w:rPr>
                <w:rFonts w:hint="eastAsia"/>
              </w:rPr>
              <w:t>100ETF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可持续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可持续发展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515090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9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博时沪深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博时沪深</w:t>
            </w:r>
            <w:r>
              <w:rPr>
                <w:rFonts w:hint="eastAsia"/>
              </w:rPr>
              <w:t>300ETF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HS300E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沪深</w:t>
            </w:r>
            <w:r>
              <w:rPr>
                <w:rFonts w:hint="eastAsia"/>
              </w:rPr>
              <w:t>300ETF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515130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博时中证红利交易型开放式指数证券投资基金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博时中证红利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红利博时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红利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515890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11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博时中证央企创新驱动交易型开放式指数证券投资基金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博时央企创新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央创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央企创新驱动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515900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12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博时中证智能消费主题交易型开放式指数证券投资基金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博时智能消费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智能消费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智能消费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515920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13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博时中证新能源交易型开放式指数证券投资基金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博时新能源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新能源</w:t>
            </w:r>
            <w:r>
              <w:rPr>
                <w:rFonts w:hint="eastAsia"/>
              </w:rPr>
              <w:t>BS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新能源主题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516580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14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博时中证金融科技主题交易型开放式指数证券投资基金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博时金融科技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金融科技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金融科技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516860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博时中证全指电力公用事业交易型</w:t>
            </w:r>
            <w:r>
              <w:rPr>
                <w:rFonts w:hint="eastAsia"/>
              </w:rPr>
              <w:lastRenderedPageBreak/>
              <w:t>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 </w:t>
            </w:r>
            <w:r>
              <w:rPr>
                <w:rFonts w:hint="eastAsia"/>
              </w:rPr>
              <w:t>博时中证全指</w:t>
            </w:r>
            <w:r>
              <w:rPr>
                <w:rFonts w:hint="eastAsia"/>
              </w:rPr>
              <w:lastRenderedPageBreak/>
              <w:t>电力公用事业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 </w:t>
            </w:r>
            <w:r>
              <w:rPr>
                <w:rFonts w:hint="eastAsia"/>
              </w:rPr>
              <w:t>电力基金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电力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561700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 16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博时上证科创板新材料交易型开放式指数证券投资基金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博时上证科创板新材料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科创材料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科创新材料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588010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17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博时科创</w:t>
            </w:r>
            <w:r>
              <w:rPr>
                <w:rFonts w:hint="eastAsia"/>
              </w:rPr>
              <w:t>100ETF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科创指基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588030 </w:t>
            </w:r>
          </w:p>
        </w:tc>
      </w:tr>
      <w:tr w:rsidR="00D3007E"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18 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博时中证科创创业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博时中证科创创业</w:t>
            </w:r>
            <w:r>
              <w:rPr>
                <w:rFonts w:hint="eastAsia"/>
              </w:rPr>
              <w:t>50ETF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科创创业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科创创业</w:t>
            </w:r>
            <w:r>
              <w:rPr>
                <w:rFonts w:hint="eastAsia"/>
              </w:rPr>
              <w:t>50ETF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588390 </w:t>
            </w:r>
          </w:p>
        </w:tc>
      </w:tr>
    </w:tbl>
    <w:p w:rsidR="00D3007E" w:rsidRDefault="001F1BC0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</w:rPr>
        <w:t>深市</w:t>
      </w:r>
      <w:r>
        <w:rPr>
          <w:rFonts w:hint="eastAsia"/>
        </w:rPr>
        <w:t>ETF</w:t>
      </w:r>
    </w:p>
    <w:tbl>
      <w:tblPr>
        <w:tblW w:w="503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6433"/>
        <w:gridCol w:w="1817"/>
        <w:gridCol w:w="1006"/>
      </w:tblGrid>
      <w:tr w:rsidR="00D3007E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D3007E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博时中证成渝地区双城经济圈成份交易型开放式指数证券投资基金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成渝经济圈</w:t>
            </w:r>
            <w:r>
              <w:rPr>
                <w:rFonts w:hint="eastAsia"/>
              </w:rPr>
              <w:t>ETF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159623 </w:t>
            </w:r>
          </w:p>
        </w:tc>
      </w:tr>
      <w:tr w:rsidR="00D3007E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博时中证主要消费交易型开放式指数证券投资基金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主要消费</w:t>
            </w:r>
            <w:r>
              <w:rPr>
                <w:rFonts w:hint="eastAsia"/>
              </w:rPr>
              <w:t>ETF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159672 </w:t>
            </w:r>
          </w:p>
        </w:tc>
      </w:tr>
      <w:tr w:rsidR="00D3007E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 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博时国证龙头家电交易型开放式指数证券投资基金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龙头家电</w:t>
            </w:r>
            <w:r>
              <w:rPr>
                <w:rFonts w:hint="eastAsia"/>
              </w:rPr>
              <w:t>ETF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159730 </w:t>
            </w:r>
          </w:p>
        </w:tc>
      </w:tr>
      <w:tr w:rsidR="00D3007E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 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博时恒生科技交易型开放式指数证券投资基金</w:t>
            </w:r>
            <w:r>
              <w:rPr>
                <w:rFonts w:hint="eastAsia"/>
              </w:rPr>
              <w:t>(QDII)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恒生科技指数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159742 </w:t>
            </w:r>
          </w:p>
        </w:tc>
      </w:tr>
      <w:tr w:rsidR="00D3007E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 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博时中证新能源汽车交易型开放式指数证券投资基金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新能车</w:t>
            </w:r>
            <w:r>
              <w:rPr>
                <w:rFonts w:hint="eastAsia"/>
              </w:rPr>
              <w:t>ETF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159824 </w:t>
            </w:r>
          </w:p>
        </w:tc>
      </w:tr>
      <w:tr w:rsidR="00D3007E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6 </w:t>
            </w:r>
          </w:p>
        </w:tc>
        <w:tc>
          <w:tcPr>
            <w:tcW w:w="3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博时中证医药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医药</w:t>
            </w:r>
            <w:r>
              <w:rPr>
                <w:rFonts w:hint="eastAsia"/>
              </w:rPr>
              <w:t>50ETF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159838 </w:t>
            </w:r>
          </w:p>
        </w:tc>
      </w:tr>
    </w:tbl>
    <w:p w:rsidR="00D3007E" w:rsidRDefault="00D3007E">
      <w:pPr>
        <w:pStyle w:val="a7"/>
        <w:spacing w:before="0" w:beforeAutospacing="0" w:after="0" w:afterAutospacing="0" w:line="360" w:lineRule="auto"/>
        <w:ind w:firstLine="420"/>
      </w:pPr>
    </w:p>
    <w:p w:rsidR="00D3007E" w:rsidRDefault="001F1BC0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一、投资者可通过以下途径咨询有关详情</w:t>
      </w:r>
      <w:r>
        <w:rPr>
          <w:rFonts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7"/>
        <w:gridCol w:w="1735"/>
        <w:gridCol w:w="3990"/>
      </w:tblGrid>
      <w:tr w:rsidR="00D300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机构名称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客服电话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网址</w:t>
            </w:r>
            <w:r>
              <w:rPr>
                <w:rFonts w:hint="eastAsia"/>
              </w:rPr>
              <w:t> </w:t>
            </w:r>
          </w:p>
        </w:tc>
      </w:tr>
      <w:tr w:rsidR="00D300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国联证券股份有限公司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95570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07E" w:rsidRDefault="001F1B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http://www.glsc.com.cn </w:t>
            </w:r>
          </w:p>
        </w:tc>
      </w:tr>
    </w:tbl>
    <w:p w:rsidR="00D3007E" w:rsidRDefault="001F1BC0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或致电博时一线通：</w:t>
      </w:r>
      <w:r>
        <w:rPr>
          <w:rFonts w:hint="eastAsia"/>
        </w:rPr>
        <w:t>95105568(</w:t>
      </w:r>
      <w:r>
        <w:rPr>
          <w:rFonts w:hint="eastAsia"/>
        </w:rPr>
        <w:t>免长途话费</w:t>
      </w:r>
      <w:r>
        <w:rPr>
          <w:rFonts w:hint="eastAsia"/>
        </w:rPr>
        <w:t>) </w:t>
      </w:r>
      <w:r>
        <w:rPr>
          <w:rFonts w:hint="eastAsia"/>
        </w:rPr>
        <w:t>，登录本公司网站</w:t>
      </w:r>
      <w:r>
        <w:rPr>
          <w:rFonts w:hint="eastAsia"/>
        </w:rPr>
        <w:t>www.bosera.com</w:t>
      </w:r>
      <w:r>
        <w:rPr>
          <w:rFonts w:hint="eastAsia"/>
        </w:rPr>
        <w:t>了解有关情况。</w:t>
      </w:r>
      <w:r>
        <w:rPr>
          <w:rFonts w:hint="eastAsia"/>
        </w:rPr>
        <w:t> </w:t>
      </w:r>
    </w:p>
    <w:p w:rsidR="00D3007E" w:rsidRDefault="001F1BC0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二、重要提示</w:t>
      </w:r>
      <w:r>
        <w:rPr>
          <w:rFonts w:hint="eastAsia"/>
        </w:rPr>
        <w:t> </w:t>
      </w:r>
    </w:p>
    <w:p w:rsidR="00D3007E" w:rsidRDefault="001F1BC0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基金管理人承诺以诚实信用、勤勉尽责的原则管理和运用基金资产，但不保证基金一定盈利，也不保证最低收益。投资者投资于基金时应认真阅读基金的《基金合同》和《招募说明书》。敬请投资者注意投资风险。</w:t>
      </w:r>
      <w:r>
        <w:rPr>
          <w:rFonts w:hint="eastAsia"/>
        </w:rPr>
        <w:t> </w:t>
      </w:r>
    </w:p>
    <w:p w:rsidR="00D3007E" w:rsidRDefault="001F1BC0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特此公告。</w:t>
      </w:r>
      <w:r>
        <w:rPr>
          <w:rFonts w:hint="eastAsia"/>
        </w:rPr>
        <w:t> </w:t>
      </w:r>
    </w:p>
    <w:p w:rsidR="00D3007E" w:rsidRDefault="001F1BC0">
      <w:pPr>
        <w:autoSpaceDE w:val="0"/>
        <w:autoSpaceDN w:val="0"/>
        <w:spacing w:line="360" w:lineRule="auto"/>
        <w:ind w:firstLine="57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博时基金管理有限公司</w:t>
      </w:r>
    </w:p>
    <w:p w:rsidR="00D3007E" w:rsidRDefault="001F1BC0">
      <w:pPr>
        <w:spacing w:line="360" w:lineRule="auto"/>
        <w:jc w:val="righ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2024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20</w:t>
      </w:r>
      <w:r>
        <w:rPr>
          <w:rFonts w:ascii="宋体" w:hAnsi="宋体"/>
          <w:color w:val="000000"/>
          <w:sz w:val="24"/>
          <w:szCs w:val="24"/>
        </w:rPr>
        <w:t>日</w:t>
      </w:r>
    </w:p>
    <w:sectPr w:rsidR="00D3007E" w:rsidSect="00D300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F63F8"/>
    <w:multiLevelType w:val="singleLevel"/>
    <w:tmpl w:val="A8BF63F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93B3E60"/>
    <w:multiLevelType w:val="multilevel"/>
    <w:tmpl w:val="393B3E60"/>
    <w:lvl w:ilvl="0">
      <w:start w:val="1"/>
      <w:numFmt w:val="chineseCountingThousand"/>
      <w:pStyle w:val="1"/>
      <w:suff w:val="nothing"/>
      <w:lvlText w:val="%1、"/>
      <w:lvlJc w:val="center"/>
      <w:pPr>
        <w:ind w:left="0" w:firstLine="288"/>
      </w:pPr>
    </w:lvl>
    <w:lvl w:ilvl="1">
      <w:start w:val="1"/>
      <w:numFmt w:val="chineseCountingThousand"/>
      <w:pStyle w:val="2"/>
      <w:lvlText w:val="（%2）"/>
      <w:lvlJc w:val="left"/>
      <w:pPr>
        <w:tabs>
          <w:tab w:val="left" w:pos="1260"/>
        </w:tabs>
        <w:ind w:left="180" w:firstLine="0"/>
      </w:pPr>
      <w:rPr>
        <w:sz w:val="21"/>
        <w:szCs w:val="21"/>
      </w:rPr>
    </w:lvl>
    <w:lvl w:ilvl="2">
      <w:start w:val="1"/>
      <w:numFmt w:val="decimal"/>
      <w:pStyle w:val="3"/>
      <w:lvlText w:val="%3."/>
      <w:lvlJc w:val="left"/>
      <w:pPr>
        <w:tabs>
          <w:tab w:val="left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pStyle w:val="4"/>
      <w:lvlText w:val="（%4）"/>
      <w:lvlJc w:val="left"/>
      <w:pPr>
        <w:tabs>
          <w:tab w:val="left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pStyle w:val="5"/>
      <w:lvlText w:val=""/>
      <w:lvlJc w:val="left"/>
      <w:pPr>
        <w:tabs>
          <w:tab w:val="left" w:pos="360"/>
        </w:tabs>
        <w:ind w:left="0" w:firstLine="0"/>
      </w:pPr>
      <w:rPr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left" w:pos="927"/>
        </w:tabs>
        <w:ind w:left="0" w:firstLine="567"/>
      </w:pPr>
      <w:rPr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left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left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45D1"/>
    <w:rsid w:val="00092C75"/>
    <w:rsid w:val="000B19D3"/>
    <w:rsid w:val="001349CD"/>
    <w:rsid w:val="00182AE4"/>
    <w:rsid w:val="00186B81"/>
    <w:rsid w:val="001F1BC0"/>
    <w:rsid w:val="0030042E"/>
    <w:rsid w:val="00334A76"/>
    <w:rsid w:val="00493B16"/>
    <w:rsid w:val="004E2DEA"/>
    <w:rsid w:val="0054440F"/>
    <w:rsid w:val="005C6C5C"/>
    <w:rsid w:val="005F7AF8"/>
    <w:rsid w:val="00791D57"/>
    <w:rsid w:val="007B2188"/>
    <w:rsid w:val="00816D5C"/>
    <w:rsid w:val="00855A50"/>
    <w:rsid w:val="008D0F9B"/>
    <w:rsid w:val="008E39A2"/>
    <w:rsid w:val="009D1DE7"/>
    <w:rsid w:val="00A02E52"/>
    <w:rsid w:val="00B50B2B"/>
    <w:rsid w:val="00D3007E"/>
    <w:rsid w:val="00DF750F"/>
    <w:rsid w:val="00F8460C"/>
    <w:rsid w:val="00FB06A4"/>
    <w:rsid w:val="00FB450C"/>
    <w:rsid w:val="00FC2A28"/>
    <w:rsid w:val="00FE0443"/>
    <w:rsid w:val="00FE5261"/>
    <w:rsid w:val="57E50133"/>
    <w:rsid w:val="70BC3089"/>
    <w:rsid w:val="7A80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E"/>
    <w:pPr>
      <w:jc w:val="both"/>
    </w:pPr>
    <w:rPr>
      <w:rFonts w:ascii="Calibri" w:eastAsia="宋体" w:hAnsi="Calibri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3007E"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36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007E"/>
    <w:pPr>
      <w:numPr>
        <w:ilvl w:val="1"/>
        <w:numId w:val="1"/>
      </w:numPr>
      <w:spacing w:after="120" w:line="360" w:lineRule="auto"/>
      <w:outlineLvl w:val="1"/>
    </w:pPr>
    <w:rPr>
      <w:rFonts w:ascii="宋体" w:hAnsi="宋体"/>
      <w:color w:val="00000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007E"/>
    <w:pPr>
      <w:numPr>
        <w:ilvl w:val="2"/>
        <w:numId w:val="1"/>
      </w:numPr>
      <w:spacing w:after="120" w:line="360" w:lineRule="auto"/>
      <w:outlineLvl w:val="2"/>
    </w:pPr>
    <w:rPr>
      <w:rFonts w:ascii="宋体" w:hAnsi="宋体"/>
      <w:color w:val="00000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007E"/>
    <w:pPr>
      <w:numPr>
        <w:ilvl w:val="3"/>
        <w:numId w:val="1"/>
      </w:numPr>
      <w:spacing w:after="120" w:line="360" w:lineRule="auto"/>
      <w:outlineLvl w:val="3"/>
    </w:pPr>
    <w:rPr>
      <w:rFonts w:ascii="宋体" w:hAnsi="宋体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007E"/>
    <w:pPr>
      <w:numPr>
        <w:ilvl w:val="4"/>
        <w:numId w:val="1"/>
      </w:numPr>
      <w:spacing w:after="120" w:line="360" w:lineRule="auto"/>
      <w:outlineLvl w:val="4"/>
    </w:pPr>
    <w:rPr>
      <w:rFonts w:ascii="宋体" w:hAnsi="宋体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007E"/>
    <w:pPr>
      <w:numPr>
        <w:ilvl w:val="5"/>
        <w:numId w:val="1"/>
      </w:numPr>
      <w:spacing w:after="120" w:line="360" w:lineRule="auto"/>
      <w:outlineLvl w:val="5"/>
    </w:pPr>
    <w:rPr>
      <w:rFonts w:ascii="宋体" w:hAnsi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3007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300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30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30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3007E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D3007E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D3007E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D300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007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3007E"/>
  </w:style>
  <w:style w:type="character" w:customStyle="1" w:styleId="Char3">
    <w:name w:val="批注主题 Char"/>
    <w:basedOn w:val="Char"/>
    <w:link w:val="a8"/>
    <w:uiPriority w:val="99"/>
    <w:semiHidden/>
    <w:qFormat/>
    <w:rsid w:val="00D3007E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D3007E"/>
    <w:rPr>
      <w:sz w:val="18"/>
      <w:szCs w:val="18"/>
    </w:rPr>
  </w:style>
  <w:style w:type="character" w:customStyle="1" w:styleId="10">
    <w:name w:val="标题 1 字符"/>
    <w:basedOn w:val="a0"/>
    <w:uiPriority w:val="9"/>
    <w:rsid w:val="00D3007E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D3007E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D3007E"/>
    <w:rPr>
      <w:rFonts w:ascii="宋体" w:eastAsia="宋体" w:hAnsi="宋体" w:cs="宋体"/>
      <w:color w:val="000000"/>
      <w:kern w:val="0"/>
      <w:szCs w:val="21"/>
    </w:rPr>
  </w:style>
  <w:style w:type="character" w:customStyle="1" w:styleId="4Char">
    <w:name w:val="标题 4 Char"/>
    <w:basedOn w:val="a0"/>
    <w:link w:val="4"/>
    <w:uiPriority w:val="9"/>
    <w:semiHidden/>
    <w:rsid w:val="00D3007E"/>
    <w:rPr>
      <w:rFonts w:ascii="宋体" w:eastAsia="宋体" w:hAnsi="宋体" w:cs="宋体"/>
      <w:color w:val="000000"/>
      <w:kern w:val="0"/>
      <w:szCs w:val="21"/>
    </w:rPr>
  </w:style>
  <w:style w:type="character" w:customStyle="1" w:styleId="5Char">
    <w:name w:val="标题 5 Char"/>
    <w:basedOn w:val="a0"/>
    <w:link w:val="5"/>
    <w:uiPriority w:val="9"/>
    <w:semiHidden/>
    <w:qFormat/>
    <w:rsid w:val="00D3007E"/>
    <w:rPr>
      <w:rFonts w:ascii="宋体" w:eastAsia="宋体" w:hAnsi="宋体" w:cs="宋体"/>
      <w:color w:val="000000"/>
      <w:kern w:val="0"/>
      <w:szCs w:val="21"/>
    </w:rPr>
  </w:style>
  <w:style w:type="character" w:customStyle="1" w:styleId="6Char">
    <w:name w:val="标题 6 Char"/>
    <w:basedOn w:val="a0"/>
    <w:link w:val="6"/>
    <w:uiPriority w:val="9"/>
    <w:semiHidden/>
    <w:qFormat/>
    <w:rsid w:val="00D3007E"/>
    <w:rPr>
      <w:rFonts w:ascii="宋体" w:eastAsia="宋体" w:hAnsi="宋体" w:cs="宋体"/>
      <w:color w:val="000000"/>
      <w:kern w:val="0"/>
      <w:szCs w:val="21"/>
    </w:rPr>
  </w:style>
  <w:style w:type="character" w:customStyle="1" w:styleId="1Char">
    <w:name w:val="标题 1 Char"/>
    <w:link w:val="1"/>
    <w:uiPriority w:val="9"/>
    <w:qFormat/>
    <w:rsid w:val="00D3007E"/>
    <w:rPr>
      <w:rFonts w:ascii="宋体" w:eastAsia="宋体" w:hAnsi="宋体" w:cs="宋体"/>
      <w:b/>
      <w:bCs/>
      <w:color w:val="000000"/>
      <w:kern w:val="3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4</DocSecurity>
  <Lines>15</Lines>
  <Paragraphs>4</Paragraphs>
  <ScaleCrop>false</ScaleCrop>
  <Company>CNSTOCK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2024-08-19T16:02:00Z</dcterms:created>
  <dcterms:modified xsi:type="dcterms:W3CDTF">2024-08-19T16:02:00Z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6D5B9BFF12474B2DB42BF6CB1579C752_13</vt:lpwstr>
  </property>
</Properties>
</file>