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EC7" w:rsidRDefault="00310EC7" w:rsidP="00310EC7">
      <w:pPr>
        <w:pStyle w:val="a8"/>
        <w:rPr>
          <w:b/>
          <w:sz w:val="48"/>
          <w:szCs w:val="48"/>
        </w:rPr>
      </w:pPr>
      <w:bookmarkStart w:id="0" w:name="_GoBack"/>
      <w:bookmarkStart w:id="1" w:name="_Toc457987864"/>
      <w:bookmarkEnd w:id="0"/>
      <w:r w:rsidRPr="00570428">
        <w:rPr>
          <w:b/>
          <w:sz w:val="48"/>
          <w:szCs w:val="48"/>
        </w:rPr>
        <w:t>同泰恒利纯债债券型证券投资基金分红公告</w:t>
      </w:r>
    </w:p>
    <w:p w:rsidR="00AF4FB3" w:rsidRPr="00FE5DC5" w:rsidRDefault="00AF4FB3" w:rsidP="00AF4FB3">
      <w:pPr>
        <w:spacing w:line="720" w:lineRule="auto"/>
        <w:jc w:val="center"/>
        <w:rPr>
          <w:rFonts w:hAnsi="宋体"/>
          <w:b/>
          <w:sz w:val="28"/>
          <w:szCs w:val="28"/>
        </w:rPr>
      </w:pPr>
      <w:bookmarkStart w:id="2" w:name="m_1"/>
      <w:r w:rsidRPr="00FE5DC5">
        <w:rPr>
          <w:rFonts w:hAnsi="宋体"/>
          <w:b/>
          <w:sz w:val="28"/>
          <w:szCs w:val="28"/>
        </w:rPr>
        <w:t>公告送出日期：</w:t>
      </w:r>
      <w:r>
        <w:rPr>
          <w:rFonts w:hAnsi="宋体"/>
          <w:b/>
          <w:sz w:val="28"/>
          <w:szCs w:val="28"/>
        </w:rPr>
        <w:t>2024年8月20日</w:t>
      </w:r>
      <w:bookmarkEnd w:id="2"/>
    </w:p>
    <w:p w:rsidR="00DA2749" w:rsidRDefault="00341BC3" w:rsidP="00310EC7">
      <w:pPr>
        <w:pStyle w:val="1"/>
        <w:spacing w:before="156" w:after="156"/>
      </w:pPr>
      <w:r w:rsidRPr="00341BC3">
        <w:rPr>
          <w:rFonts w:hint="eastAsia"/>
        </w:rPr>
        <w:t>公告基本信息</w:t>
      </w:r>
      <w:bookmarkEnd w:id="1"/>
    </w:p>
    <w:tbl>
      <w:tblPr>
        <w:tblStyle w:val="ac"/>
        <w:tblW w:w="9072" w:type="dxa"/>
        <w:jc w:val="center"/>
        <w:tblLayout w:type="fixed"/>
        <w:tblLook w:val="04A0"/>
      </w:tblPr>
      <w:tblGrid>
        <w:gridCol w:w="1419"/>
        <w:gridCol w:w="2619"/>
        <w:gridCol w:w="1676"/>
        <w:gridCol w:w="1"/>
        <w:gridCol w:w="1675"/>
        <w:gridCol w:w="1"/>
        <w:gridCol w:w="1"/>
        <w:gridCol w:w="1680"/>
      </w:tblGrid>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基金名称</w:t>
            </w:r>
          </w:p>
        </w:tc>
        <w:tc>
          <w:tcPr>
            <w:tcW w:w="5034" w:type="dxa"/>
            <w:gridSpan w:val="6"/>
            <w:tcMar>
              <w:left w:w="85" w:type="dxa"/>
              <w:right w:w="85" w:type="dxa"/>
            </w:tcMar>
            <w:vAlign w:val="center"/>
          </w:tcPr>
          <w:p w:rsidR="00BE74A8" w:rsidRPr="00A5411A" w:rsidRDefault="00BE74A8" w:rsidP="00BE74A8">
            <w:pPr>
              <w:rPr>
                <w:szCs w:val="22"/>
              </w:rPr>
            </w:pPr>
            <w:r w:rsidRPr="00A5411A">
              <w:rPr>
                <w:szCs w:val="22"/>
              </w:rPr>
              <w:t>同泰恒利纯债债券型证券投资基金</w:t>
            </w:r>
          </w:p>
        </w:tc>
      </w:tr>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基金简称</w:t>
            </w:r>
          </w:p>
        </w:tc>
        <w:tc>
          <w:tcPr>
            <w:tcW w:w="5034" w:type="dxa"/>
            <w:gridSpan w:val="6"/>
            <w:tcMar>
              <w:left w:w="85" w:type="dxa"/>
              <w:right w:w="85" w:type="dxa"/>
            </w:tcMar>
            <w:vAlign w:val="center"/>
          </w:tcPr>
          <w:p w:rsidR="00BE74A8" w:rsidRPr="00A5411A" w:rsidRDefault="00BE74A8" w:rsidP="00BE74A8">
            <w:pPr>
              <w:rPr>
                <w:szCs w:val="22"/>
              </w:rPr>
            </w:pPr>
            <w:r w:rsidRPr="00A5411A">
              <w:rPr>
                <w:szCs w:val="22"/>
              </w:rPr>
              <w:t>同泰恒利纯债</w:t>
            </w:r>
          </w:p>
        </w:tc>
      </w:tr>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t>基金主代码</w:t>
            </w:r>
          </w:p>
        </w:tc>
        <w:tc>
          <w:tcPr>
            <w:tcW w:w="5034" w:type="dxa"/>
            <w:gridSpan w:val="6"/>
            <w:tcMar>
              <w:left w:w="85" w:type="dxa"/>
              <w:right w:w="85" w:type="dxa"/>
            </w:tcMar>
            <w:vAlign w:val="center"/>
          </w:tcPr>
          <w:p w:rsidR="00BE74A8" w:rsidRPr="00A5411A" w:rsidRDefault="00BE74A8" w:rsidP="00BE74A8">
            <w:pPr>
              <w:rPr>
                <w:szCs w:val="22"/>
              </w:rPr>
            </w:pPr>
            <w:r w:rsidRPr="00A5411A">
              <w:rPr>
                <w:szCs w:val="22"/>
              </w:rPr>
              <w:t>008728</w:t>
            </w:r>
          </w:p>
        </w:tc>
      </w:tr>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基金合同生效日</w:t>
            </w:r>
          </w:p>
        </w:tc>
        <w:tc>
          <w:tcPr>
            <w:tcW w:w="5034" w:type="dxa"/>
            <w:gridSpan w:val="6"/>
            <w:tcMar>
              <w:left w:w="85" w:type="dxa"/>
              <w:right w:w="85" w:type="dxa"/>
            </w:tcMar>
            <w:vAlign w:val="center"/>
          </w:tcPr>
          <w:p w:rsidR="00BE74A8" w:rsidRPr="00A5411A" w:rsidRDefault="00BE74A8" w:rsidP="00BE74A8">
            <w:pPr>
              <w:rPr>
                <w:szCs w:val="22"/>
              </w:rPr>
            </w:pPr>
            <w:r>
              <w:rPr>
                <w:szCs w:val="22"/>
              </w:rPr>
              <w:t>2020年2月18日</w:t>
            </w:r>
          </w:p>
        </w:tc>
      </w:tr>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基金管理人名称</w:t>
            </w:r>
          </w:p>
        </w:tc>
        <w:tc>
          <w:tcPr>
            <w:tcW w:w="5034" w:type="dxa"/>
            <w:gridSpan w:val="6"/>
            <w:tcMar>
              <w:left w:w="85" w:type="dxa"/>
              <w:right w:w="85" w:type="dxa"/>
            </w:tcMar>
            <w:vAlign w:val="center"/>
          </w:tcPr>
          <w:p w:rsidR="00BE74A8" w:rsidRPr="00A5411A" w:rsidRDefault="00BE74A8" w:rsidP="00BE74A8">
            <w:pPr>
              <w:rPr>
                <w:szCs w:val="22"/>
              </w:rPr>
            </w:pPr>
            <w:r w:rsidRPr="00A5411A">
              <w:rPr>
                <w:szCs w:val="22"/>
              </w:rPr>
              <w:t>同泰基金管理有限公司</w:t>
            </w:r>
          </w:p>
        </w:tc>
      </w:tr>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基金托管人名称</w:t>
            </w:r>
          </w:p>
        </w:tc>
        <w:tc>
          <w:tcPr>
            <w:tcW w:w="5034" w:type="dxa"/>
            <w:gridSpan w:val="6"/>
            <w:tcMar>
              <w:left w:w="85" w:type="dxa"/>
              <w:right w:w="85" w:type="dxa"/>
            </w:tcMar>
            <w:vAlign w:val="center"/>
          </w:tcPr>
          <w:p w:rsidR="00BE74A8" w:rsidRPr="00A5411A" w:rsidRDefault="00BE74A8" w:rsidP="00BE74A8">
            <w:pPr>
              <w:rPr>
                <w:szCs w:val="22"/>
              </w:rPr>
            </w:pPr>
            <w:r w:rsidRPr="00A5411A">
              <w:rPr>
                <w:szCs w:val="22"/>
              </w:rPr>
              <w:t>浙商银行股份有限公司</w:t>
            </w:r>
          </w:p>
        </w:tc>
      </w:tr>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公告依据</w:t>
            </w:r>
          </w:p>
        </w:tc>
        <w:tc>
          <w:tcPr>
            <w:tcW w:w="5034" w:type="dxa"/>
            <w:gridSpan w:val="6"/>
            <w:tcMar>
              <w:left w:w="85" w:type="dxa"/>
              <w:right w:w="85" w:type="dxa"/>
            </w:tcMar>
            <w:vAlign w:val="center"/>
          </w:tcPr>
          <w:p w:rsidR="00BE74A8" w:rsidRPr="00A5411A" w:rsidRDefault="00BE74A8" w:rsidP="00BE74A8">
            <w:pPr>
              <w:rPr>
                <w:szCs w:val="22"/>
              </w:rPr>
            </w:pPr>
            <w:r w:rsidRPr="00A5411A">
              <w:rPr>
                <w:szCs w:val="22"/>
              </w:rPr>
              <w:t>《中华人民共和国证券投资基金法》、《公开募集证券投资基金运作管理办法》、《公开募集证券投资基金信息披露管理办法》等法律法规以及《同泰恒利纯债债券型证券投资基金基金合同》、《同泰恒利纯债债券型证券投资基金招募说明书》</w:t>
            </w:r>
          </w:p>
        </w:tc>
      </w:tr>
      <w:tr w:rsidR="00BE74A8" w:rsidTr="007B5D69">
        <w:trPr>
          <w:jc w:val="center"/>
        </w:trPr>
        <w:tc>
          <w:tcPr>
            <w:tcW w:w="4038" w:type="dxa"/>
            <w:gridSpan w:val="2"/>
            <w:tcMar>
              <w:left w:w="85" w:type="dxa"/>
              <w:right w:w="85" w:type="dxa"/>
            </w:tcMar>
            <w:vAlign w:val="center"/>
          </w:tcPr>
          <w:p w:rsidR="00BE74A8" w:rsidRDefault="00BE74A8" w:rsidP="00BE74A8">
            <w:r w:rsidRPr="00A5411A">
              <w:rPr>
                <w:szCs w:val="22"/>
              </w:rPr>
              <w:t>收益分配基准日</w:t>
            </w:r>
          </w:p>
        </w:tc>
        <w:tc>
          <w:tcPr>
            <w:tcW w:w="5034" w:type="dxa"/>
            <w:gridSpan w:val="6"/>
            <w:tcMar>
              <w:left w:w="85" w:type="dxa"/>
              <w:right w:w="85" w:type="dxa"/>
            </w:tcMar>
            <w:vAlign w:val="center"/>
          </w:tcPr>
          <w:p w:rsidR="00BE74A8" w:rsidRPr="00A5411A" w:rsidRDefault="00BE74A8" w:rsidP="00BE74A8">
            <w:pPr>
              <w:rPr>
                <w:szCs w:val="22"/>
              </w:rPr>
            </w:pPr>
            <w:r>
              <w:rPr>
                <w:szCs w:val="22"/>
              </w:rPr>
              <w:t>2024年8月12日</w:t>
            </w:r>
          </w:p>
        </w:tc>
      </w:tr>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有关年度分红次数的说明</w:t>
            </w:r>
          </w:p>
        </w:tc>
        <w:tc>
          <w:tcPr>
            <w:tcW w:w="5034" w:type="dxa"/>
            <w:gridSpan w:val="6"/>
            <w:tcMar>
              <w:left w:w="85" w:type="dxa"/>
              <w:right w:w="85" w:type="dxa"/>
            </w:tcMar>
            <w:vAlign w:val="center"/>
          </w:tcPr>
          <w:p w:rsidR="00BE74A8" w:rsidRPr="00A5411A" w:rsidRDefault="00BE74A8" w:rsidP="00BE74A8">
            <w:pPr>
              <w:rPr>
                <w:szCs w:val="22"/>
              </w:rPr>
            </w:pPr>
            <w:r w:rsidRPr="00A5411A">
              <w:rPr>
                <w:szCs w:val="22"/>
              </w:rPr>
              <w:t>本次分红为 2024 年度第八次分红</w:t>
            </w:r>
          </w:p>
        </w:tc>
      </w:tr>
      <w:tr w:rsidR="00BE74A8" w:rsidTr="00664AFE">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下属分</w:t>
            </w:r>
            <w:r w:rsidRPr="000F608E">
              <w:rPr>
                <w:rFonts w:hint="eastAsia"/>
                <w:szCs w:val="22"/>
              </w:rPr>
              <w:t>类</w:t>
            </w:r>
            <w:r w:rsidRPr="00A5411A">
              <w:rPr>
                <w:szCs w:val="22"/>
              </w:rPr>
              <w:t>基金的基金简称</w:t>
            </w:r>
          </w:p>
        </w:tc>
        <w:tc>
          <w:tcPr>
            <w:tcW w:w="1676" w:type="dxa"/>
            <w:tcMar>
              <w:left w:w="85" w:type="dxa"/>
              <w:right w:w="85" w:type="dxa"/>
            </w:tcMar>
            <w:vAlign w:val="center"/>
          </w:tcPr>
          <w:p w:rsidR="00BE74A8" w:rsidRPr="00FE2C9F" w:rsidRDefault="00BE74A8" w:rsidP="00BE74A8">
            <w:r w:rsidRPr="00FE2C9F">
              <w:rPr>
                <w:rFonts w:hint="eastAsia"/>
              </w:rPr>
              <w:t>同泰恒利纯债A</w:t>
            </w:r>
          </w:p>
        </w:tc>
        <w:tc>
          <w:tcPr>
            <w:tcW w:w="1676" w:type="dxa"/>
            <w:hMerge w:val="restart"/>
            <w:tcMar>
              <w:left w:w="85" w:type="dxa"/>
              <w:right w:w="85" w:type="dxa"/>
            </w:tcMar>
            <w:vAlign w:val="center"/>
          </w:tcPr>
          <w:p w:rsidR="00BE74A8" w:rsidRPr="00FE2C9F" w:rsidRDefault="00BE74A8" w:rsidP="00BE74A8">
            <w:r w:rsidRPr="00FE2C9F">
              <w:rPr>
                <w:rFonts w:hint="eastAsia"/>
              </w:rPr>
              <w:t>同泰恒利纯债C</w:t>
            </w:r>
          </w:p>
        </w:tc>
        <w:tc>
          <w:tcPr>
            <w:tcW w:w="0" w:type="dxa"/>
            <w:hMerge/>
            <w:tcMar>
              <w:left w:w="85" w:type="dxa"/>
              <w:right w:w="85" w:type="dxa"/>
            </w:tcMar>
            <w:vAlign w:val="center"/>
          </w:tcPr>
          <w:p w:rsidR="00BE74A8" w:rsidRPr="00FE2C9F" w:rsidRDefault="00BE74A8" w:rsidP="00BE74A8">
            <w:r w:rsidRPr="00FE2C9F">
              <w:rPr>
                <w:rFonts w:hint="eastAsia"/>
              </w:rPr>
              <w:t>同泰恒利纯债C</w:t>
            </w:r>
          </w:p>
        </w:tc>
        <w:tc>
          <w:tcPr>
            <w:tcW w:w="1676" w:type="dxa"/>
            <w:hMerge w:val="restart"/>
            <w:tcMar>
              <w:left w:w="85" w:type="dxa"/>
              <w:right w:w="85" w:type="dxa"/>
            </w:tcMar>
            <w:vAlign w:val="center"/>
          </w:tcPr>
          <w:p w:rsidR="00BE74A8" w:rsidRPr="00376F72" w:rsidRDefault="00BE74A8" w:rsidP="00BE74A8">
            <w:r w:rsidRPr="00376F72">
              <w:rPr>
                <w:rFonts w:hint="eastAsia"/>
              </w:rPr>
              <w:t>同泰恒利纯债D</w:t>
            </w:r>
          </w:p>
        </w:tc>
        <w:tc>
          <w:tcPr>
            <w:tcW w:w="0" w:type="dxa"/>
            <w:hMerge/>
            <w:tcMar>
              <w:left w:w="85" w:type="dxa"/>
              <w:right w:w="85" w:type="dxa"/>
            </w:tcMar>
            <w:vAlign w:val="center"/>
          </w:tcPr>
          <w:p w:rsidR="00BE74A8" w:rsidRPr="00376F72" w:rsidRDefault="00BE74A8" w:rsidP="00BE74A8">
            <w:r w:rsidRPr="00376F72">
              <w:rPr>
                <w:rFonts w:hint="eastAsia"/>
              </w:rPr>
              <w:t>同泰恒利纯债D</w:t>
            </w:r>
          </w:p>
        </w:tc>
        <w:tc>
          <w:tcPr>
            <w:tcW w:w="0" w:type="dxa"/>
            <w:hMerge/>
            <w:tcMar>
              <w:left w:w="85" w:type="dxa"/>
              <w:right w:w="85" w:type="dxa"/>
            </w:tcMar>
            <w:vAlign w:val="center"/>
          </w:tcPr>
          <w:p w:rsidR="00BE74A8" w:rsidRPr="00376F72" w:rsidRDefault="00BE74A8" w:rsidP="00BE74A8">
            <w:r w:rsidRPr="00376F72">
              <w:rPr>
                <w:rFonts w:hint="eastAsia"/>
              </w:rPr>
              <w:t>-</w:t>
            </w:r>
          </w:p>
        </w:tc>
      </w:tr>
      <w:tr w:rsidR="00BE74A8" w:rsidTr="00664AFE">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下属分</w:t>
            </w:r>
            <w:r w:rsidRPr="000F608E">
              <w:rPr>
                <w:rFonts w:hint="eastAsia"/>
                <w:szCs w:val="22"/>
              </w:rPr>
              <w:t>类</w:t>
            </w:r>
            <w:r w:rsidRPr="00A5411A">
              <w:rPr>
                <w:szCs w:val="22"/>
              </w:rPr>
              <w:t>基金的交易代码</w:t>
            </w:r>
          </w:p>
        </w:tc>
        <w:tc>
          <w:tcPr>
            <w:tcW w:w="1676" w:type="dxa"/>
            <w:tcMar>
              <w:left w:w="85" w:type="dxa"/>
              <w:right w:w="85" w:type="dxa"/>
            </w:tcMar>
            <w:vAlign w:val="center"/>
          </w:tcPr>
          <w:p w:rsidR="00BE74A8" w:rsidRPr="00FE2C9F" w:rsidRDefault="00BE74A8" w:rsidP="00BE74A8">
            <w:r w:rsidRPr="00FE2C9F">
              <w:rPr>
                <w:rFonts w:hint="eastAsia"/>
              </w:rPr>
              <w:t>008728</w:t>
            </w:r>
          </w:p>
        </w:tc>
        <w:tc>
          <w:tcPr>
            <w:tcW w:w="1676" w:type="dxa"/>
            <w:hMerge w:val="restart"/>
            <w:tcMar>
              <w:left w:w="85" w:type="dxa"/>
              <w:right w:w="85" w:type="dxa"/>
            </w:tcMar>
            <w:vAlign w:val="center"/>
          </w:tcPr>
          <w:p w:rsidR="00BE74A8" w:rsidRPr="00FE2C9F" w:rsidRDefault="00BE74A8" w:rsidP="00BE74A8">
            <w:r w:rsidRPr="00FE2C9F">
              <w:rPr>
                <w:rFonts w:hint="eastAsia"/>
              </w:rPr>
              <w:t>008729</w:t>
            </w:r>
          </w:p>
        </w:tc>
        <w:tc>
          <w:tcPr>
            <w:tcW w:w="0" w:type="dxa"/>
            <w:hMerge/>
            <w:tcMar>
              <w:left w:w="85" w:type="dxa"/>
              <w:right w:w="85" w:type="dxa"/>
            </w:tcMar>
            <w:vAlign w:val="center"/>
          </w:tcPr>
          <w:p w:rsidR="00BE74A8" w:rsidRPr="00FE2C9F" w:rsidRDefault="00BE74A8" w:rsidP="00BE74A8">
            <w:r w:rsidRPr="00FE2C9F">
              <w:rPr>
                <w:rFonts w:hint="eastAsia"/>
              </w:rPr>
              <w:t>008729</w:t>
            </w:r>
          </w:p>
        </w:tc>
        <w:tc>
          <w:tcPr>
            <w:tcW w:w="1676" w:type="dxa"/>
            <w:hMerge w:val="restart"/>
            <w:tcMar>
              <w:left w:w="85" w:type="dxa"/>
              <w:right w:w="85" w:type="dxa"/>
            </w:tcMar>
            <w:vAlign w:val="center"/>
          </w:tcPr>
          <w:p w:rsidR="00BE74A8" w:rsidRPr="00376F72" w:rsidRDefault="00BE74A8" w:rsidP="00BE74A8">
            <w:r w:rsidRPr="00376F72">
              <w:rPr>
                <w:rFonts w:hint="eastAsia"/>
              </w:rPr>
              <w:t>020710</w:t>
            </w:r>
          </w:p>
        </w:tc>
        <w:tc>
          <w:tcPr>
            <w:tcW w:w="0" w:type="dxa"/>
            <w:hMerge/>
            <w:tcMar>
              <w:left w:w="85" w:type="dxa"/>
              <w:right w:w="85" w:type="dxa"/>
            </w:tcMar>
            <w:vAlign w:val="center"/>
          </w:tcPr>
          <w:p w:rsidR="00BE74A8" w:rsidRPr="00376F72" w:rsidRDefault="00BE74A8" w:rsidP="00BE74A8">
            <w:r w:rsidRPr="00376F72">
              <w:rPr>
                <w:rFonts w:hint="eastAsia"/>
              </w:rPr>
              <w:t>020710</w:t>
            </w:r>
          </w:p>
        </w:tc>
        <w:tc>
          <w:tcPr>
            <w:tcW w:w="0" w:type="dxa"/>
            <w:hMerge/>
            <w:tcMar>
              <w:left w:w="85" w:type="dxa"/>
              <w:right w:w="85" w:type="dxa"/>
            </w:tcMar>
            <w:vAlign w:val="center"/>
          </w:tcPr>
          <w:p w:rsidR="00BE74A8" w:rsidRPr="00376F72" w:rsidRDefault="00BE74A8" w:rsidP="00BE74A8">
            <w:r w:rsidRPr="00376F72">
              <w:rPr>
                <w:rFonts w:hint="eastAsia"/>
              </w:rPr>
              <w:t>-</w:t>
            </w:r>
          </w:p>
        </w:tc>
      </w:tr>
      <w:tr w:rsidR="00BE74A8" w:rsidTr="00664AFE">
        <w:trPr>
          <w:jc w:val="center"/>
        </w:trPr>
        <w:tc>
          <w:tcPr>
            <w:tcW w:w="1419" w:type="dxa"/>
            <w:vMerge w:val="restart"/>
            <w:tcMar>
              <w:left w:w="85" w:type="dxa"/>
              <w:right w:w="85" w:type="dxa"/>
            </w:tcMar>
            <w:vAlign w:val="center"/>
          </w:tcPr>
          <w:p w:rsidR="00BE74A8" w:rsidRDefault="00BE74A8" w:rsidP="00BE74A8">
            <w:pPr>
              <w:jc w:val="center"/>
              <w:rPr>
                <w:szCs w:val="22"/>
              </w:rPr>
            </w:pPr>
            <w:r w:rsidRPr="00A5411A">
              <w:rPr>
                <w:szCs w:val="22"/>
              </w:rPr>
              <w:t>截止基准日</w:t>
            </w:r>
          </w:p>
          <w:p w:rsidR="00BE74A8" w:rsidRPr="00A5411A" w:rsidRDefault="00BE74A8" w:rsidP="007B5D69">
            <w:pPr>
              <w:jc w:val="both"/>
              <w:rPr>
                <w:szCs w:val="22"/>
              </w:rPr>
            </w:pPr>
            <w:r w:rsidRPr="00A5411A">
              <w:rPr>
                <w:szCs w:val="22"/>
              </w:rPr>
              <w:t>下属分</w:t>
            </w:r>
            <w:r w:rsidRPr="000F608E">
              <w:rPr>
                <w:rFonts w:hint="eastAsia"/>
                <w:szCs w:val="22"/>
              </w:rPr>
              <w:t>类</w:t>
            </w:r>
            <w:r w:rsidRPr="00A5411A">
              <w:rPr>
                <w:szCs w:val="22"/>
              </w:rPr>
              <w:t>基金的相关指标</w:t>
            </w:r>
          </w:p>
        </w:tc>
        <w:tc>
          <w:tcPr>
            <w:tcW w:w="2619" w:type="dxa"/>
            <w:tcMar>
              <w:left w:w="85" w:type="dxa"/>
              <w:right w:w="85" w:type="dxa"/>
            </w:tcMar>
            <w:vAlign w:val="center"/>
          </w:tcPr>
          <w:p w:rsidR="00BE74A8" w:rsidRPr="00A5411A" w:rsidRDefault="00BE74A8" w:rsidP="007B5D69">
            <w:pPr>
              <w:jc w:val="both"/>
              <w:rPr>
                <w:szCs w:val="22"/>
              </w:rPr>
            </w:pPr>
            <w:r w:rsidRPr="00A5411A">
              <w:rPr>
                <w:szCs w:val="22"/>
              </w:rPr>
              <w:t>基准日下属分</w:t>
            </w:r>
            <w:r w:rsidRPr="000F608E">
              <w:rPr>
                <w:rFonts w:hint="eastAsia"/>
                <w:szCs w:val="22"/>
              </w:rPr>
              <w:t>类</w:t>
            </w:r>
            <w:r w:rsidRPr="00A5411A">
              <w:rPr>
                <w:szCs w:val="22"/>
              </w:rPr>
              <w:t>基金份额净值</w:t>
            </w:r>
            <w:r>
              <w:rPr>
                <w:rFonts w:hAnsi="宋体" w:hint="eastAsia"/>
              </w:rPr>
              <w:t>（单位：人民币元）</w:t>
            </w:r>
          </w:p>
        </w:tc>
        <w:tc>
          <w:tcPr>
            <w:tcW w:w="1676" w:type="dxa"/>
            <w:tcMar>
              <w:left w:w="85" w:type="dxa"/>
              <w:right w:w="85" w:type="dxa"/>
            </w:tcMar>
            <w:vAlign w:val="center"/>
          </w:tcPr>
          <w:p w:rsidR="00BE74A8" w:rsidRPr="001D695F" w:rsidRDefault="00BE74A8" w:rsidP="00BE74A8">
            <w:r w:rsidRPr="001D695F">
              <w:rPr>
                <w:rFonts w:hint="eastAsia"/>
              </w:rPr>
              <w:t>1.5719</w:t>
            </w:r>
          </w:p>
        </w:tc>
        <w:tc>
          <w:tcPr>
            <w:tcW w:w="1676" w:type="dxa"/>
            <w:hMerge w:val="restart"/>
            <w:tcMar>
              <w:left w:w="85" w:type="dxa"/>
              <w:right w:w="85" w:type="dxa"/>
            </w:tcMar>
            <w:vAlign w:val="center"/>
          </w:tcPr>
          <w:p w:rsidR="00BE74A8" w:rsidRPr="001D695F" w:rsidRDefault="00BE74A8" w:rsidP="00BE74A8">
            <w:r w:rsidRPr="001D695F">
              <w:rPr>
                <w:rFonts w:hint="eastAsia"/>
              </w:rPr>
              <w:t>1.5827</w:t>
            </w:r>
          </w:p>
        </w:tc>
        <w:tc>
          <w:tcPr>
            <w:tcW w:w="0" w:type="dxa"/>
            <w:hMerge/>
            <w:tcMar>
              <w:left w:w="85" w:type="dxa"/>
              <w:right w:w="85" w:type="dxa"/>
            </w:tcMar>
            <w:vAlign w:val="center"/>
          </w:tcPr>
          <w:p w:rsidR="00BE74A8" w:rsidRPr="001D695F" w:rsidRDefault="00BE74A8" w:rsidP="00BE74A8">
            <w:r w:rsidRPr="001D695F">
              <w:rPr>
                <w:rFonts w:hint="eastAsia"/>
              </w:rPr>
              <w:t>1.5827</w:t>
            </w:r>
          </w:p>
        </w:tc>
        <w:tc>
          <w:tcPr>
            <w:tcW w:w="1676" w:type="dxa"/>
            <w:hMerge w:val="restart"/>
            <w:tcMar>
              <w:left w:w="85" w:type="dxa"/>
              <w:right w:w="85" w:type="dxa"/>
            </w:tcMar>
            <w:vAlign w:val="center"/>
          </w:tcPr>
          <w:p w:rsidR="00BE74A8" w:rsidRPr="007F70C1" w:rsidRDefault="00BE74A8" w:rsidP="00BE74A8">
            <w:r w:rsidRPr="007F70C1">
              <w:rPr>
                <w:rFonts w:hint="eastAsia"/>
              </w:rPr>
              <w:t>1.6368</w:t>
            </w:r>
          </w:p>
        </w:tc>
        <w:tc>
          <w:tcPr>
            <w:tcW w:w="0" w:type="dxa"/>
            <w:hMerge/>
            <w:tcMar>
              <w:left w:w="85" w:type="dxa"/>
              <w:right w:w="85" w:type="dxa"/>
            </w:tcMar>
            <w:vAlign w:val="center"/>
          </w:tcPr>
          <w:p w:rsidR="00BE74A8" w:rsidRPr="007F70C1" w:rsidRDefault="00BE74A8" w:rsidP="00BE74A8">
            <w:r w:rsidRPr="007F70C1">
              <w:rPr>
                <w:rFonts w:hint="eastAsia"/>
              </w:rPr>
              <w:t>1.6368</w:t>
            </w:r>
          </w:p>
        </w:tc>
        <w:tc>
          <w:tcPr>
            <w:tcW w:w="0" w:type="dxa"/>
            <w:hMerge/>
            <w:tcMar>
              <w:left w:w="85" w:type="dxa"/>
              <w:right w:w="85" w:type="dxa"/>
            </w:tcMar>
            <w:vAlign w:val="center"/>
          </w:tcPr>
          <w:p w:rsidR="00BE74A8" w:rsidRPr="007F70C1" w:rsidRDefault="00BE74A8" w:rsidP="00BE74A8">
            <w:r w:rsidRPr="007F70C1">
              <w:rPr>
                <w:rFonts w:hint="eastAsia"/>
              </w:rPr>
              <w:t>-</w:t>
            </w:r>
          </w:p>
        </w:tc>
      </w:tr>
      <w:tr w:rsidR="00BE74A8" w:rsidTr="00664AFE">
        <w:trPr>
          <w:jc w:val="center"/>
        </w:trPr>
        <w:tc>
          <w:tcPr>
            <w:tcW w:w="1419" w:type="dxa"/>
            <w:vMerge/>
            <w:tcMar>
              <w:left w:w="85" w:type="dxa"/>
              <w:right w:w="85" w:type="dxa"/>
            </w:tcMar>
            <w:vAlign w:val="center"/>
          </w:tcPr>
          <w:p w:rsidR="00BE74A8" w:rsidRPr="00A5411A" w:rsidRDefault="00BE74A8" w:rsidP="00BE74A8">
            <w:pPr>
              <w:rPr>
                <w:szCs w:val="22"/>
              </w:rPr>
            </w:pPr>
          </w:p>
        </w:tc>
        <w:tc>
          <w:tcPr>
            <w:tcW w:w="2619" w:type="dxa"/>
            <w:tcMar>
              <w:left w:w="85" w:type="dxa"/>
              <w:right w:w="85" w:type="dxa"/>
            </w:tcMar>
            <w:vAlign w:val="center"/>
          </w:tcPr>
          <w:p w:rsidR="00BE74A8" w:rsidRPr="00A5411A" w:rsidRDefault="00BE74A8" w:rsidP="007B5D69">
            <w:pPr>
              <w:jc w:val="both"/>
              <w:rPr>
                <w:szCs w:val="22"/>
              </w:rPr>
            </w:pPr>
            <w:r>
              <w:rPr>
                <w:szCs w:val="22"/>
              </w:rPr>
              <w:t>基准日下属分</w:t>
            </w:r>
            <w:r w:rsidRPr="000F608E">
              <w:rPr>
                <w:rFonts w:hint="eastAsia"/>
                <w:szCs w:val="22"/>
              </w:rPr>
              <w:t>类</w:t>
            </w:r>
            <w:r>
              <w:rPr>
                <w:szCs w:val="22"/>
              </w:rPr>
              <w:t>基金可供分配利润</w:t>
            </w:r>
            <w:r>
              <w:rPr>
                <w:rFonts w:hAnsi="宋体" w:hint="eastAsia"/>
              </w:rPr>
              <w:t>（单位：人民币元）</w:t>
            </w:r>
          </w:p>
        </w:tc>
        <w:tc>
          <w:tcPr>
            <w:tcW w:w="1676" w:type="dxa"/>
            <w:tcMar>
              <w:left w:w="85" w:type="dxa"/>
              <w:right w:w="85" w:type="dxa"/>
            </w:tcMar>
            <w:vAlign w:val="center"/>
          </w:tcPr>
          <w:p w:rsidR="00BE74A8" w:rsidRPr="001D695F" w:rsidRDefault="00BE74A8" w:rsidP="00BE74A8">
            <w:r>
              <w:rPr>
                <w:rFonts w:hint="eastAsia"/>
              </w:rPr>
              <w:t>952,773,937.59</w:t>
            </w:r>
          </w:p>
        </w:tc>
        <w:tc>
          <w:tcPr>
            <w:tcW w:w="1676" w:type="dxa"/>
            <w:hMerge w:val="restart"/>
            <w:tcMar>
              <w:left w:w="85" w:type="dxa"/>
              <w:right w:w="85" w:type="dxa"/>
            </w:tcMar>
            <w:vAlign w:val="center"/>
          </w:tcPr>
          <w:p w:rsidR="00BE74A8" w:rsidRDefault="00BE74A8" w:rsidP="00BE74A8">
            <w:r>
              <w:rPr>
                <w:rFonts w:hint="eastAsia"/>
              </w:rPr>
              <w:t>927,773,254.14</w:t>
            </w:r>
          </w:p>
        </w:tc>
        <w:tc>
          <w:tcPr>
            <w:tcW w:w="0" w:type="dxa"/>
            <w:hMerge/>
            <w:tcMar>
              <w:left w:w="85" w:type="dxa"/>
              <w:right w:w="85" w:type="dxa"/>
            </w:tcMar>
            <w:vAlign w:val="center"/>
          </w:tcPr>
          <w:p w:rsidR="00BE74A8" w:rsidRDefault="00BE74A8" w:rsidP="00BE74A8">
            <w:r>
              <w:rPr>
                <w:rFonts w:hint="eastAsia"/>
              </w:rPr>
              <w:t>927,773,254.14</w:t>
            </w:r>
          </w:p>
        </w:tc>
        <w:tc>
          <w:tcPr>
            <w:tcW w:w="1676" w:type="dxa"/>
            <w:hMerge w:val="restart"/>
            <w:tcMar>
              <w:left w:w="85" w:type="dxa"/>
              <w:right w:w="85" w:type="dxa"/>
            </w:tcMar>
            <w:vAlign w:val="center"/>
          </w:tcPr>
          <w:p w:rsidR="00BE74A8" w:rsidRPr="007F70C1" w:rsidRDefault="00BE74A8" w:rsidP="00BE74A8">
            <w:r>
              <w:rPr>
                <w:rFonts w:hint="eastAsia"/>
              </w:rPr>
              <w:t>323,735,854.43</w:t>
            </w:r>
          </w:p>
        </w:tc>
        <w:tc>
          <w:tcPr>
            <w:tcW w:w="0" w:type="dxa"/>
            <w:hMerge/>
            <w:tcMar>
              <w:left w:w="85" w:type="dxa"/>
              <w:right w:w="85" w:type="dxa"/>
            </w:tcMar>
            <w:vAlign w:val="center"/>
          </w:tcPr>
          <w:p w:rsidR="00BE74A8" w:rsidRPr="007F70C1" w:rsidRDefault="00BE74A8" w:rsidP="00BE74A8">
            <w:r>
              <w:rPr>
                <w:rFonts w:hint="eastAsia"/>
              </w:rPr>
              <w:t>323,735,854.43</w:t>
            </w:r>
          </w:p>
        </w:tc>
        <w:tc>
          <w:tcPr>
            <w:tcW w:w="0" w:type="dxa"/>
            <w:hMerge/>
            <w:tcMar>
              <w:left w:w="85" w:type="dxa"/>
              <w:right w:w="85" w:type="dxa"/>
            </w:tcMar>
            <w:vAlign w:val="center"/>
          </w:tcPr>
          <w:p w:rsidR="00BE74A8" w:rsidRDefault="00BE74A8" w:rsidP="00BE74A8">
            <w:r>
              <w:rPr>
                <w:rFonts w:hint="eastAsia"/>
              </w:rPr>
              <w:t>-</w:t>
            </w:r>
          </w:p>
        </w:tc>
      </w:tr>
      <w:tr w:rsidR="00BE74A8" w:rsidTr="00664AFE">
        <w:trPr>
          <w:jc w:val="center"/>
        </w:trPr>
        <w:tc>
          <w:tcPr>
            <w:tcW w:w="4038" w:type="dxa"/>
            <w:gridSpan w:val="2"/>
            <w:tcMar>
              <w:left w:w="85" w:type="dxa"/>
              <w:right w:w="85" w:type="dxa"/>
            </w:tcMar>
            <w:vAlign w:val="center"/>
          </w:tcPr>
          <w:p w:rsidR="00BE74A8" w:rsidRPr="00A5411A" w:rsidRDefault="00BE74A8" w:rsidP="007B5D69">
            <w:pPr>
              <w:jc w:val="both"/>
              <w:rPr>
                <w:szCs w:val="22"/>
              </w:rPr>
            </w:pPr>
            <w:r w:rsidRPr="00A5411A">
              <w:rPr>
                <w:szCs w:val="22"/>
              </w:rPr>
              <w:t>本次下属分</w:t>
            </w:r>
            <w:r w:rsidRPr="000F608E">
              <w:rPr>
                <w:rFonts w:hint="eastAsia"/>
                <w:szCs w:val="22"/>
              </w:rPr>
              <w:t>类</w:t>
            </w:r>
            <w:r w:rsidRPr="00A5411A">
              <w:rPr>
                <w:szCs w:val="22"/>
              </w:rPr>
              <w:t>基金分红方案（单位：元/10份基金份额）</w:t>
            </w:r>
          </w:p>
        </w:tc>
        <w:tc>
          <w:tcPr>
            <w:tcW w:w="1676" w:type="dxa"/>
            <w:tcMar>
              <w:left w:w="85" w:type="dxa"/>
              <w:right w:w="85" w:type="dxa"/>
            </w:tcMar>
            <w:vAlign w:val="center"/>
          </w:tcPr>
          <w:p w:rsidR="00BE74A8" w:rsidRPr="00172A90" w:rsidRDefault="00BE74A8" w:rsidP="00BE74A8">
            <w:r w:rsidRPr="00172A90">
              <w:rPr>
                <w:rFonts w:hint="eastAsia"/>
              </w:rPr>
              <w:t>0.7300</w:t>
            </w:r>
          </w:p>
        </w:tc>
        <w:tc>
          <w:tcPr>
            <w:tcW w:w="1676" w:type="dxa"/>
            <w:hMerge w:val="restart"/>
            <w:tcMar>
              <w:left w:w="85" w:type="dxa"/>
              <w:right w:w="85" w:type="dxa"/>
            </w:tcMar>
            <w:vAlign w:val="center"/>
          </w:tcPr>
          <w:p w:rsidR="00BE74A8" w:rsidRDefault="00BE74A8" w:rsidP="00BE74A8">
            <w:r w:rsidRPr="00172A90">
              <w:rPr>
                <w:rFonts w:hint="eastAsia"/>
              </w:rPr>
              <w:t>0.7300</w:t>
            </w:r>
          </w:p>
        </w:tc>
        <w:tc>
          <w:tcPr>
            <w:tcW w:w="0" w:type="dxa"/>
            <w:hMerge/>
            <w:tcMar>
              <w:left w:w="85" w:type="dxa"/>
              <w:right w:w="85" w:type="dxa"/>
            </w:tcMar>
            <w:vAlign w:val="center"/>
          </w:tcPr>
          <w:p w:rsidR="00BE74A8" w:rsidRDefault="00BE74A8" w:rsidP="00BE74A8">
            <w:r w:rsidRPr="00172A90">
              <w:rPr>
                <w:rFonts w:hint="eastAsia"/>
              </w:rPr>
              <w:t>0.7300</w:t>
            </w:r>
          </w:p>
        </w:tc>
        <w:tc>
          <w:tcPr>
            <w:tcW w:w="1676" w:type="dxa"/>
            <w:hMerge w:val="restart"/>
            <w:tcMar>
              <w:left w:w="85" w:type="dxa"/>
              <w:right w:w="85" w:type="dxa"/>
            </w:tcMar>
            <w:vAlign w:val="center"/>
          </w:tcPr>
          <w:p w:rsidR="00BE74A8" w:rsidRPr="004A0EB0" w:rsidRDefault="00BE74A8" w:rsidP="00BE74A8">
            <w:r w:rsidRPr="004A0EB0">
              <w:rPr>
                <w:rFonts w:hint="eastAsia"/>
              </w:rPr>
              <w:t>0.7600</w:t>
            </w:r>
          </w:p>
        </w:tc>
        <w:tc>
          <w:tcPr>
            <w:tcW w:w="0" w:type="dxa"/>
            <w:hMerge/>
            <w:tcMar>
              <w:left w:w="85" w:type="dxa"/>
              <w:right w:w="85" w:type="dxa"/>
            </w:tcMar>
            <w:vAlign w:val="center"/>
          </w:tcPr>
          <w:p w:rsidR="00BE74A8" w:rsidRPr="004A0EB0" w:rsidRDefault="00BE74A8" w:rsidP="00BE74A8">
            <w:r w:rsidRPr="004A0EB0">
              <w:rPr>
                <w:rFonts w:hint="eastAsia"/>
              </w:rPr>
              <w:t>0.7600</w:t>
            </w:r>
          </w:p>
        </w:tc>
        <w:tc>
          <w:tcPr>
            <w:tcW w:w="0" w:type="dxa"/>
            <w:hMerge/>
            <w:tcMar>
              <w:left w:w="85" w:type="dxa"/>
              <w:right w:w="85" w:type="dxa"/>
            </w:tcMar>
            <w:vAlign w:val="center"/>
          </w:tcPr>
          <w:p w:rsidR="00BE74A8" w:rsidRDefault="00BE74A8" w:rsidP="00BE74A8">
            <w:r w:rsidRPr="004A0EB0">
              <w:rPr>
                <w:rFonts w:hint="eastAsia"/>
              </w:rPr>
              <w:t>-</w:t>
            </w:r>
          </w:p>
        </w:tc>
      </w:tr>
    </w:tbl>
    <w:p w:rsidR="00341BC3" w:rsidRPr="00A5411A" w:rsidRDefault="00341BC3" w:rsidP="0094623B">
      <w:pPr>
        <w:ind w:firstLineChars="200" w:firstLine="420"/>
        <w:rPr>
          <w:szCs w:val="22"/>
        </w:rPr>
      </w:pPr>
    </w:p>
    <w:p w:rsidR="00341BC3" w:rsidRDefault="005765DC" w:rsidP="005765DC">
      <w:pPr>
        <w:pStyle w:val="1"/>
        <w:spacing w:before="156" w:after="156"/>
      </w:pPr>
      <w:bookmarkStart w:id="3" w:name="_Toc457987865"/>
      <w:r w:rsidRPr="005765DC">
        <w:rPr>
          <w:rFonts w:hint="eastAsia"/>
        </w:rPr>
        <w:t>与分红相关的其他信息</w:t>
      </w:r>
      <w:bookmarkEnd w:id="3"/>
    </w:p>
    <w:tbl>
      <w:tblPr>
        <w:tblStyle w:val="ac"/>
        <w:tblW w:w="9072" w:type="dxa"/>
        <w:jc w:val="center"/>
        <w:tblLook w:val="04A0"/>
      </w:tblPr>
      <w:tblGrid>
        <w:gridCol w:w="2981"/>
        <w:gridCol w:w="1"/>
        <w:gridCol w:w="6090"/>
      </w:tblGrid>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权益登记日</w:t>
            </w:r>
          </w:p>
        </w:tc>
        <w:tc>
          <w:tcPr>
            <w:tcW w:w="6091" w:type="dxa"/>
            <w:gridSpan w:val="2"/>
            <w:tcMar>
              <w:left w:w="85" w:type="dxa"/>
              <w:right w:w="85" w:type="dxa"/>
            </w:tcMar>
            <w:vAlign w:val="center"/>
          </w:tcPr>
          <w:p w:rsidR="00BE74A8" w:rsidRPr="00A5411A" w:rsidRDefault="00BE74A8" w:rsidP="00BE74A8">
            <w:pPr>
              <w:rPr>
                <w:szCs w:val="22"/>
              </w:rPr>
            </w:pPr>
            <w:r>
              <w:rPr>
                <w:szCs w:val="22"/>
              </w:rPr>
              <w:t>2024年8月21日</w:t>
            </w:r>
          </w:p>
        </w:tc>
      </w:tr>
      <w:tr w:rsidR="00074834" w:rsidTr="003462BC">
        <w:trPr>
          <w:jc w:val="center"/>
        </w:trPr>
        <w:tc>
          <w:tcPr>
            <w:tcW w:w="2802" w:type="dxa"/>
            <w:tcMar>
              <w:left w:w="85" w:type="dxa"/>
              <w:right w:w="85" w:type="dxa"/>
            </w:tcMar>
            <w:vAlign w:val="center"/>
          </w:tcPr>
          <w:p w:rsidR="00074834" w:rsidRPr="00A5411A" w:rsidRDefault="00074834" w:rsidP="00BE74A8">
            <w:pPr>
              <w:rPr>
                <w:szCs w:val="22"/>
              </w:rPr>
            </w:pPr>
            <w:r w:rsidRPr="00A5411A">
              <w:rPr>
                <w:szCs w:val="22"/>
              </w:rPr>
              <w:t>除息日</w:t>
            </w:r>
          </w:p>
        </w:tc>
        <w:tc>
          <w:tcPr>
            <w:tcW w:w="3045" w:type="dxa"/>
            <w:hMerge w:val="restart"/>
            <w:tcMar>
              <w:left w:w="85" w:type="dxa"/>
              <w:right w:w="85" w:type="dxa"/>
            </w:tcMar>
            <w:vAlign w:val="center"/>
          </w:tcPr>
          <w:p w:rsidR="00074834" w:rsidRPr="00A5411A" w:rsidRDefault="00074834" w:rsidP="00BE74A8">
            <w:pPr>
              <w:rPr>
                <w:szCs w:val="22"/>
              </w:rPr>
            </w:pPr>
            <w:r>
              <w:rPr>
                <w:szCs w:val="22"/>
              </w:rPr>
              <w:t>2024年8月21日</w:t>
            </w:r>
          </w:p>
        </w:tc>
        <w:tc>
          <w:tcPr>
            <w:tcW w:w="3046" w:type="dxa"/>
            <w:hMerge/>
            <w:vAlign w:val="center"/>
          </w:tcPr>
          <w:p w:rsidR="00074834" w:rsidRPr="00A5411A" w:rsidRDefault="00074834" w:rsidP="00BE74A8">
            <w:pPr>
              <w:rPr>
                <w:szCs w:val="22"/>
              </w:rPr>
            </w:pPr>
            <w:r>
              <w:rPr>
                <w:szCs w:val="22"/>
              </w:rPr>
              <w:t>-</w:t>
            </w:r>
          </w:p>
        </w:tc>
      </w:tr>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现金红利发放日</w:t>
            </w:r>
          </w:p>
        </w:tc>
        <w:tc>
          <w:tcPr>
            <w:tcW w:w="6091" w:type="dxa"/>
            <w:gridSpan w:val="2"/>
            <w:tcMar>
              <w:left w:w="85" w:type="dxa"/>
              <w:right w:w="85" w:type="dxa"/>
            </w:tcMar>
            <w:vAlign w:val="center"/>
          </w:tcPr>
          <w:p w:rsidR="00BE74A8" w:rsidRPr="00A5411A" w:rsidRDefault="00BE74A8" w:rsidP="00BE74A8">
            <w:pPr>
              <w:rPr>
                <w:szCs w:val="22"/>
              </w:rPr>
            </w:pPr>
            <w:r>
              <w:rPr>
                <w:szCs w:val="22"/>
              </w:rPr>
              <w:t>2024年8月22日</w:t>
            </w:r>
          </w:p>
        </w:tc>
      </w:tr>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分红对象</w:t>
            </w:r>
          </w:p>
        </w:tc>
        <w:tc>
          <w:tcPr>
            <w:tcW w:w="6091" w:type="dxa"/>
            <w:gridSpan w:val="2"/>
            <w:tcMar>
              <w:left w:w="85" w:type="dxa"/>
              <w:right w:w="85" w:type="dxa"/>
            </w:tcMar>
            <w:vAlign w:val="center"/>
          </w:tcPr>
          <w:p w:rsidR="00BE74A8" w:rsidRPr="00A5411A" w:rsidRDefault="00BE74A8" w:rsidP="00BE74A8">
            <w:pPr>
              <w:rPr>
                <w:szCs w:val="22"/>
              </w:rPr>
            </w:pPr>
            <w:r w:rsidRPr="00A5411A">
              <w:rPr>
                <w:szCs w:val="22"/>
              </w:rPr>
              <w:t>权益登记日登记在册的本基金份额持有人。</w:t>
            </w:r>
          </w:p>
        </w:tc>
      </w:tr>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红利再投资相关事项的说明</w:t>
            </w:r>
          </w:p>
        </w:tc>
        <w:tc>
          <w:tcPr>
            <w:tcW w:w="6091" w:type="dxa"/>
            <w:gridSpan w:val="2"/>
            <w:tcMar>
              <w:left w:w="85" w:type="dxa"/>
              <w:right w:w="85" w:type="dxa"/>
            </w:tcMar>
            <w:vAlign w:val="center"/>
          </w:tcPr>
          <w:p w:rsidR="00BE74A8" w:rsidRPr="00A5411A" w:rsidRDefault="00BE74A8" w:rsidP="00BE74A8">
            <w:pPr>
              <w:rPr>
                <w:szCs w:val="22"/>
              </w:rPr>
            </w:pPr>
            <w:r w:rsidRPr="00A5411A">
              <w:rPr>
                <w:szCs w:val="22"/>
              </w:rPr>
              <w:t>1）选择红利再投资的投资者其再投资基金份额的基金份额净值日为：2024年8月21日；</w:t>
            </w:r>
            <w:r w:rsidRPr="00A5411A">
              <w:rPr>
                <w:szCs w:val="22"/>
              </w:rPr>
              <w:br/>
              <w:t>2）选择红利再投资的投资者其再投资基金份额确认日：2024年8月22日,再投资基金份额持有期自确认日起重新计算；</w:t>
            </w:r>
            <w:r w:rsidRPr="00A5411A">
              <w:rPr>
                <w:szCs w:val="22"/>
              </w:rPr>
              <w:br/>
              <w:t>3）红利再投资的基金份额可赎回起始日：2024年8月23日。</w:t>
            </w:r>
          </w:p>
        </w:tc>
      </w:tr>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税收相关事项的说明</w:t>
            </w:r>
          </w:p>
        </w:tc>
        <w:tc>
          <w:tcPr>
            <w:tcW w:w="6091" w:type="dxa"/>
            <w:gridSpan w:val="2"/>
            <w:tcMar>
              <w:left w:w="85" w:type="dxa"/>
              <w:right w:w="85" w:type="dxa"/>
            </w:tcMar>
            <w:vAlign w:val="center"/>
          </w:tcPr>
          <w:p w:rsidR="00BE74A8" w:rsidRPr="00A5411A" w:rsidRDefault="00BE74A8" w:rsidP="00BE74A8">
            <w:pPr>
              <w:rPr>
                <w:szCs w:val="22"/>
              </w:rPr>
            </w:pPr>
            <w:r w:rsidRPr="00A5411A">
              <w:rPr>
                <w:szCs w:val="22"/>
              </w:rPr>
              <w:t>根据财政部、国家税务总局相关规定，基金向投资者分配的基金收益，暂免征收所得税。</w:t>
            </w:r>
          </w:p>
        </w:tc>
      </w:tr>
      <w:tr w:rsidR="00BE74A8" w:rsidTr="00074834">
        <w:trPr>
          <w:jc w:val="center"/>
        </w:trPr>
        <w:tc>
          <w:tcPr>
            <w:tcW w:w="2981" w:type="dxa"/>
            <w:tcMar>
              <w:left w:w="85" w:type="dxa"/>
              <w:right w:w="85" w:type="dxa"/>
            </w:tcMar>
            <w:vAlign w:val="center"/>
          </w:tcPr>
          <w:p w:rsidR="00BE74A8" w:rsidRDefault="00BE74A8" w:rsidP="00BE74A8">
            <w:r w:rsidRPr="00A5411A">
              <w:rPr>
                <w:szCs w:val="22"/>
              </w:rPr>
              <w:t>费用相关事项的说明</w:t>
            </w:r>
          </w:p>
        </w:tc>
        <w:tc>
          <w:tcPr>
            <w:tcW w:w="6091" w:type="dxa"/>
            <w:gridSpan w:val="2"/>
            <w:tcMar>
              <w:left w:w="85" w:type="dxa"/>
              <w:right w:w="85" w:type="dxa"/>
            </w:tcMar>
            <w:vAlign w:val="center"/>
          </w:tcPr>
          <w:p w:rsidR="00BE74A8" w:rsidRDefault="00BE74A8" w:rsidP="00BE74A8">
            <w:r w:rsidRPr="00A5411A">
              <w:rPr>
                <w:szCs w:val="22"/>
              </w:rPr>
              <w:t>本基金本次分红免收分红手续费。</w:t>
            </w:r>
          </w:p>
        </w:tc>
      </w:tr>
    </w:tbl>
    <w:p w:rsidR="005765DC" w:rsidRPr="00A5411A" w:rsidRDefault="005765DC" w:rsidP="0094623B">
      <w:pPr>
        <w:rPr>
          <w:szCs w:val="22"/>
        </w:rPr>
      </w:pPr>
      <w:r w:rsidRPr="00A5411A">
        <w:rPr>
          <w:szCs w:val="22"/>
        </w:rPr>
        <w:t>注：选择现金分红方式的投资者的红利款将于2024年8月22日自基金托管账户划出，投资者实际到账时间以销售机构划付时间为准。</w:t>
      </w:r>
    </w:p>
    <w:p w:rsidR="005765DC" w:rsidRDefault="005765DC" w:rsidP="005765DC">
      <w:pPr>
        <w:pStyle w:val="1"/>
        <w:spacing w:before="156" w:after="156"/>
      </w:pPr>
      <w:bookmarkStart w:id="4" w:name="_Toc457987866"/>
      <w:r w:rsidRPr="005765DC">
        <w:rPr>
          <w:rFonts w:hint="eastAsia"/>
        </w:rPr>
        <w:t>其他需要提示的事项</w:t>
      </w:r>
      <w:bookmarkEnd w:id="4"/>
    </w:p>
    <w:p w:rsidR="005765DC" w:rsidRDefault="005765DC" w:rsidP="00570428">
      <w:pPr>
        <w:pStyle w:val="aa"/>
        <w:ind w:firstLine="420"/>
      </w:pPr>
      <w:r w:rsidRPr="00A5411A">
        <w:t>(1)权益登记日申请申购或转入的基金份额不享有本次分红权益，权益登记日申请赎回或转出的基金份额享有本次分红权益。</w:t>
      </w:r>
      <w:r w:rsidRPr="00A5411A">
        <w:br/>
        <w:t xml:space="preserve">    (2)本基金默认的分红方式为现金分红。本次分红方式将以权益登记日注册登记系统记录的分红方式为准。</w:t>
      </w:r>
      <w:r w:rsidRPr="00A5411A">
        <w:br/>
        <w:t xml:space="preserve">    投资者如需修改分红方式，请务必在2024年8月20日前(含当日)到销售网点或通过销售机构提供的其他非现场交易方式办理变更手续。</w:t>
      </w:r>
      <w:r w:rsidRPr="00A5411A">
        <w:br/>
        <w:t xml:space="preserve">    如投资者在多家销售机构购买了本基金，其在任一家销售机构所做的基金份额的分红方式变更，只适用于该销售机构指定交易账户下托管的基金份额。</w:t>
      </w:r>
      <w:r w:rsidRPr="00A5411A">
        <w:br/>
        <w:t xml:space="preserve">    (3)投资者可通过本基金管理人网站(www.tongtaiamc.com)或拨打全国免长途费的客服热线(400-830-1666)咨询相关情况。</w:t>
      </w:r>
    </w:p>
    <w:p w:rsidR="00570428" w:rsidRDefault="00570428" w:rsidP="00570428">
      <w:pPr>
        <w:pStyle w:val="aa"/>
        <w:ind w:firstLine="420"/>
      </w:pPr>
    </w:p>
    <w:p w:rsidR="00570428" w:rsidRDefault="00570428" w:rsidP="00570428">
      <w:pPr>
        <w:pStyle w:val="aa"/>
        <w:ind w:firstLine="420"/>
      </w:pPr>
    </w:p>
    <w:p w:rsidR="00570428" w:rsidRPr="00570428" w:rsidRDefault="00570428" w:rsidP="00570428">
      <w:pPr>
        <w:pStyle w:val="aa"/>
        <w:ind w:firstLine="560"/>
        <w:jc w:val="right"/>
        <w:rPr>
          <w:color w:val="000000"/>
          <w:sz w:val="28"/>
          <w:szCs w:val="28"/>
        </w:rPr>
      </w:pPr>
      <w:r w:rsidRPr="00570428">
        <w:rPr>
          <w:rFonts w:hint="eastAsia"/>
          <w:color w:val="000000"/>
          <w:sz w:val="28"/>
          <w:szCs w:val="28"/>
        </w:rPr>
        <w:t>同泰基金管理有限公司</w:t>
      </w:r>
    </w:p>
    <w:p w:rsidR="00570428" w:rsidRPr="005765DC" w:rsidRDefault="00570428" w:rsidP="00570428">
      <w:pPr>
        <w:pStyle w:val="aa"/>
        <w:ind w:firstLine="560"/>
        <w:jc w:val="right"/>
        <w:rPr>
          <w:color w:val="000000"/>
        </w:rPr>
      </w:pPr>
      <w:r w:rsidRPr="00570428">
        <w:rPr>
          <w:rFonts w:hint="eastAsia"/>
          <w:color w:val="000000"/>
          <w:sz w:val="28"/>
          <w:szCs w:val="28"/>
        </w:rPr>
        <w:t>2024年8月20日</w:t>
      </w:r>
    </w:p>
    <w:sectPr w:rsidR="00570428" w:rsidRPr="005765DC" w:rsidSect="007B5D69">
      <w:headerReference w:type="default" r:id="rId8"/>
      <w:footerReference w:type="default" r:id="rId9"/>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955" w:rsidRDefault="00D14955" w:rsidP="00341BC3">
      <w:r>
        <w:separator/>
      </w:r>
    </w:p>
  </w:endnote>
  <w:endnote w:type="continuationSeparator" w:id="0">
    <w:p w:rsidR="00D14955" w:rsidRDefault="00D14955" w:rsidP="00341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428" w:rsidRDefault="00570428" w:rsidP="00570428">
    <w:pPr>
      <w:pStyle w:val="a4"/>
      <w:jc w:val="center"/>
    </w:pPr>
    <w:r w:rsidRPr="00570428">
      <w:rPr>
        <w:rFonts w:hint="eastAsia"/>
      </w:rPr>
      <w:t>第</w:t>
    </w:r>
    <w:r w:rsidR="00DA7592">
      <w:fldChar w:fldCharType="begin"/>
    </w:r>
    <w:r>
      <w:instrText xml:space="preserve"> </w:instrText>
    </w:r>
    <w:r>
      <w:rPr>
        <w:rFonts w:hint="eastAsia"/>
      </w:rPr>
      <w:instrText>PAGE   \* MERGEFORMAT</w:instrText>
    </w:r>
    <w:r>
      <w:instrText xml:space="preserve"> </w:instrText>
    </w:r>
    <w:r w:rsidR="00DA7592">
      <w:fldChar w:fldCharType="separate"/>
    </w:r>
    <w:r w:rsidR="00F70E7D">
      <w:rPr>
        <w:noProof/>
      </w:rPr>
      <w:t>2</w:t>
    </w:r>
    <w:r w:rsidR="00DA7592">
      <w:fldChar w:fldCharType="end"/>
    </w:r>
    <w:r w:rsidRPr="00570428">
      <w:rPr>
        <w:rFonts w:hint="eastAsia"/>
      </w:rPr>
      <w:t>页</w:t>
    </w:r>
    <w:r w:rsidRPr="00570428">
      <w:rPr>
        <w:rFonts w:hint="eastAsia"/>
      </w:rPr>
      <w:t xml:space="preserve"> </w:t>
    </w:r>
    <w:r w:rsidRPr="00570428">
      <w:rPr>
        <w:rFonts w:hint="eastAsia"/>
      </w:rPr>
      <w:t>共</w:t>
    </w:r>
    <w:fldSimple w:instr=" NUMPAGES   \* MERGEFORMAT ">
      <w:r w:rsidR="00F70E7D">
        <w:rPr>
          <w:noProof/>
        </w:rPr>
        <w:t>2</w:t>
      </w:r>
    </w:fldSimple>
    <w:r w:rsidRPr="00570428">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955" w:rsidRDefault="00D14955" w:rsidP="00341BC3">
      <w:r>
        <w:separator/>
      </w:r>
    </w:p>
  </w:footnote>
  <w:footnote w:type="continuationSeparator" w:id="0">
    <w:p w:rsidR="00D14955" w:rsidRDefault="00D14955" w:rsidP="00341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9D5" w:rsidRDefault="00F70E7D">
    <w:pPr>
      <w:pBdr>
        <w:between w:val="single" w:sz="3" w:space="0" w:color="000000"/>
      </w:pBdr>
      <w:jc w:val="right"/>
    </w:pPr>
    <w:r>
      <w:rPr>
        <w:rFonts w:hAnsi="宋体" w:hint="eastAsia"/>
        <w:bCs/>
        <w:color w:val="000000"/>
        <w:sz w:val="18"/>
        <w:szCs w:val="18"/>
      </w:rPr>
      <w:t>同泰恒利纯债债券型证券投资基金分红公告</w:t>
    </w:r>
  </w:p>
  <w:p w:rsidR="005529D5" w:rsidRDefault="005529D5">
    <w:pPr>
      <w:pBdr>
        <w:between w:val="single" w:sz="3" w:space="0" w:color="000000"/>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84430"/>
    <w:multiLevelType w:val="hybridMultilevel"/>
    <w:tmpl w:val="5F4E9798"/>
    <w:lvl w:ilvl="0" w:tplc="0409000F">
      <w:start w:val="1"/>
      <w:numFmt w:val="decimal"/>
      <w:pStyle w:val="1"/>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3542"/>
    <w:rsid w:val="00001A6F"/>
    <w:rsid w:val="00023B3A"/>
    <w:rsid w:val="00030DD2"/>
    <w:rsid w:val="000507D6"/>
    <w:rsid w:val="00074834"/>
    <w:rsid w:val="000762C7"/>
    <w:rsid w:val="0009734C"/>
    <w:rsid w:val="000C554B"/>
    <w:rsid w:val="000F608E"/>
    <w:rsid w:val="0011526A"/>
    <w:rsid w:val="001569AC"/>
    <w:rsid w:val="001603BA"/>
    <w:rsid w:val="00181F7A"/>
    <w:rsid w:val="001C42A3"/>
    <w:rsid w:val="001F485F"/>
    <w:rsid w:val="0021203E"/>
    <w:rsid w:val="002255C3"/>
    <w:rsid w:val="002828AA"/>
    <w:rsid w:val="00287EE4"/>
    <w:rsid w:val="002D0E43"/>
    <w:rsid w:val="002D51F1"/>
    <w:rsid w:val="002F27BA"/>
    <w:rsid w:val="00310EC7"/>
    <w:rsid w:val="0031453C"/>
    <w:rsid w:val="00334299"/>
    <w:rsid w:val="00341BC3"/>
    <w:rsid w:val="0034567C"/>
    <w:rsid w:val="00350F99"/>
    <w:rsid w:val="00367E60"/>
    <w:rsid w:val="00381F52"/>
    <w:rsid w:val="004552B5"/>
    <w:rsid w:val="0048370C"/>
    <w:rsid w:val="0049035C"/>
    <w:rsid w:val="004B2A90"/>
    <w:rsid w:val="005529D5"/>
    <w:rsid w:val="00563E58"/>
    <w:rsid w:val="00570428"/>
    <w:rsid w:val="005765DC"/>
    <w:rsid w:val="005F1128"/>
    <w:rsid w:val="00664AFE"/>
    <w:rsid w:val="00667466"/>
    <w:rsid w:val="00673542"/>
    <w:rsid w:val="006C3AEF"/>
    <w:rsid w:val="006F05DA"/>
    <w:rsid w:val="00763DF0"/>
    <w:rsid w:val="007840F2"/>
    <w:rsid w:val="007B5D69"/>
    <w:rsid w:val="007D6538"/>
    <w:rsid w:val="008102CF"/>
    <w:rsid w:val="00857A4D"/>
    <w:rsid w:val="00861446"/>
    <w:rsid w:val="00863865"/>
    <w:rsid w:val="00883031"/>
    <w:rsid w:val="00890ABA"/>
    <w:rsid w:val="00891E33"/>
    <w:rsid w:val="008B32A1"/>
    <w:rsid w:val="00937335"/>
    <w:rsid w:val="0094623B"/>
    <w:rsid w:val="009C6E3D"/>
    <w:rsid w:val="00A007A8"/>
    <w:rsid w:val="00A10C3D"/>
    <w:rsid w:val="00A5411A"/>
    <w:rsid w:val="00A57A81"/>
    <w:rsid w:val="00A724AF"/>
    <w:rsid w:val="00A74D94"/>
    <w:rsid w:val="00A94EB3"/>
    <w:rsid w:val="00AA74E8"/>
    <w:rsid w:val="00AE1561"/>
    <w:rsid w:val="00AE2EFF"/>
    <w:rsid w:val="00AF4FB3"/>
    <w:rsid w:val="00B70982"/>
    <w:rsid w:val="00BC2A99"/>
    <w:rsid w:val="00BD1AEC"/>
    <w:rsid w:val="00BE1DE8"/>
    <w:rsid w:val="00BE74A8"/>
    <w:rsid w:val="00C00443"/>
    <w:rsid w:val="00C30AD8"/>
    <w:rsid w:val="00CB4958"/>
    <w:rsid w:val="00D13C98"/>
    <w:rsid w:val="00D14955"/>
    <w:rsid w:val="00D24F9C"/>
    <w:rsid w:val="00D51F6A"/>
    <w:rsid w:val="00D674E1"/>
    <w:rsid w:val="00DA22AA"/>
    <w:rsid w:val="00DA2749"/>
    <w:rsid w:val="00DA7592"/>
    <w:rsid w:val="00DB5C10"/>
    <w:rsid w:val="00E52539"/>
    <w:rsid w:val="00E62C65"/>
    <w:rsid w:val="00E67046"/>
    <w:rsid w:val="00E8675D"/>
    <w:rsid w:val="00EE19BC"/>
    <w:rsid w:val="00EF3D02"/>
    <w:rsid w:val="00F23629"/>
    <w:rsid w:val="00F2546A"/>
    <w:rsid w:val="00F70E7D"/>
    <w:rsid w:val="00F77620"/>
    <w:rsid w:val="00FD7D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aliases w:val="正文左"/>
    <w:qFormat/>
    <w:rsid w:val="00570428"/>
    <w:pPr>
      <w:widowControl w:val="0"/>
    </w:pPr>
    <w:rPr>
      <w:rFonts w:ascii="宋体" w:eastAsia="宋体"/>
    </w:rPr>
  </w:style>
  <w:style w:type="paragraph" w:styleId="1">
    <w:name w:val="heading 1"/>
    <w:basedOn w:val="a"/>
    <w:next w:val="a"/>
    <w:link w:val="1Char"/>
    <w:uiPriority w:val="9"/>
    <w:qFormat/>
    <w:rsid w:val="00570428"/>
    <w:pPr>
      <w:keepNext/>
      <w:keepLines/>
      <w:numPr>
        <w:numId w:val="1"/>
      </w:numPr>
      <w:spacing w:beforeLines="50" w:afterLines="50"/>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1BC3"/>
    <w:pPr>
      <w:pBdr>
        <w:bottom w:val="single" w:sz="6" w:space="1" w:color="auto"/>
      </w:pBdr>
      <w:tabs>
        <w:tab w:val="center" w:pos="4153"/>
        <w:tab w:val="right" w:pos="8306"/>
      </w:tabs>
      <w:snapToGrid w:val="0"/>
      <w:jc w:val="center"/>
    </w:pPr>
    <w:rPr>
      <w:rFonts w:asciiTheme="minorHAnsi"/>
      <w:szCs w:val="18"/>
    </w:rPr>
  </w:style>
  <w:style w:type="character" w:customStyle="1" w:styleId="Char">
    <w:name w:val="页眉 Char"/>
    <w:basedOn w:val="a0"/>
    <w:link w:val="a3"/>
    <w:uiPriority w:val="99"/>
    <w:rsid w:val="00341BC3"/>
    <w:rPr>
      <w:sz w:val="18"/>
      <w:szCs w:val="18"/>
    </w:rPr>
  </w:style>
  <w:style w:type="paragraph" w:styleId="a4">
    <w:name w:val="footer"/>
    <w:basedOn w:val="a"/>
    <w:link w:val="Char0"/>
    <w:uiPriority w:val="99"/>
    <w:unhideWhenUsed/>
    <w:rsid w:val="00341BC3"/>
    <w:pPr>
      <w:tabs>
        <w:tab w:val="center" w:pos="4153"/>
        <w:tab w:val="right" w:pos="8306"/>
      </w:tabs>
      <w:snapToGrid w:val="0"/>
    </w:pPr>
    <w:rPr>
      <w:rFonts w:asciiTheme="minorHAnsi"/>
      <w:szCs w:val="18"/>
    </w:rPr>
  </w:style>
  <w:style w:type="character" w:customStyle="1" w:styleId="Char0">
    <w:name w:val="页脚 Char"/>
    <w:basedOn w:val="a0"/>
    <w:link w:val="a4"/>
    <w:uiPriority w:val="99"/>
    <w:rsid w:val="00341BC3"/>
    <w:rPr>
      <w:sz w:val="18"/>
      <w:szCs w:val="18"/>
    </w:rPr>
  </w:style>
  <w:style w:type="character" w:customStyle="1" w:styleId="1Char">
    <w:name w:val="标题 1 Char"/>
    <w:basedOn w:val="a0"/>
    <w:link w:val="1"/>
    <w:uiPriority w:val="9"/>
    <w:rsid w:val="00570428"/>
    <w:rPr>
      <w:rFonts w:ascii="宋体" w:eastAsia="宋体" w:hAnsi="Times New Roman" w:cs="Times New Roman"/>
      <w:b/>
      <w:bCs/>
      <w:kern w:val="44"/>
      <w:sz w:val="28"/>
      <w:szCs w:val="44"/>
    </w:rPr>
  </w:style>
  <w:style w:type="character" w:styleId="a5">
    <w:name w:val="footnote reference"/>
    <w:rsid w:val="00341BC3"/>
    <w:rPr>
      <w:vertAlign w:val="superscript"/>
    </w:rPr>
  </w:style>
  <w:style w:type="paragraph" w:styleId="a6">
    <w:name w:val="footnote text"/>
    <w:basedOn w:val="a"/>
    <w:link w:val="Char1"/>
    <w:rsid w:val="00341BC3"/>
    <w:pPr>
      <w:snapToGrid w:val="0"/>
    </w:pPr>
  </w:style>
  <w:style w:type="character" w:customStyle="1" w:styleId="Char1">
    <w:name w:val="脚注文本 Char"/>
    <w:basedOn w:val="a0"/>
    <w:link w:val="a6"/>
    <w:rsid w:val="00341BC3"/>
    <w:rPr>
      <w:rFonts w:ascii="Times New Roman" w:eastAsia="宋体" w:hAnsi="Times New Roman" w:cs="Times New Roman"/>
      <w:sz w:val="18"/>
      <w:szCs w:val="20"/>
    </w:rPr>
  </w:style>
  <w:style w:type="paragraph" w:styleId="TOC">
    <w:name w:val="TOC Heading"/>
    <w:basedOn w:val="1"/>
    <w:next w:val="a"/>
    <w:uiPriority w:val="39"/>
    <w:unhideWhenUsed/>
    <w:rsid w:val="005765DC"/>
    <w:pPr>
      <w:widowControl/>
      <w:numPr>
        <w:numId w:val="0"/>
      </w:numPr>
      <w:spacing w:before="24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5765DC"/>
  </w:style>
  <w:style w:type="character" w:styleId="a7">
    <w:name w:val="Hyperlink"/>
    <w:basedOn w:val="a0"/>
    <w:uiPriority w:val="99"/>
    <w:unhideWhenUsed/>
    <w:rsid w:val="005765DC"/>
    <w:rPr>
      <w:color w:val="0563C1" w:themeColor="hyperlink"/>
      <w:u w:val="single"/>
    </w:rPr>
  </w:style>
  <w:style w:type="paragraph" w:customStyle="1" w:styleId="11">
    <w:name w:val="主标题1"/>
    <w:basedOn w:val="a"/>
    <w:next w:val="a"/>
    <w:link w:val="1Char0"/>
    <w:rsid w:val="0021203E"/>
    <w:pPr>
      <w:adjustRightInd w:val="0"/>
      <w:snapToGrid w:val="0"/>
      <w:jc w:val="center"/>
    </w:pPr>
    <w:rPr>
      <w:rFonts w:hAnsi="宋体" w:cs="宋体"/>
      <w:b/>
      <w:bCs/>
      <w:sz w:val="44"/>
      <w:szCs w:val="24"/>
    </w:rPr>
  </w:style>
  <w:style w:type="character" w:customStyle="1" w:styleId="1Char0">
    <w:name w:val="主标题1 Char"/>
    <w:basedOn w:val="a0"/>
    <w:link w:val="11"/>
    <w:rsid w:val="0021203E"/>
    <w:rPr>
      <w:rFonts w:ascii="宋体" w:eastAsia="宋体" w:hAnsi="宋体" w:cs="宋体"/>
      <w:b/>
      <w:bCs/>
      <w:sz w:val="44"/>
      <w:szCs w:val="24"/>
    </w:rPr>
  </w:style>
  <w:style w:type="paragraph" w:customStyle="1" w:styleId="12">
    <w:name w:val="副标题1"/>
    <w:basedOn w:val="a"/>
    <w:next w:val="a"/>
    <w:link w:val="1Char1"/>
    <w:rsid w:val="00A5411A"/>
    <w:pPr>
      <w:adjustRightInd w:val="0"/>
      <w:snapToGrid w:val="0"/>
      <w:spacing w:line="400" w:lineRule="exact"/>
      <w:jc w:val="center"/>
    </w:pPr>
    <w:rPr>
      <w:rFonts w:hAnsi="宋体" w:cs="宋体"/>
      <w:bCs/>
      <w:sz w:val="32"/>
      <w:szCs w:val="24"/>
    </w:rPr>
  </w:style>
  <w:style w:type="character" w:customStyle="1" w:styleId="1Char1">
    <w:name w:val="副标题1 Char"/>
    <w:basedOn w:val="a0"/>
    <w:link w:val="12"/>
    <w:rsid w:val="00A5411A"/>
    <w:rPr>
      <w:rFonts w:ascii="宋体" w:eastAsia="宋体" w:hAnsi="宋体" w:cs="宋体"/>
      <w:bCs/>
      <w:sz w:val="32"/>
      <w:szCs w:val="24"/>
    </w:rPr>
  </w:style>
  <w:style w:type="paragraph" w:customStyle="1" w:styleId="a8">
    <w:name w:val="正文中"/>
    <w:qFormat/>
    <w:rsid w:val="00570428"/>
    <w:pPr>
      <w:jc w:val="center"/>
    </w:pPr>
    <w:rPr>
      <w:rFonts w:ascii="宋体" w:eastAsia="宋体" w:hAnsiTheme="majorEastAsia" w:cs="Times New Roman"/>
      <w:szCs w:val="44"/>
    </w:rPr>
  </w:style>
  <w:style w:type="paragraph" w:customStyle="1" w:styleId="a9">
    <w:name w:val="正文右"/>
    <w:qFormat/>
    <w:rsid w:val="00570428"/>
    <w:pPr>
      <w:jc w:val="right"/>
    </w:pPr>
    <w:rPr>
      <w:rFonts w:ascii="宋体" w:eastAsia="宋体" w:hAnsiTheme="majorEastAsia" w:cs="Times New Roman"/>
      <w:szCs w:val="44"/>
    </w:rPr>
  </w:style>
  <w:style w:type="paragraph" w:styleId="aa">
    <w:name w:val="Normal Indent"/>
    <w:qFormat/>
    <w:rsid w:val="00570428"/>
    <w:pPr>
      <w:spacing w:line="360" w:lineRule="auto"/>
      <w:ind w:firstLineChars="200" w:firstLine="200"/>
    </w:pPr>
    <w:rPr>
      <w:rFonts w:ascii="宋体" w:eastAsia="宋体"/>
    </w:rPr>
  </w:style>
  <w:style w:type="paragraph" w:styleId="ab">
    <w:name w:val="List Paragraph"/>
    <w:basedOn w:val="a"/>
    <w:uiPriority w:val="34"/>
    <w:rsid w:val="00181F7A"/>
    <w:pPr>
      <w:ind w:firstLineChars="200" w:firstLine="420"/>
    </w:pPr>
  </w:style>
  <w:style w:type="table" w:styleId="ac">
    <w:name w:val="Table Grid"/>
    <w:basedOn w:val="a1"/>
    <w:uiPriority w:val="39"/>
    <w:rsid w:val="00BE74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72699117-A3D2-4161-8524-EB57F10F1DA2}">
  <ds:schemaRefs>
    <ds:schemaRef ds:uri="http://schemas.openxmlformats.org/drawingml/2006/lockedCanvas"/>
    <ds:schemaRef ds:uri="http://schemas.openxmlformats.org/drawingml/2006/compatibility"/>
    <ds:schemaRef ds:uri="http://schemas.microsoft.com/office/word/2010/wordprocessingDrawing"/>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vml"/>
    <ds:schemaRef ds:uri="urn:schemas-microsoft-com:office:office"/>
    <ds:schemaRef ds:uri="urn:schemas-microsoft-com:office:exce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drawingml/2006/main"/>
    <ds:schemaRef ds:uri="http://schemas.openxmlformats.org/drawingml/2006/wordprocessingDrawing"/>
    <ds:schemaRef ds:uri="http://schemas.microsoft.com/office/word/2010/wordml"/>
    <ds:schemaRef ds:uri="http://schemas.openxmlformats.org/officeDocument/2006/relationships"/>
    <ds:schemaRef ds:uri="http://schemas.openxmlformats.org/officeDocument/2006/math"/>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1202</Characters>
  <Application>Microsoft Office Word</Application>
  <DocSecurity>4</DocSecurity>
  <Lines>10</Lines>
  <Paragraphs>2</Paragraphs>
  <ScaleCrop>false</ScaleCrop>
  <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dc:creator>
  <cp:lastModifiedBy>ZHONGM</cp:lastModifiedBy>
  <cp:revision>2</cp:revision>
  <dcterms:created xsi:type="dcterms:W3CDTF">2024-08-19T16:01:00Z</dcterms:created>
  <dcterms:modified xsi:type="dcterms:W3CDTF">2024-08-19T16:01:00Z</dcterms:modified>
</cp:coreProperties>
</file>