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824" w:rsidRDefault="00621824">
      <w:pPr>
        <w:pStyle w:val="biaogecenter"/>
        <w:rPr>
          <w:sz w:val="30"/>
          <w:szCs w:val="30"/>
        </w:rPr>
      </w:pPr>
      <w:r>
        <w:rPr>
          <w:rFonts w:hint="eastAsia"/>
          <w:b/>
          <w:bCs/>
          <w:sz w:val="30"/>
          <w:szCs w:val="30"/>
        </w:rPr>
        <w:t>浙商汇金聚悦利率债债券型证券投资基金基金合同生效公告</w:t>
      </w:r>
    </w:p>
    <w:p w:rsidR="00621824" w:rsidRDefault="00621824">
      <w:pPr>
        <w:pStyle w:val="biaogecenter"/>
        <w:rPr>
          <w:rFonts w:hint="eastAsia"/>
        </w:rPr>
      </w:pPr>
    </w:p>
    <w:p w:rsidR="00621824" w:rsidRDefault="00621824">
      <w:pPr>
        <w:pStyle w:val="a5"/>
        <w:jc w:val="center"/>
        <w:rPr>
          <w:rFonts w:hint="eastAsia"/>
        </w:rPr>
      </w:pPr>
      <w:r>
        <w:rPr>
          <w:rFonts w:hint="eastAsia"/>
        </w:rPr>
        <w:t>公告送出日期：2024年08月17日</w:t>
      </w:r>
    </w:p>
    <w:p w:rsidR="00621824" w:rsidRDefault="00621824">
      <w:pPr>
        <w:widowControl/>
        <w:jc w:val="left"/>
        <w:rPr>
          <w:rFonts w:ascii="宋体" w:hAnsi="宋体" w:cs="宋体" w:hint="eastAsia"/>
          <w:kern w:val="0"/>
          <w:sz w:val="24"/>
          <w:szCs w:val="24"/>
        </w:rPr>
      </w:pPr>
    </w:p>
    <w:p w:rsidR="00621824" w:rsidRDefault="00621824">
      <w:pPr>
        <w:pStyle w:val="dazhangjie"/>
        <w:rPr>
          <w:rFonts w:hint="eastAsia"/>
        </w:rPr>
      </w:pPr>
      <w:r w:rsidRPr="0006257B">
        <w:rPr>
          <w:rFonts w:hAnsi="Calibri" w:hint="eastAsia"/>
          <w:b/>
          <w:color w:val="000000"/>
        </w:rPr>
        <w:t>1 公告基本信息</w:t>
      </w:r>
    </w:p>
    <w:p w:rsidR="00621824" w:rsidRDefault="00621824">
      <w:pPr>
        <w:widowControl/>
        <w:jc w:val="left"/>
        <w:rPr>
          <w:rFonts w:ascii="宋体" w:hAnsi="宋体" w:cs="宋体" w:hint="eastAsia"/>
          <w:kern w:val="0"/>
          <w:sz w:val="24"/>
          <w:szCs w:val="24"/>
        </w:rPr>
      </w:pPr>
    </w:p>
    <w:tbl>
      <w:tblPr>
        <w:tblW w:w="8250" w:type="dxa"/>
        <w:tblInd w:w="108" w:type="dxa"/>
        <w:tblLook w:val="04A0"/>
      </w:tblPr>
      <w:tblGrid>
        <w:gridCol w:w="3300"/>
        <w:gridCol w:w="2475"/>
        <w:gridCol w:w="2475"/>
      </w:tblGrid>
      <w:tr w:rsidR="00621824" w:rsidRPr="0006257B">
        <w:tc>
          <w:tcPr>
            <w:tcW w:w="2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基金名称</w:t>
            </w:r>
          </w:p>
        </w:tc>
        <w:tc>
          <w:tcPr>
            <w:tcW w:w="0" w:type="auto"/>
            <w:gridSpan w:val="2"/>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浙商汇金聚悦利率债债券型证券投资基金</w:t>
            </w:r>
          </w:p>
        </w:tc>
      </w:tr>
      <w:tr w:rsidR="00621824" w:rsidRPr="0006257B">
        <w:tc>
          <w:tcPr>
            <w:tcW w:w="0" w:type="auto"/>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基金简称</w:t>
            </w:r>
          </w:p>
        </w:tc>
        <w:tc>
          <w:tcPr>
            <w:tcW w:w="0" w:type="auto"/>
            <w:gridSpan w:val="2"/>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浙商汇金聚悦利率债</w:t>
            </w:r>
          </w:p>
        </w:tc>
      </w:tr>
      <w:tr w:rsidR="00621824" w:rsidRPr="0006257B">
        <w:tc>
          <w:tcPr>
            <w:tcW w:w="0" w:type="auto"/>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基金主代码</w:t>
            </w:r>
          </w:p>
        </w:tc>
        <w:tc>
          <w:tcPr>
            <w:tcW w:w="0" w:type="auto"/>
            <w:gridSpan w:val="2"/>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021696</w:t>
            </w:r>
          </w:p>
        </w:tc>
      </w:tr>
      <w:tr w:rsidR="00621824" w:rsidRPr="0006257B">
        <w:tc>
          <w:tcPr>
            <w:tcW w:w="0" w:type="auto"/>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基金运作方式</w:t>
            </w:r>
          </w:p>
        </w:tc>
        <w:tc>
          <w:tcPr>
            <w:tcW w:w="0" w:type="auto"/>
            <w:gridSpan w:val="2"/>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契约型开放式</w:t>
            </w:r>
          </w:p>
        </w:tc>
      </w:tr>
      <w:tr w:rsidR="00621824" w:rsidRPr="0006257B">
        <w:tc>
          <w:tcPr>
            <w:tcW w:w="0" w:type="auto"/>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基金合同生效日</w:t>
            </w:r>
          </w:p>
        </w:tc>
        <w:tc>
          <w:tcPr>
            <w:tcW w:w="0" w:type="auto"/>
            <w:gridSpan w:val="2"/>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2024年08月16日</w:t>
            </w:r>
          </w:p>
        </w:tc>
      </w:tr>
      <w:tr w:rsidR="00621824" w:rsidRPr="0006257B">
        <w:tc>
          <w:tcPr>
            <w:tcW w:w="3600" w:type="dxa"/>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基金管理人名称</w:t>
            </w:r>
          </w:p>
        </w:tc>
        <w:tc>
          <w:tcPr>
            <w:tcW w:w="0" w:type="auto"/>
            <w:gridSpan w:val="2"/>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浙江浙商证券资产管理有限公司</w:t>
            </w:r>
          </w:p>
        </w:tc>
      </w:tr>
      <w:tr w:rsidR="00621824" w:rsidRPr="0006257B">
        <w:tc>
          <w:tcPr>
            <w:tcW w:w="0" w:type="auto"/>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基金托管人名称</w:t>
            </w:r>
          </w:p>
        </w:tc>
        <w:tc>
          <w:tcPr>
            <w:tcW w:w="0" w:type="auto"/>
            <w:gridSpan w:val="2"/>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恒丰银行股份有限公司</w:t>
            </w:r>
          </w:p>
        </w:tc>
      </w:tr>
      <w:tr w:rsidR="00621824" w:rsidRPr="0006257B">
        <w:tc>
          <w:tcPr>
            <w:tcW w:w="0" w:type="auto"/>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公告依据</w:t>
            </w:r>
          </w:p>
        </w:tc>
        <w:tc>
          <w:tcPr>
            <w:tcW w:w="0" w:type="auto"/>
            <w:gridSpan w:val="2"/>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《中华人民共和国证券投资基金法》及配套法规、《浙商汇金聚悦利率债债券型证券投资基金基金合同》、《浙商汇金聚悦利率债债券型证券投资基金招募说明书》</w:t>
            </w:r>
          </w:p>
        </w:tc>
      </w:tr>
      <w:tr w:rsidR="00621824" w:rsidRPr="0006257B">
        <w:tc>
          <w:tcPr>
            <w:tcW w:w="2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下属分级基金的基金简称</w:t>
            </w:r>
          </w:p>
        </w:tc>
        <w:tc>
          <w:tcPr>
            <w:tcW w:w="15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浙商汇金聚悦利率债A</w:t>
            </w:r>
          </w:p>
        </w:tc>
        <w:tc>
          <w:tcPr>
            <w:tcW w:w="15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浙商汇金聚悦利率债C</w:t>
            </w:r>
          </w:p>
        </w:tc>
      </w:tr>
      <w:tr w:rsidR="00621824" w:rsidRPr="0006257B">
        <w:tc>
          <w:tcPr>
            <w:tcW w:w="2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下属分级基金的交易代码</w:t>
            </w:r>
          </w:p>
        </w:tc>
        <w:tc>
          <w:tcPr>
            <w:tcW w:w="15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021696</w:t>
            </w:r>
          </w:p>
        </w:tc>
        <w:tc>
          <w:tcPr>
            <w:tcW w:w="15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021697</w:t>
            </w:r>
          </w:p>
        </w:tc>
      </w:tr>
    </w:tbl>
    <w:p w:rsidR="00621824" w:rsidRDefault="00621824">
      <w:pPr>
        <w:widowControl/>
        <w:jc w:val="left"/>
        <w:rPr>
          <w:rFonts w:ascii="宋体" w:hAnsi="宋体" w:cs="宋体" w:hint="eastAsia"/>
          <w:kern w:val="0"/>
          <w:sz w:val="24"/>
          <w:szCs w:val="24"/>
        </w:rPr>
      </w:pPr>
    </w:p>
    <w:p w:rsidR="00621824" w:rsidRDefault="00621824">
      <w:pPr>
        <w:pStyle w:val="dazhangjie"/>
        <w:divId w:val="1983997582"/>
        <w:rPr>
          <w:rFonts w:hint="eastAsia"/>
        </w:rPr>
      </w:pPr>
      <w:r w:rsidRPr="0006257B">
        <w:rPr>
          <w:rFonts w:hAnsi="Calibri" w:hint="eastAsia"/>
          <w:b/>
          <w:color w:val="000000"/>
        </w:rPr>
        <w:t>2 基金募集情况</w:t>
      </w:r>
    </w:p>
    <w:p w:rsidR="00621824" w:rsidRDefault="00621824">
      <w:pPr>
        <w:widowControl/>
        <w:jc w:val="left"/>
        <w:divId w:val="1983997582"/>
        <w:rPr>
          <w:rFonts w:ascii="宋体" w:hAnsi="宋体" w:cs="宋体" w:hint="eastAsia"/>
          <w:kern w:val="0"/>
          <w:sz w:val="24"/>
          <w:szCs w:val="24"/>
        </w:rPr>
      </w:pPr>
    </w:p>
    <w:tbl>
      <w:tblPr>
        <w:tblW w:w="8250" w:type="dxa"/>
        <w:tblInd w:w="108" w:type="dxa"/>
        <w:tblLook w:val="04A0"/>
      </w:tblPr>
      <w:tblGrid>
        <w:gridCol w:w="1650"/>
        <w:gridCol w:w="1650"/>
        <w:gridCol w:w="1650"/>
        <w:gridCol w:w="1650"/>
        <w:gridCol w:w="1650"/>
      </w:tblGrid>
      <w:tr w:rsidR="00621824" w:rsidRPr="0006257B">
        <w:trPr>
          <w:divId w:val="1983997582"/>
        </w:trPr>
        <w:tc>
          <w:tcPr>
            <w:tcW w:w="2000" w:type="pct"/>
            <w:gridSpan w:val="2"/>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基金募集申请获中国证监会核准的文号</w:t>
            </w:r>
          </w:p>
        </w:tc>
        <w:tc>
          <w:tcPr>
            <w:tcW w:w="0" w:type="auto"/>
            <w:gridSpan w:val="3"/>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Pr>
                <w:rFonts w:hint="eastAsia"/>
              </w:rPr>
              <w:t>证监许可[2024] 877号</w:t>
            </w:r>
          </w:p>
        </w:tc>
      </w:tr>
      <w:tr w:rsidR="00621824" w:rsidRPr="0006257B">
        <w:trPr>
          <w:divId w:val="1983997582"/>
        </w:trPr>
        <w:tc>
          <w:tcPr>
            <w:tcW w:w="0" w:type="auto"/>
            <w:gridSpan w:val="2"/>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基金募集期间</w:t>
            </w:r>
          </w:p>
        </w:tc>
        <w:tc>
          <w:tcPr>
            <w:tcW w:w="0" w:type="auto"/>
            <w:gridSpan w:val="3"/>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Pr>
                <w:rFonts w:hint="eastAsia"/>
              </w:rPr>
              <w:t>自2024年07月10日至2024年08月14日止</w:t>
            </w:r>
          </w:p>
        </w:tc>
      </w:tr>
      <w:tr w:rsidR="00621824" w:rsidRPr="0006257B">
        <w:trPr>
          <w:divId w:val="1983997582"/>
        </w:trPr>
        <w:tc>
          <w:tcPr>
            <w:tcW w:w="0" w:type="auto"/>
            <w:gridSpan w:val="2"/>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验资机构名称</w:t>
            </w:r>
          </w:p>
        </w:tc>
        <w:tc>
          <w:tcPr>
            <w:tcW w:w="0" w:type="auto"/>
            <w:gridSpan w:val="3"/>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Pr>
                <w:rFonts w:hint="eastAsia"/>
              </w:rPr>
              <w:t>毕马威华振会计师事务所（特殊普通合伙）</w:t>
            </w:r>
          </w:p>
        </w:tc>
      </w:tr>
      <w:tr w:rsidR="00621824" w:rsidRPr="0006257B">
        <w:trPr>
          <w:divId w:val="1983997582"/>
        </w:trPr>
        <w:tc>
          <w:tcPr>
            <w:tcW w:w="0" w:type="auto"/>
            <w:gridSpan w:val="2"/>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募集资金划入基金托管专户的日期</w:t>
            </w:r>
          </w:p>
        </w:tc>
        <w:tc>
          <w:tcPr>
            <w:tcW w:w="0" w:type="auto"/>
            <w:gridSpan w:val="3"/>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Pr>
                <w:rFonts w:hint="eastAsia"/>
              </w:rPr>
              <w:t>2024年08月16日</w:t>
            </w:r>
          </w:p>
        </w:tc>
      </w:tr>
      <w:tr w:rsidR="00621824" w:rsidRPr="0006257B">
        <w:trPr>
          <w:divId w:val="1983997582"/>
        </w:trPr>
        <w:tc>
          <w:tcPr>
            <w:tcW w:w="0" w:type="auto"/>
            <w:gridSpan w:val="2"/>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募集有效认购总户数（单位：户）</w:t>
            </w:r>
          </w:p>
        </w:tc>
        <w:tc>
          <w:tcPr>
            <w:tcW w:w="0" w:type="auto"/>
            <w:gridSpan w:val="3"/>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Pr>
                <w:rFonts w:hint="eastAsia"/>
              </w:rPr>
              <w:t>1,132</w:t>
            </w:r>
          </w:p>
        </w:tc>
      </w:tr>
      <w:tr w:rsidR="00621824" w:rsidRPr="0006257B">
        <w:trPr>
          <w:divId w:val="1983997582"/>
        </w:trPr>
        <w:tc>
          <w:tcPr>
            <w:tcW w:w="2000" w:type="pct"/>
            <w:gridSpan w:val="2"/>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份额级别</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浙商汇金聚</w:t>
            </w:r>
            <w:r w:rsidRPr="0006257B">
              <w:rPr>
                <w:rFonts w:hAnsi="Calibri" w:hint="eastAsia"/>
                <w:color w:val="000000"/>
              </w:rPr>
              <w:lastRenderedPageBreak/>
              <w:t>悦利率债A</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lastRenderedPageBreak/>
              <w:t>浙商汇金聚</w:t>
            </w:r>
            <w:r w:rsidRPr="0006257B">
              <w:rPr>
                <w:rFonts w:hAnsi="Calibri" w:hint="eastAsia"/>
                <w:color w:val="000000"/>
              </w:rPr>
              <w:lastRenderedPageBreak/>
              <w:t>悦利率债C</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lastRenderedPageBreak/>
              <w:t>合计</w:t>
            </w:r>
          </w:p>
        </w:tc>
      </w:tr>
      <w:tr w:rsidR="00621824" w:rsidRPr="0006257B">
        <w:trPr>
          <w:divId w:val="1983997582"/>
        </w:trPr>
        <w:tc>
          <w:tcPr>
            <w:tcW w:w="2000" w:type="pct"/>
            <w:gridSpan w:val="2"/>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lastRenderedPageBreak/>
              <w:t>募集期间净认购金额（单位：人民币元 ）</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2,251,066,328.72</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5,120,627.50</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2,256,186,956.22</w:t>
            </w:r>
          </w:p>
        </w:tc>
      </w:tr>
      <w:tr w:rsidR="00621824" w:rsidRPr="0006257B">
        <w:trPr>
          <w:divId w:val="1983997582"/>
        </w:trPr>
        <w:tc>
          <w:tcPr>
            <w:tcW w:w="2000" w:type="pct"/>
            <w:gridSpan w:val="2"/>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认购资金在募集期间产生的利息（单位：人民币元 ）</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76,269.51</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1,538.54</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77,808.05</w:t>
            </w:r>
          </w:p>
        </w:tc>
      </w:tr>
      <w:tr w:rsidR="00621824" w:rsidRPr="0006257B">
        <w:trPr>
          <w:divId w:val="1983997582"/>
        </w:trPr>
        <w:tc>
          <w:tcPr>
            <w:tcW w:w="1000" w:type="pct"/>
            <w:vMerge w:val="restar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募集份额（单位： 份 ）</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有效认购份额</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2,251,066,328.72</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5,120,627.50</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2,256,186,956.22</w:t>
            </w:r>
          </w:p>
        </w:tc>
      </w:tr>
      <w:tr w:rsidR="00621824" w:rsidRPr="0006257B">
        <w:trPr>
          <w:divId w:val="1983997582"/>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621824" w:rsidRDefault="00621824">
            <w:pPr>
              <w:widowControl/>
              <w:jc w:val="left"/>
              <w:rPr>
                <w:rFonts w:ascii="宋体" w:hAnsi="宋体" w:cs="宋体"/>
                <w:kern w:val="0"/>
                <w:sz w:val="24"/>
                <w:szCs w:val="24"/>
              </w:rPr>
            </w:pP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利息结转的份额</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76,269.51</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1,538.54</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77,808.05</w:t>
            </w:r>
          </w:p>
        </w:tc>
      </w:tr>
      <w:tr w:rsidR="00621824" w:rsidRPr="0006257B">
        <w:trPr>
          <w:divId w:val="1983997582"/>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621824" w:rsidRDefault="00621824">
            <w:pPr>
              <w:widowControl/>
              <w:jc w:val="left"/>
              <w:rPr>
                <w:rFonts w:ascii="宋体" w:hAnsi="宋体" w:cs="宋体"/>
                <w:kern w:val="0"/>
                <w:sz w:val="24"/>
                <w:szCs w:val="24"/>
              </w:rPr>
            </w:pP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合计</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2,251,142,598.23</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5,122,166.04</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2,256,264,764.27</w:t>
            </w:r>
          </w:p>
        </w:tc>
      </w:tr>
      <w:tr w:rsidR="00621824" w:rsidRPr="0006257B">
        <w:trPr>
          <w:divId w:val="1983997582"/>
        </w:trPr>
        <w:tc>
          <w:tcPr>
            <w:tcW w:w="1000" w:type="pct"/>
            <w:vMerge w:val="restar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其中：募集期间基金管理人运用固有资金认购本基金情况</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认购的基金份额（单位：份 ）</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w:t>
            </w:r>
          </w:p>
        </w:tc>
      </w:tr>
      <w:tr w:rsidR="00621824" w:rsidRPr="0006257B">
        <w:trPr>
          <w:divId w:val="1983997582"/>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621824" w:rsidRDefault="00621824">
            <w:pPr>
              <w:widowControl/>
              <w:jc w:val="left"/>
              <w:rPr>
                <w:rFonts w:ascii="宋体" w:hAnsi="宋体" w:cs="宋体"/>
                <w:kern w:val="0"/>
                <w:sz w:val="24"/>
                <w:szCs w:val="24"/>
              </w:rPr>
            </w:pP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占基金总份额比例</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w:t>
            </w:r>
          </w:p>
        </w:tc>
      </w:tr>
      <w:tr w:rsidR="00621824" w:rsidRPr="0006257B">
        <w:trPr>
          <w:divId w:val="1983997582"/>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621824" w:rsidRDefault="00621824">
            <w:pPr>
              <w:widowControl/>
              <w:jc w:val="left"/>
              <w:rPr>
                <w:rFonts w:ascii="宋体" w:hAnsi="宋体" w:cs="宋体"/>
                <w:kern w:val="0"/>
                <w:sz w:val="24"/>
                <w:szCs w:val="24"/>
              </w:rPr>
            </w:pP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其他需要说明的事项</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无</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无</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无</w:t>
            </w:r>
          </w:p>
        </w:tc>
      </w:tr>
      <w:tr w:rsidR="00621824" w:rsidRPr="0006257B">
        <w:trPr>
          <w:divId w:val="1983997582"/>
        </w:trPr>
        <w:tc>
          <w:tcPr>
            <w:tcW w:w="1000" w:type="pct"/>
            <w:vMerge w:val="restar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其中：募集期间基金管理人的从业人员认购本基金情况</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认购的基金份额（单位：份 ）</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0.00</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30.00</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30.00</w:t>
            </w:r>
          </w:p>
        </w:tc>
      </w:tr>
      <w:tr w:rsidR="00621824" w:rsidRPr="0006257B">
        <w:trPr>
          <w:divId w:val="1983997582"/>
        </w:trPr>
        <w:tc>
          <w:tcPr>
            <w:tcW w:w="0" w:type="auto"/>
            <w:vMerge/>
            <w:tcBorders>
              <w:top w:val="single" w:sz="8" w:space="0" w:color="000000"/>
              <w:left w:val="single" w:sz="8" w:space="0" w:color="000000"/>
              <w:bottom w:val="single" w:sz="6" w:space="0" w:color="000000"/>
              <w:right w:val="single" w:sz="8" w:space="0" w:color="000000"/>
            </w:tcBorders>
            <w:vAlign w:val="center"/>
            <w:hideMark/>
          </w:tcPr>
          <w:p w:rsidR="00621824" w:rsidRDefault="00621824">
            <w:pPr>
              <w:widowControl/>
              <w:jc w:val="left"/>
              <w:rPr>
                <w:rFonts w:ascii="宋体" w:hAnsi="宋体" w:cs="宋体"/>
                <w:kern w:val="0"/>
                <w:sz w:val="24"/>
                <w:szCs w:val="24"/>
              </w:rPr>
            </w:pP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占基金总份额比例</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0.000586%</w:t>
            </w:r>
          </w:p>
        </w:tc>
        <w:tc>
          <w:tcPr>
            <w:tcW w:w="1000" w:type="pct"/>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sidRPr="0006257B">
              <w:rPr>
                <w:rFonts w:hAnsi="Calibri" w:hint="eastAsia"/>
                <w:color w:val="000000"/>
              </w:rPr>
              <w:t>0.000001%</w:t>
            </w:r>
          </w:p>
        </w:tc>
      </w:tr>
      <w:tr w:rsidR="00621824" w:rsidRPr="0006257B">
        <w:trPr>
          <w:divId w:val="1983997582"/>
        </w:trPr>
        <w:tc>
          <w:tcPr>
            <w:tcW w:w="0" w:type="auto"/>
            <w:gridSpan w:val="2"/>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募集期限届满基金是否符合法律法规规定的办理基金备案手续的条件</w:t>
            </w:r>
          </w:p>
        </w:tc>
        <w:tc>
          <w:tcPr>
            <w:tcW w:w="0" w:type="auto"/>
            <w:gridSpan w:val="3"/>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Pr>
                <w:rFonts w:hint="eastAsia"/>
              </w:rPr>
              <w:t>是</w:t>
            </w:r>
          </w:p>
        </w:tc>
      </w:tr>
      <w:tr w:rsidR="00621824" w:rsidRPr="0006257B">
        <w:trPr>
          <w:divId w:val="1983997582"/>
        </w:trPr>
        <w:tc>
          <w:tcPr>
            <w:tcW w:w="0" w:type="auto"/>
            <w:gridSpan w:val="2"/>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left"/>
              <w:wordWrap w:val="0"/>
            </w:pPr>
            <w:r>
              <w:rPr>
                <w:rFonts w:hint="eastAsia"/>
              </w:rPr>
              <w:t>向中国证监会办理基金备案手续获得书面确认的日期</w:t>
            </w:r>
          </w:p>
        </w:tc>
        <w:tc>
          <w:tcPr>
            <w:tcW w:w="0" w:type="auto"/>
            <w:gridSpan w:val="3"/>
            <w:tcBorders>
              <w:top w:val="single" w:sz="8" w:space="0" w:color="000000"/>
              <w:left w:val="single" w:sz="8" w:space="0" w:color="000000"/>
              <w:bottom w:val="single" w:sz="6" w:space="0" w:color="000000"/>
              <w:right w:val="single" w:sz="8" w:space="0" w:color="000000"/>
            </w:tcBorders>
            <w:vAlign w:val="center"/>
            <w:hideMark/>
          </w:tcPr>
          <w:p w:rsidR="00621824" w:rsidRDefault="00621824">
            <w:pPr>
              <w:pStyle w:val="biaogecenter"/>
              <w:wordWrap w:val="0"/>
            </w:pPr>
            <w:r>
              <w:rPr>
                <w:rFonts w:hint="eastAsia"/>
              </w:rPr>
              <w:t>2024年08月16日</w:t>
            </w:r>
          </w:p>
        </w:tc>
      </w:tr>
    </w:tbl>
    <w:p w:rsidR="00621824" w:rsidRDefault="00621824">
      <w:pPr>
        <w:pStyle w:val="neirong"/>
        <w:divId w:val="1983997582"/>
        <w:rPr>
          <w:rFonts w:hint="eastAsia"/>
        </w:rPr>
      </w:pPr>
      <w:r>
        <w:rPr>
          <w:rFonts w:hint="eastAsia"/>
        </w:rPr>
        <w:t>注：（1）本次基金发售中发生的与基金有关的法定信息披露费、会计师费和律师费等发行费用由基金管理人承担，不从基金财产中支付。</w:t>
      </w:r>
      <w:r>
        <w:rPr>
          <w:rFonts w:hint="eastAsia"/>
        </w:rPr>
        <w:br/>
        <w:t>（2）本基金管理人高级管理人员、基金投资和研究部门负责人未认购本基金。</w:t>
      </w:r>
      <w:r>
        <w:rPr>
          <w:rFonts w:hint="eastAsia"/>
        </w:rPr>
        <w:br/>
        <w:t>（3）本基金的基金经理未认购本基金。</w:t>
      </w:r>
    </w:p>
    <w:p w:rsidR="00621824" w:rsidRDefault="00621824">
      <w:pPr>
        <w:widowControl/>
        <w:jc w:val="left"/>
        <w:rPr>
          <w:rFonts w:ascii="宋体" w:hAnsi="宋体" w:cs="宋体" w:hint="eastAsia"/>
          <w:kern w:val="0"/>
          <w:sz w:val="24"/>
          <w:szCs w:val="24"/>
        </w:rPr>
      </w:pPr>
    </w:p>
    <w:p w:rsidR="00621824" w:rsidRDefault="00621824">
      <w:pPr>
        <w:pStyle w:val="dazhangjie"/>
        <w:rPr>
          <w:rFonts w:hint="eastAsia"/>
        </w:rPr>
      </w:pPr>
      <w:r>
        <w:rPr>
          <w:rFonts w:hint="eastAsia"/>
          <w:b/>
          <w:bCs/>
        </w:rPr>
        <w:t>3 其他需要提示的事项</w:t>
      </w:r>
    </w:p>
    <w:p w:rsidR="00621824" w:rsidRDefault="00621824">
      <w:pPr>
        <w:pStyle w:val="neirong"/>
        <w:rPr>
          <w:rFonts w:hint="eastAsia"/>
        </w:rPr>
      </w:pPr>
      <w:r>
        <w:rPr>
          <w:rFonts w:hint="eastAsia"/>
        </w:rPr>
        <w:lastRenderedPageBreak/>
        <w:t>  （1）基金份额持有人可以到销售机构的网点进行交易确认单的查询和打印，也可以通过本公司指定网站（www.stocke.com.cn）或客户服务中心电话（95345）查询交易确认情况。</w:t>
      </w:r>
      <w:r>
        <w:rPr>
          <w:rFonts w:hint="eastAsia"/>
        </w:rPr>
        <w:br/>
        <w:t>  （2）本基金的申购、赎回自基金合同生效之日后不超过3个月的时间起开始办理。在确定本基金开放申购与赎回的开始时间日期后，基金管理人将在申购赎回开放日前依照《公开募集证券投资基金信息披露管理办法》的有关规定在规定媒介上公告申购与赎回的开始时间。</w:t>
      </w:r>
      <w:r>
        <w:rPr>
          <w:rFonts w:hint="eastAsia"/>
        </w:rPr>
        <w:br/>
        <w:t>  </w:t>
      </w:r>
      <w:r>
        <w:rPr>
          <w:rFonts w:hint="eastAsia"/>
        </w:rPr>
        <w:br/>
        <w:t>    风险提示：</w:t>
      </w:r>
      <w:r>
        <w:rPr>
          <w:rFonts w:hint="eastAsia"/>
        </w:rPr>
        <w:br/>
        <w:t>    本基金管理人承诺以诚实信用、勤勉尽责的原则管理和运用基金资产，但不保证基金一定盈利，也不保证最低收益。基金的过往业绩并不代表其未来表现，敬请投资者注意投资风险。投资者应当认真阅读本基金的《基金合同》、《招募说明书》、《基金产品资料概要》等法律文件，自主判断基金的投资价值，自主做出投资决策，自行承担投资风险。</w:t>
      </w:r>
      <w:r>
        <w:rPr>
          <w:rFonts w:hint="eastAsia"/>
        </w:rPr>
        <w:br/>
        <w:t>    </w:t>
      </w:r>
      <w:r>
        <w:rPr>
          <w:rFonts w:hint="eastAsia"/>
        </w:rPr>
        <w:br/>
        <w:t>    特此公告。</w:t>
      </w:r>
      <w:r>
        <w:rPr>
          <w:rFonts w:hint="eastAsia"/>
        </w:rPr>
        <w:br/>
        <w:t>  </w:t>
      </w:r>
    </w:p>
    <w:p w:rsidR="00621824" w:rsidRDefault="00621824">
      <w:pPr>
        <w:widowControl/>
        <w:jc w:val="left"/>
        <w:rPr>
          <w:rFonts w:ascii="宋体" w:hAnsi="宋体" w:cs="宋体" w:hint="eastAsia"/>
          <w:kern w:val="0"/>
          <w:sz w:val="24"/>
          <w:szCs w:val="24"/>
        </w:rPr>
      </w:pPr>
    </w:p>
    <w:p w:rsidR="00621824" w:rsidRDefault="00621824">
      <w:pPr>
        <w:pStyle w:val="biaogeright"/>
        <w:rPr>
          <w:rFonts w:hint="eastAsia"/>
        </w:rPr>
      </w:pPr>
      <w:r w:rsidRPr="0006257B">
        <w:rPr>
          <w:rFonts w:hAnsi="Calibri" w:hint="eastAsia"/>
          <w:b/>
          <w:bCs/>
          <w:color w:val="000000"/>
        </w:rPr>
        <w:t>浙江浙商证券资产管理有限公司</w:t>
      </w:r>
    </w:p>
    <w:p w:rsidR="00621824" w:rsidRDefault="00621824">
      <w:pPr>
        <w:pStyle w:val="biaogeright"/>
        <w:rPr>
          <w:rFonts w:hint="eastAsia"/>
        </w:rPr>
      </w:pPr>
      <w:r w:rsidRPr="0006257B">
        <w:rPr>
          <w:rFonts w:hAnsi="Calibri" w:hint="eastAsia"/>
          <w:b/>
          <w:bCs/>
          <w:color w:val="000000"/>
        </w:rPr>
        <w:t>2024年08月17日</w:t>
      </w:r>
    </w:p>
    <w:p w:rsidR="00621824" w:rsidRDefault="00621824">
      <w:pPr>
        <w:widowControl/>
        <w:spacing w:after="240"/>
        <w:jc w:val="left"/>
        <w:rPr>
          <w:rFonts w:ascii="宋体" w:hAnsi="宋体" w:cs="宋体" w:hint="eastAsia"/>
          <w:kern w:val="0"/>
          <w:sz w:val="24"/>
          <w:szCs w:val="24"/>
        </w:rPr>
      </w:pPr>
      <w:r>
        <w:rPr>
          <w:rFonts w:ascii="宋体" w:hAnsi="宋体" w:cs="宋体" w:hint="eastAsia"/>
          <w:kern w:val="0"/>
          <w:sz w:val="24"/>
          <w:szCs w:val="24"/>
        </w:rPr>
        <w:br/>
      </w:r>
    </w:p>
    <w:sectPr w:rsidR="00621824">
      <w:pgSz w:w="11926" w:h="15840"/>
      <w:pgMar w:top="1418" w:right="1418" w:bottom="853"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824" w:rsidRDefault="00621824" w:rsidP="0006257B">
      <w:r>
        <w:separator/>
      </w:r>
    </w:p>
  </w:endnote>
  <w:endnote w:type="continuationSeparator" w:id="0">
    <w:p w:rsidR="00621824" w:rsidRDefault="00621824" w:rsidP="000625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824" w:rsidRDefault="00621824" w:rsidP="0006257B">
      <w:r>
        <w:separator/>
      </w:r>
    </w:p>
  </w:footnote>
  <w:footnote w:type="continuationSeparator" w:id="0">
    <w:p w:rsidR="00621824" w:rsidRDefault="00621824" w:rsidP="000625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noPunctuationKerning/>
  <w:characterSpacingControl w:val="compressPunctuation"/>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257B"/>
    <w:rsid w:val="0006257B"/>
    <w:rsid w:val="005B39B1"/>
    <w:rsid w:val="006218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fy">
    <w:name w:val="msonormalfy"/>
    <w:qFormat/>
    <w:pPr>
      <w:widowControl w:val="0"/>
      <w:jc w:val="center"/>
    </w:pPr>
    <w:rPr>
      <w:rFonts w:cs="Times New Roman"/>
      <w:kern w:val="2"/>
      <w:sz w:val="33"/>
      <w:szCs w:val="22"/>
    </w:rPr>
  </w:style>
  <w:style w:type="paragraph" w:customStyle="1" w:styleId="msonormalnone">
    <w:name w:val="msonormal_none"/>
    <w:qFormat/>
    <w:pPr>
      <w:widowControl w:val="0"/>
    </w:pPr>
    <w:rPr>
      <w:rFonts w:cs="Times New Roman"/>
      <w:kern w:val="2"/>
      <w:sz w:val="21"/>
      <w:szCs w:val="22"/>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Pr>
      <w:rFonts w:ascii="Times New Roman" w:hAnsi="Times New Roman" w:cs="Times New Roman" w:hint="default"/>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link w:val="a4"/>
    <w:uiPriority w:val="99"/>
    <w:locked/>
    <w:rPr>
      <w:rFonts w:ascii="Times New Roman" w:hAnsi="Times New Roman" w:cs="Times New Roman" w:hint="default"/>
      <w:sz w:val="18"/>
      <w:szCs w:val="18"/>
    </w:rPr>
  </w:style>
  <w:style w:type="paragraph" w:customStyle="1" w:styleId="msonormal1">
    <w:name w:val="msonormal1"/>
    <w:qFormat/>
    <w:pPr>
      <w:widowControl w:val="0"/>
      <w:jc w:val="both"/>
    </w:pPr>
    <w:rPr>
      <w:rFonts w:cs="Times New Roman"/>
      <w:kern w:val="2"/>
      <w:sz w:val="21"/>
      <w:szCs w:val="22"/>
    </w:rPr>
  </w:style>
  <w:style w:type="paragraph" w:customStyle="1" w:styleId="dazhangjie">
    <w:name w:val="dazhangjie"/>
    <w:basedOn w:val="a"/>
    <w:pPr>
      <w:widowControl/>
      <w:autoSpaceDE w:val="0"/>
      <w:autoSpaceDN w:val="0"/>
      <w:adjustRightInd w:val="0"/>
      <w:spacing w:before="30" w:line="288" w:lineRule="auto"/>
      <w:ind w:left="15"/>
      <w:jc w:val="left"/>
      <w:outlineLvl w:val="0"/>
    </w:pPr>
    <w:rPr>
      <w:rFonts w:ascii="宋体" w:hAnsi="宋体" w:cs="宋体"/>
      <w:kern w:val="0"/>
      <w:sz w:val="24"/>
      <w:szCs w:val="24"/>
    </w:rPr>
  </w:style>
  <w:style w:type="paragraph" w:customStyle="1" w:styleId="zhangjiep">
    <w:name w:val="zhangjie_p"/>
    <w:basedOn w:val="a"/>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zhangjiep2">
    <w:name w:val="zhangjie_p2"/>
    <w:basedOn w:val="a"/>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zhongyaotishi">
    <w:name w:val="zhongyaotishi"/>
    <w:basedOn w:val="a"/>
    <w:pPr>
      <w:widowControl/>
      <w:autoSpaceDE w:val="0"/>
      <w:autoSpaceDN w:val="0"/>
      <w:adjustRightInd w:val="0"/>
      <w:spacing w:before="30" w:line="288" w:lineRule="auto"/>
      <w:ind w:left="15" w:firstLine="482"/>
      <w:jc w:val="left"/>
    </w:pPr>
    <w:rPr>
      <w:rFonts w:ascii="宋体" w:hAnsi="宋体" w:cs="宋体"/>
      <w:kern w:val="0"/>
      <w:sz w:val="24"/>
      <w:szCs w:val="24"/>
    </w:rPr>
  </w:style>
  <w:style w:type="paragraph" w:customStyle="1" w:styleId="biaogeleft">
    <w:name w:val="biaoge_left"/>
    <w:basedOn w:val="a"/>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neirong">
    <w:name w:val="neirong"/>
    <w:basedOn w:val="a"/>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hide">
    <w:name w:val="hide"/>
    <w:basedOn w:val="a"/>
    <w:pPr>
      <w:widowControl/>
      <w:spacing w:before="100" w:beforeAutospacing="1" w:after="100" w:afterAutospacing="1"/>
      <w:jc w:val="left"/>
    </w:pPr>
    <w:rPr>
      <w:rFonts w:ascii="宋体" w:hAnsi="宋体" w:cs="宋体"/>
      <w:vanish/>
      <w:kern w:val="0"/>
      <w:sz w:val="24"/>
      <w:szCs w:val="24"/>
    </w:rPr>
  </w:style>
  <w:style w:type="paragraph" w:customStyle="1" w:styleId="show">
    <w:name w:val="show"/>
    <w:basedOn w:val="a"/>
    <w:pPr>
      <w:widowControl/>
      <w:spacing w:before="100" w:beforeAutospacing="1" w:after="100" w:afterAutospacing="1"/>
      <w:jc w:val="left"/>
    </w:pPr>
    <w:rPr>
      <w:rFonts w:ascii="宋体" w:hAnsi="宋体" w:cs="宋体"/>
      <w:kern w:val="0"/>
      <w:sz w:val="24"/>
      <w:szCs w:val="24"/>
    </w:rPr>
  </w:style>
  <w:style w:type="paragraph" w:customStyle="1" w:styleId="biaogeright1">
    <w:name w:val="biaoge_right1"/>
    <w:basedOn w:val="a"/>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left1">
    <w:name w:val="biaoge_left1"/>
    <w:basedOn w:val="a"/>
    <w:pPr>
      <w:widowControl/>
      <w:autoSpaceDE w:val="0"/>
      <w:autoSpaceDN w:val="0"/>
      <w:adjustRightInd w:val="0"/>
      <w:spacing w:before="29" w:line="288" w:lineRule="auto"/>
      <w:ind w:left="15"/>
      <w:jc w:val="left"/>
    </w:pPr>
    <w:rPr>
      <w:rFonts w:ascii="宋体" w:hAnsi="宋体" w:cs="宋体"/>
      <w:kern w:val="0"/>
      <w:sz w:val="24"/>
      <w:szCs w:val="24"/>
    </w:rPr>
  </w:style>
  <w:style w:type="paragraph" w:styleId="a5">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8399758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1377</Characters>
  <Application>Microsoft Office Word</Application>
  <DocSecurity>4</DocSecurity>
  <Lines>11</Lines>
  <Paragraphs>3</Paragraphs>
  <ScaleCrop>false</ScaleCrop>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ZYQ</dc:creator>
  <cp:keywords/>
  <dc:description/>
  <cp:lastModifiedBy>ZHONGM</cp:lastModifiedBy>
  <cp:revision>2</cp:revision>
  <dcterms:created xsi:type="dcterms:W3CDTF">2024-08-16T16:01:00Z</dcterms:created>
  <dcterms:modified xsi:type="dcterms:W3CDTF">2024-08-16T16:01:00Z</dcterms:modified>
</cp:coreProperties>
</file>