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1F" w:rsidRDefault="007E538D">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管理有限公司关于旗下基金增加华鑫证券有限责任公司为销售机构并开通基金定期定额投资业务和基金转换业务以及参与其费率优惠活动的公告</w:t>
      </w:r>
    </w:p>
    <w:p w:rsidR="00627B1F" w:rsidRDefault="007E538D" w:rsidP="007E538D">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为更好地满足广大投资者的理财需求，根据湘财基金管理有限公司（以下简称“本公司”）与华鑫证券有限责任公司（以下简称“华鑫证券”）签署的基金销售服务协议，自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8</w:t>
      </w:r>
      <w:r>
        <w:rPr>
          <w:rFonts w:asciiTheme="minorEastAsia" w:hAnsiTheme="minorEastAsia" w:hint="eastAsia"/>
          <w:color w:val="000000" w:themeColor="text1"/>
        </w:rPr>
        <w:t>月</w:t>
      </w:r>
      <w:r>
        <w:rPr>
          <w:rFonts w:asciiTheme="minorEastAsia" w:hAnsiTheme="minorEastAsia" w:hint="eastAsia"/>
          <w:color w:val="000000" w:themeColor="text1"/>
        </w:rPr>
        <w:t>15</w:t>
      </w:r>
      <w:r>
        <w:rPr>
          <w:rFonts w:asciiTheme="minorEastAsia" w:hAnsiTheme="minorEastAsia" w:hint="eastAsia"/>
          <w:color w:val="000000" w:themeColor="text1"/>
        </w:rPr>
        <w:t>日起，</w:t>
      </w:r>
      <w:r>
        <w:rPr>
          <w:rFonts w:asciiTheme="minorEastAsia" w:hAnsiTheme="minorEastAsia"/>
          <w:color w:val="000000" w:themeColor="text1"/>
        </w:rPr>
        <w:t>华鑫证券</w:t>
      </w:r>
      <w:r>
        <w:rPr>
          <w:rFonts w:asciiTheme="minorEastAsia" w:hAnsiTheme="minorEastAsia" w:hint="eastAsia"/>
          <w:color w:val="000000" w:themeColor="text1"/>
        </w:rPr>
        <w:t>将代理销售本公司旗下基金，并开通定期定额投资业务和基金转换业务。现将有关事项公告如下：</w:t>
      </w:r>
    </w:p>
    <w:p w:rsidR="00627B1F" w:rsidRDefault="007E538D">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华鑫证券</w:t>
      </w:r>
      <w:r>
        <w:rPr>
          <w:rFonts w:asciiTheme="minorEastAsia" w:hAnsiTheme="minorEastAsia" w:hint="eastAsia"/>
          <w:b/>
          <w:bCs/>
          <w:color w:val="000000" w:themeColor="text1"/>
          <w:sz w:val="27"/>
          <w:szCs w:val="27"/>
        </w:rPr>
        <w:t>为销售机构</w:t>
      </w:r>
    </w:p>
    <w:p w:rsidR="00627B1F" w:rsidRDefault="007E538D" w:rsidP="007E538D">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43" w:type="dxa"/>
        <w:jc w:val="center"/>
        <w:tblLook w:val="04A0"/>
      </w:tblPr>
      <w:tblGrid>
        <w:gridCol w:w="1089"/>
        <w:gridCol w:w="1611"/>
        <w:gridCol w:w="5243"/>
      </w:tblGrid>
      <w:tr w:rsidR="00627B1F">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007012</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湘财长顺混合型发起式证券投资基金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007013</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2</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3</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4</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009907</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湘财长泽灵活配置混合型证券投资基金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009908</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5</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6</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010810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湘财久盈中短债债券型证券投资基金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010811</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7</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011550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湘财创新成长一年持有期混合型证券投资基金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011551</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551"/>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8</w:t>
            </w:r>
          </w:p>
        </w:tc>
        <w:tc>
          <w:tcPr>
            <w:tcW w:w="1611" w:type="dxa"/>
            <w:tcBorders>
              <w:top w:val="nil"/>
              <w:left w:val="nil"/>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013623</w:t>
            </w:r>
          </w:p>
        </w:tc>
        <w:tc>
          <w:tcPr>
            <w:tcW w:w="5243" w:type="dxa"/>
            <w:tcBorders>
              <w:top w:val="nil"/>
              <w:left w:val="nil"/>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湘财周期轮动一年持有期混合型证券投资基金</w:t>
            </w: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9</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013689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湘财久盛</w:t>
            </w:r>
            <w:r>
              <w:rPr>
                <w:rFonts w:asciiTheme="minorEastAsia" w:eastAsiaTheme="minorEastAsia" w:hAnsiTheme="minorEastAsia" w:cs="Arial"/>
              </w:rPr>
              <w:t>39</w:t>
            </w:r>
            <w:r>
              <w:rPr>
                <w:rFonts w:asciiTheme="minorEastAsia" w:eastAsiaTheme="minorEastAsia" w:hAnsiTheme="minorEastAsia" w:cs="Arial"/>
              </w:rPr>
              <w:t>个月定期开放债券型证券投资基金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013690</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10</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016029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湘财成长优选一年持有期混合型证券投资基金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016030</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11</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湘财研究精选一年持有期混合型证券投资基金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12</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13</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018930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湘财均衡甄选混合型证券投资基金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018931</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t>14</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湘财鑫利纯债债券型证券投资基金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Theme="minorEastAsia" w:eastAsiaTheme="minorEastAsia" w:hAnsiTheme="minorEastAsia" w:cs="Arial"/>
              </w:rPr>
            </w:pPr>
          </w:p>
        </w:tc>
      </w:tr>
      <w:tr w:rsidR="00627B1F">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jc w:val="center"/>
              <w:rPr>
                <w:rFonts w:asciiTheme="minorEastAsia" w:eastAsiaTheme="minorEastAsia" w:hAnsiTheme="minorEastAsia" w:cs="Arial"/>
              </w:rPr>
            </w:pPr>
            <w:r>
              <w:rPr>
                <w:rFonts w:asciiTheme="minorEastAsia" w:eastAsiaTheme="minorEastAsia" w:hAnsiTheme="minorEastAsia" w:cs="Arial"/>
              </w:rPr>
              <w:lastRenderedPageBreak/>
              <w:t>15</w:t>
            </w: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627B1F" w:rsidRDefault="007E538D">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627B1F">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vAlign w:val="bottom"/>
          </w:tcPr>
          <w:p w:rsidR="00627B1F" w:rsidRDefault="007E538D">
            <w:pP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243" w:type="dxa"/>
            <w:vMerge/>
            <w:tcBorders>
              <w:top w:val="nil"/>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r>
      <w:tr w:rsidR="00627B1F">
        <w:trPr>
          <w:trHeight w:val="252"/>
          <w:jc w:val="center"/>
        </w:trPr>
        <w:tc>
          <w:tcPr>
            <w:tcW w:w="1089" w:type="dxa"/>
            <w:vMerge w:val="restart"/>
            <w:tcBorders>
              <w:top w:val="nil"/>
              <w:left w:val="single" w:sz="4" w:space="0" w:color="auto"/>
              <w:right w:val="single" w:sz="4" w:space="0" w:color="auto"/>
            </w:tcBorders>
            <w:vAlign w:val="center"/>
          </w:tcPr>
          <w:p w:rsidR="00627B1F" w:rsidRDefault="007E538D">
            <w:pPr>
              <w:jc w:val="center"/>
              <w:rPr>
                <w:rFonts w:ascii="Arial" w:hAnsi="Arial" w:cs="Arial"/>
                <w:sz w:val="20"/>
                <w:szCs w:val="20"/>
              </w:rPr>
            </w:pPr>
            <w:r>
              <w:rPr>
                <w:rFonts w:asciiTheme="minorEastAsia" w:eastAsiaTheme="minorEastAsia" w:hAnsiTheme="minorEastAsia" w:cs="Arial"/>
              </w:rPr>
              <w:t>16</w:t>
            </w:r>
          </w:p>
        </w:tc>
        <w:tc>
          <w:tcPr>
            <w:tcW w:w="1611" w:type="dxa"/>
            <w:tcBorders>
              <w:top w:val="nil"/>
              <w:left w:val="nil"/>
              <w:bottom w:val="single" w:sz="4" w:space="0" w:color="auto"/>
              <w:right w:val="single" w:sz="4" w:space="0" w:color="auto"/>
            </w:tcBorders>
            <w:shd w:val="clear" w:color="auto" w:fill="auto"/>
            <w:noWrap/>
          </w:tcPr>
          <w:p w:rsidR="00627B1F" w:rsidRDefault="007E538D">
            <w:pPr>
              <w:rPr>
                <w:rFonts w:asciiTheme="minorEastAsia" w:eastAsiaTheme="minorEastAsia" w:hAnsiTheme="minorEastAsia" w:cs="Arial"/>
              </w:rPr>
            </w:pPr>
            <w:r>
              <w:t>A</w:t>
            </w:r>
            <w:r>
              <w:t>类</w:t>
            </w:r>
            <w:r>
              <w:t xml:space="preserve"> 020532</w:t>
            </w:r>
          </w:p>
        </w:tc>
        <w:tc>
          <w:tcPr>
            <w:tcW w:w="5243" w:type="dxa"/>
            <w:vMerge w:val="restart"/>
            <w:tcBorders>
              <w:top w:val="nil"/>
              <w:left w:val="single" w:sz="4" w:space="0" w:color="auto"/>
              <w:right w:val="single" w:sz="4" w:space="0" w:color="auto"/>
            </w:tcBorders>
            <w:vAlign w:val="center"/>
          </w:tcPr>
          <w:p w:rsidR="00627B1F" w:rsidRDefault="007E538D">
            <w:pPr>
              <w:rPr>
                <w:rFonts w:ascii="Arial" w:hAnsi="Arial" w:cs="Arial"/>
                <w:sz w:val="20"/>
                <w:szCs w:val="20"/>
              </w:rPr>
            </w:pPr>
            <w:r>
              <w:rPr>
                <w:rFonts w:asciiTheme="minorEastAsia" w:eastAsiaTheme="minorEastAsia" w:hAnsiTheme="minorEastAsia" w:cs="Arial" w:hint="eastAsia"/>
              </w:rPr>
              <w:t>湘财鑫睿债券型证券投资基金</w:t>
            </w:r>
          </w:p>
        </w:tc>
      </w:tr>
      <w:tr w:rsidR="00627B1F">
        <w:trPr>
          <w:trHeight w:val="252"/>
          <w:jc w:val="center"/>
        </w:trPr>
        <w:tc>
          <w:tcPr>
            <w:tcW w:w="1089" w:type="dxa"/>
            <w:vMerge/>
            <w:tcBorders>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tcPr>
          <w:p w:rsidR="00627B1F" w:rsidRDefault="007E538D">
            <w:pPr>
              <w:rPr>
                <w:rFonts w:asciiTheme="minorEastAsia" w:eastAsiaTheme="minorEastAsia" w:hAnsiTheme="minorEastAsia" w:cs="Arial"/>
              </w:rPr>
            </w:pPr>
            <w:r>
              <w:t>C</w:t>
            </w:r>
            <w:r>
              <w:t>类</w:t>
            </w:r>
            <w:r>
              <w:t xml:space="preserve"> 020533</w:t>
            </w:r>
          </w:p>
        </w:tc>
        <w:tc>
          <w:tcPr>
            <w:tcW w:w="5243" w:type="dxa"/>
            <w:vMerge/>
            <w:tcBorders>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r>
      <w:tr w:rsidR="00627B1F">
        <w:trPr>
          <w:trHeight w:val="252"/>
          <w:jc w:val="center"/>
        </w:trPr>
        <w:tc>
          <w:tcPr>
            <w:tcW w:w="1089" w:type="dxa"/>
            <w:vMerge w:val="restart"/>
            <w:tcBorders>
              <w:top w:val="single" w:sz="4" w:space="0" w:color="auto"/>
              <w:left w:val="single" w:sz="4" w:space="0" w:color="auto"/>
              <w:right w:val="single" w:sz="4" w:space="0" w:color="auto"/>
            </w:tcBorders>
            <w:vAlign w:val="center"/>
          </w:tcPr>
          <w:p w:rsidR="00627B1F" w:rsidRDefault="007E538D">
            <w:pPr>
              <w:jc w:val="center"/>
              <w:rPr>
                <w:rFonts w:ascii="Arial" w:hAnsi="Arial" w:cs="Arial"/>
                <w:sz w:val="20"/>
                <w:szCs w:val="20"/>
              </w:rPr>
            </w:pPr>
            <w:r>
              <w:rPr>
                <w:rFonts w:asciiTheme="minorEastAsia" w:eastAsiaTheme="minorEastAsia" w:hAnsiTheme="minorEastAsia" w:cs="Arial"/>
              </w:rPr>
              <w:t>17</w:t>
            </w:r>
          </w:p>
        </w:tc>
        <w:tc>
          <w:tcPr>
            <w:tcW w:w="1611" w:type="dxa"/>
            <w:tcBorders>
              <w:top w:val="single" w:sz="4" w:space="0" w:color="auto"/>
              <w:left w:val="nil"/>
              <w:bottom w:val="single" w:sz="4" w:space="0" w:color="auto"/>
              <w:right w:val="single" w:sz="4" w:space="0" w:color="auto"/>
            </w:tcBorders>
            <w:shd w:val="clear" w:color="auto" w:fill="auto"/>
            <w:noWrap/>
          </w:tcPr>
          <w:p w:rsidR="00627B1F" w:rsidRDefault="007E538D">
            <w:r>
              <w:t>A</w:t>
            </w:r>
            <w:r>
              <w:t>类</w:t>
            </w:r>
            <w:r>
              <w:t xml:space="preserve"> 020816</w:t>
            </w:r>
          </w:p>
        </w:tc>
        <w:tc>
          <w:tcPr>
            <w:tcW w:w="5243" w:type="dxa"/>
            <w:vMerge w:val="restart"/>
            <w:tcBorders>
              <w:top w:val="single" w:sz="4" w:space="0" w:color="auto"/>
              <w:left w:val="single" w:sz="4" w:space="0" w:color="auto"/>
              <w:right w:val="single" w:sz="4" w:space="0" w:color="auto"/>
            </w:tcBorders>
            <w:vAlign w:val="center"/>
          </w:tcPr>
          <w:p w:rsidR="00627B1F" w:rsidRDefault="007E538D">
            <w:pPr>
              <w:rPr>
                <w:rFonts w:ascii="Arial" w:hAnsi="Arial" w:cs="Arial"/>
                <w:sz w:val="20"/>
                <w:szCs w:val="20"/>
              </w:rPr>
            </w:pPr>
            <w:r>
              <w:rPr>
                <w:rFonts w:asciiTheme="minorEastAsia" w:eastAsiaTheme="minorEastAsia" w:hAnsiTheme="minorEastAsia" w:cs="Arial" w:hint="eastAsia"/>
              </w:rPr>
              <w:t>湘财红利量化选股混合型证券投资基金</w:t>
            </w:r>
          </w:p>
        </w:tc>
      </w:tr>
      <w:tr w:rsidR="00627B1F">
        <w:trPr>
          <w:trHeight w:val="252"/>
          <w:jc w:val="center"/>
        </w:trPr>
        <w:tc>
          <w:tcPr>
            <w:tcW w:w="1089" w:type="dxa"/>
            <w:vMerge/>
            <w:tcBorders>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auto"/>
            <w:noWrap/>
          </w:tcPr>
          <w:p w:rsidR="00627B1F" w:rsidRDefault="007E538D">
            <w:r>
              <w:t>C</w:t>
            </w:r>
            <w:r>
              <w:t>类</w:t>
            </w:r>
            <w:r>
              <w:t xml:space="preserve"> 020817</w:t>
            </w:r>
          </w:p>
        </w:tc>
        <w:tc>
          <w:tcPr>
            <w:tcW w:w="5243" w:type="dxa"/>
            <w:vMerge/>
            <w:tcBorders>
              <w:left w:val="single" w:sz="4" w:space="0" w:color="auto"/>
              <w:bottom w:val="single" w:sz="4" w:space="0" w:color="auto"/>
              <w:right w:val="single" w:sz="4" w:space="0" w:color="auto"/>
            </w:tcBorders>
            <w:vAlign w:val="center"/>
          </w:tcPr>
          <w:p w:rsidR="00627B1F" w:rsidRDefault="00627B1F">
            <w:pPr>
              <w:rPr>
                <w:rFonts w:ascii="Arial" w:hAnsi="Arial" w:cs="Arial"/>
                <w:sz w:val="20"/>
                <w:szCs w:val="20"/>
              </w:rPr>
            </w:pPr>
          </w:p>
        </w:tc>
      </w:tr>
    </w:tbl>
    <w:p w:rsidR="00627B1F" w:rsidRDefault="007E538D">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投资人可按照华鑫证券提供的方式办理上述基金的开户、申购、赎回、定期定额投资业务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华鑫证券</w:t>
      </w:r>
      <w:r>
        <w:rPr>
          <w:rFonts w:asciiTheme="minorEastAsia" w:hAnsiTheme="minorEastAsia" w:hint="eastAsia"/>
          <w:bCs/>
          <w:color w:val="000000" w:themeColor="text1"/>
        </w:rPr>
        <w:t>的相关规定。</w:t>
      </w:r>
    </w:p>
    <w:p w:rsidR="00627B1F" w:rsidRDefault="007E538D">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627B1F" w:rsidRDefault="007E538D">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销售机构名称：华鑫证券有限责任公司</w:t>
      </w:r>
    </w:p>
    <w:p w:rsidR="00627B1F" w:rsidRDefault="007E538D">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注册地址：深圳市福田区香蜜湖街道东海社区深南大道</w:t>
      </w:r>
      <w:r>
        <w:rPr>
          <w:rFonts w:asciiTheme="minorEastAsia" w:hAnsiTheme="minorEastAsia"/>
        </w:rPr>
        <w:t>7888</w:t>
      </w:r>
      <w:r>
        <w:rPr>
          <w:rFonts w:asciiTheme="minorEastAsia" w:hAnsiTheme="minorEastAsia"/>
        </w:rPr>
        <w:t>号东海国际中心一期</w:t>
      </w:r>
      <w:r>
        <w:rPr>
          <w:rFonts w:asciiTheme="minorEastAsia" w:hAnsiTheme="minorEastAsia"/>
        </w:rPr>
        <w:t>A</w:t>
      </w:r>
      <w:r>
        <w:rPr>
          <w:rFonts w:asciiTheme="minorEastAsia" w:hAnsiTheme="minorEastAsia"/>
        </w:rPr>
        <w:t>栋</w:t>
      </w:r>
      <w:r>
        <w:rPr>
          <w:rFonts w:asciiTheme="minorEastAsia" w:hAnsiTheme="minorEastAsia"/>
        </w:rPr>
        <w:t>2301A</w:t>
      </w:r>
    </w:p>
    <w:p w:rsidR="00627B1F" w:rsidRDefault="007E538D">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法定代表人：俞洋</w:t>
      </w:r>
    </w:p>
    <w:p w:rsidR="00627B1F" w:rsidRDefault="007E538D">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95323</w:t>
      </w:r>
    </w:p>
    <w:p w:rsidR="00627B1F" w:rsidRDefault="007E538D">
      <w:pPr>
        <w:shd w:val="clear" w:color="auto" w:fill="FFFFFF"/>
        <w:spacing w:line="360" w:lineRule="auto"/>
        <w:ind w:firstLine="480"/>
        <w:jc w:val="both"/>
      </w:pPr>
      <w:r>
        <w:rPr>
          <w:rFonts w:asciiTheme="minorEastAsia" w:hAnsiTheme="minorEastAsia" w:hint="eastAsia"/>
        </w:rPr>
        <w:t>网址：</w:t>
      </w:r>
      <w:r>
        <w:rPr>
          <w:rFonts w:asciiTheme="minorEastAsia" w:hAnsiTheme="minorEastAsia"/>
        </w:rPr>
        <w:t>www.cfsc.com.cn</w:t>
      </w:r>
    </w:p>
    <w:p w:rsidR="00627B1F" w:rsidRDefault="007E538D">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二、通过华鑫证券开通上述基金定期定额投资业务</w:t>
      </w:r>
    </w:p>
    <w:p w:rsidR="00627B1F" w:rsidRDefault="007E538D">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华鑫证券</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华鑫证券</w:t>
      </w:r>
      <w:r>
        <w:rPr>
          <w:rFonts w:asciiTheme="minorEastAsia" w:hAnsiTheme="minorEastAsia" w:hint="eastAsia"/>
          <w:color w:val="000000" w:themeColor="text1"/>
        </w:rPr>
        <w:t>于约定扣款日在投资者指定的资金账户内自动完成扣款以及基金申购业务。投资者在办理定期定额投资业务的同时，仍然可以进行日常申购、赎回业务。</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1"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4-08-15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3"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华鑫证券</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华鑫证券</w:t>
      </w:r>
      <w:r>
        <w:rPr>
          <w:rFonts w:asciiTheme="minorEastAsia" w:hAnsiTheme="minorEastAsia" w:hint="eastAsia"/>
          <w:color w:val="000000" w:themeColor="text1"/>
        </w:rPr>
        <w:t>定期自动代投资者提交的申</w:t>
      </w:r>
      <w:r>
        <w:rPr>
          <w:rFonts w:asciiTheme="minorEastAsia" w:hAnsiTheme="minorEastAsia" w:hint="eastAsia"/>
          <w:color w:val="000000" w:themeColor="text1"/>
        </w:rPr>
        <w:t>购金额，应与投资者原定期定额投资业务开通申请中填写的申购金额一致。</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4-08-15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5"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08-15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lastRenderedPageBreak/>
        <w:t>4</w:t>
      </w:r>
      <w:r>
        <w:rPr>
          <w:rFonts w:asciiTheme="minorEastAsia" w:hAnsiTheme="minorEastAsia"/>
          <w:bCs/>
          <w:color w:val="000000" w:themeColor="text1"/>
        </w:rPr>
        <w:t>、有关定期定额投资业务的具体业务办理规则和程序请遵循华鑫证券的有关规定。</w:t>
      </w:r>
    </w:p>
    <w:p w:rsidR="00627B1F" w:rsidRDefault="007E538D">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三、通过华鑫证券开通基金转换业务</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7" w:author="ZHONGM" w:date="2024-08-15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8</w:t>
      </w:r>
      <w:r>
        <w:rPr>
          <w:rFonts w:asciiTheme="minorEastAsia" w:hAnsiTheme="minorEastAsia"/>
          <w:bCs/>
          <w:color w:val="000000" w:themeColor="text1"/>
        </w:rPr>
        <w:t>月</w:t>
      </w:r>
      <w:r>
        <w:rPr>
          <w:rFonts w:asciiTheme="minorEastAsia" w:hAnsiTheme="minorEastAsia"/>
          <w:bCs/>
          <w:color w:val="000000" w:themeColor="text1"/>
        </w:rPr>
        <w:t>15</w:t>
      </w:r>
      <w:r>
        <w:rPr>
          <w:rFonts w:asciiTheme="minorEastAsia" w:hAnsiTheme="minorEastAsia"/>
          <w:bCs/>
          <w:color w:val="000000" w:themeColor="text1"/>
        </w:rPr>
        <w:t>日起在</w:t>
      </w:r>
      <w:r>
        <w:rPr>
          <w:rFonts w:asciiTheme="minorEastAsia" w:hAnsiTheme="minorEastAsia"/>
          <w:color w:val="000000" w:themeColor="text1"/>
        </w:rPr>
        <w:t>华鑫证券</w:t>
      </w:r>
      <w:r>
        <w:rPr>
          <w:rFonts w:asciiTheme="minorEastAsia" w:hAnsiTheme="minorEastAsia"/>
          <w:bCs/>
          <w:color w:val="000000" w:themeColor="text1"/>
        </w:rPr>
        <w:t>开通基金之间的转换业务。</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8"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w:t>
      </w:r>
      <w:r>
        <w:rPr>
          <w:rFonts w:asciiTheme="minorEastAsia" w:hAnsiTheme="minorEastAsia" w:hint="eastAsia"/>
          <w:color w:val="000000" w:themeColor="text1"/>
        </w:rPr>
        <w:t>入基金是否设置申购限额。</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9"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华鑫证券</w:t>
      </w:r>
      <w:r>
        <w:rPr>
          <w:rFonts w:asciiTheme="minorEastAsia" w:hAnsiTheme="minorEastAsia" w:hint="eastAsia"/>
          <w:color w:val="000000" w:themeColor="text1"/>
        </w:rPr>
        <w:t>的规定提交业务申请。</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0" w:author="ZHONGM" w:date="2024-08-15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627B1F" w:rsidRDefault="007E538D" w:rsidP="007E538D">
      <w:pPr>
        <w:shd w:val="clear" w:color="auto" w:fill="FFFFFF"/>
        <w:spacing w:line="360" w:lineRule="auto"/>
        <w:ind w:firstLineChars="177" w:firstLine="425"/>
        <w:jc w:val="both"/>
        <w:rPr>
          <w:rFonts w:asciiTheme="minorEastAsia" w:hAnsiTheme="minorEastAsia"/>
          <w:color w:val="000000" w:themeColor="text1"/>
        </w:rPr>
        <w:pPrChange w:id="11" w:author="ZHONGM" w:date="2024-08-15T00:02: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627B1F" w:rsidRDefault="007E538D">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15</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华鑫证券</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华鑫证券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15</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华鑫证券</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华鑫证券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627B1F" w:rsidRDefault="007E538D">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、华鑫证券有限责任公司</w:t>
      </w:r>
    </w:p>
    <w:p w:rsidR="00627B1F" w:rsidRDefault="007E538D">
      <w:pPr>
        <w:shd w:val="clear" w:color="auto" w:fill="FFFFFF"/>
        <w:spacing w:line="360" w:lineRule="auto"/>
        <w:ind w:firstLine="480"/>
        <w:jc w:val="both"/>
      </w:pPr>
      <w:r>
        <w:rPr>
          <w:rFonts w:hint="eastAsia"/>
        </w:rPr>
        <w:t>客户服务电话：</w:t>
      </w:r>
      <w:r>
        <w:t>95323</w:t>
      </w:r>
    </w:p>
    <w:p w:rsidR="00627B1F" w:rsidRDefault="007E538D">
      <w:pPr>
        <w:shd w:val="clear" w:color="auto" w:fill="FFFFFF"/>
        <w:spacing w:line="360" w:lineRule="auto"/>
        <w:ind w:firstLine="480"/>
        <w:jc w:val="both"/>
      </w:pPr>
      <w:r>
        <w:rPr>
          <w:rFonts w:hint="eastAsia"/>
        </w:rPr>
        <w:t>网址：</w:t>
      </w:r>
      <w:r>
        <w:t>www.cfsc.com.cn</w:t>
      </w:r>
    </w:p>
    <w:p w:rsidR="00627B1F" w:rsidRDefault="007E538D">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627B1F" w:rsidRDefault="007E538D">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w:t>
      </w:r>
      <w:r>
        <w:rPr>
          <w:rFonts w:asciiTheme="minorEastAsia" w:hAnsiTheme="minorEastAsia" w:hint="eastAsia"/>
          <w:bCs/>
          <w:color w:val="000000" w:themeColor="text1"/>
        </w:rPr>
        <w:t>方式。但是定期定额投资并不能规避基金投资所固有的风险，不能保证投资人获得收益，也不是替代储蓄的等效理财方式。</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20"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627B1F" w:rsidRDefault="007E538D" w:rsidP="007E538D">
      <w:pPr>
        <w:shd w:val="clear" w:color="auto" w:fill="FFFFFF"/>
        <w:spacing w:line="360" w:lineRule="auto"/>
        <w:ind w:firstLineChars="177" w:firstLine="425"/>
        <w:jc w:val="both"/>
        <w:outlineLvl w:val="4"/>
        <w:rPr>
          <w:rFonts w:asciiTheme="minorEastAsia" w:hAnsiTheme="minorEastAsia"/>
          <w:bCs/>
          <w:color w:val="000000" w:themeColor="text1"/>
        </w:rPr>
        <w:pPrChange w:id="21" w:author="ZHONGM" w:date="2024-08-15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627B1F" w:rsidRDefault="00627B1F">
      <w:pPr>
        <w:shd w:val="clear" w:color="auto" w:fill="FFFFFF"/>
        <w:spacing w:line="360" w:lineRule="auto"/>
        <w:rPr>
          <w:rFonts w:asciiTheme="minorEastAsia" w:hAnsiTheme="minorEastAsia"/>
          <w:color w:val="000000" w:themeColor="text1"/>
        </w:rPr>
      </w:pPr>
    </w:p>
    <w:p w:rsidR="00627B1F" w:rsidRDefault="007E538D">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627B1F" w:rsidRDefault="007E538D">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二○二四年八月十五日</w:t>
      </w:r>
    </w:p>
    <w:sectPr w:rsidR="00627B1F" w:rsidSect="00627B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FB3"/>
    <w:rsid w:val="0003203E"/>
    <w:rsid w:val="00036A10"/>
    <w:rsid w:val="0004338F"/>
    <w:rsid w:val="00061EC0"/>
    <w:rsid w:val="0006309E"/>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605E5"/>
    <w:rsid w:val="00163838"/>
    <w:rsid w:val="00171787"/>
    <w:rsid w:val="00181B00"/>
    <w:rsid w:val="00184679"/>
    <w:rsid w:val="00191A12"/>
    <w:rsid w:val="001926C3"/>
    <w:rsid w:val="00196A3E"/>
    <w:rsid w:val="001B073B"/>
    <w:rsid w:val="001C4F55"/>
    <w:rsid w:val="001D18C1"/>
    <w:rsid w:val="001D5EF7"/>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E81"/>
    <w:rsid w:val="002F7A9B"/>
    <w:rsid w:val="00304A3C"/>
    <w:rsid w:val="0032256C"/>
    <w:rsid w:val="003258CC"/>
    <w:rsid w:val="003336A6"/>
    <w:rsid w:val="00337BF0"/>
    <w:rsid w:val="00341EC5"/>
    <w:rsid w:val="00352FBC"/>
    <w:rsid w:val="00356EEA"/>
    <w:rsid w:val="00360474"/>
    <w:rsid w:val="003644C1"/>
    <w:rsid w:val="00374F49"/>
    <w:rsid w:val="003773CB"/>
    <w:rsid w:val="003817B2"/>
    <w:rsid w:val="00382531"/>
    <w:rsid w:val="003829CC"/>
    <w:rsid w:val="00396D97"/>
    <w:rsid w:val="003A52DF"/>
    <w:rsid w:val="003B1717"/>
    <w:rsid w:val="003B5A92"/>
    <w:rsid w:val="003C5114"/>
    <w:rsid w:val="003F1B8C"/>
    <w:rsid w:val="003F6E2F"/>
    <w:rsid w:val="00402879"/>
    <w:rsid w:val="004067DD"/>
    <w:rsid w:val="00410A88"/>
    <w:rsid w:val="00417FDB"/>
    <w:rsid w:val="004258A2"/>
    <w:rsid w:val="0043422D"/>
    <w:rsid w:val="004346C2"/>
    <w:rsid w:val="00437FD0"/>
    <w:rsid w:val="004403D9"/>
    <w:rsid w:val="00441BF9"/>
    <w:rsid w:val="00444532"/>
    <w:rsid w:val="00462504"/>
    <w:rsid w:val="00470ABF"/>
    <w:rsid w:val="004757A1"/>
    <w:rsid w:val="00483FEF"/>
    <w:rsid w:val="0049178A"/>
    <w:rsid w:val="004B2C6E"/>
    <w:rsid w:val="004B376A"/>
    <w:rsid w:val="004B50D1"/>
    <w:rsid w:val="004C6C88"/>
    <w:rsid w:val="004F3828"/>
    <w:rsid w:val="00510DEB"/>
    <w:rsid w:val="00513C4C"/>
    <w:rsid w:val="005156B8"/>
    <w:rsid w:val="0052078C"/>
    <w:rsid w:val="005215D8"/>
    <w:rsid w:val="00523036"/>
    <w:rsid w:val="00523CF7"/>
    <w:rsid w:val="0053542E"/>
    <w:rsid w:val="005536F3"/>
    <w:rsid w:val="005573DD"/>
    <w:rsid w:val="00564130"/>
    <w:rsid w:val="0057582D"/>
    <w:rsid w:val="005A414E"/>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B1F"/>
    <w:rsid w:val="00627CE9"/>
    <w:rsid w:val="006334ED"/>
    <w:rsid w:val="00654A2A"/>
    <w:rsid w:val="00670BEC"/>
    <w:rsid w:val="00670C35"/>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A5675"/>
    <w:rsid w:val="007B5608"/>
    <w:rsid w:val="007C0E8A"/>
    <w:rsid w:val="007C2A81"/>
    <w:rsid w:val="007D077C"/>
    <w:rsid w:val="007D766C"/>
    <w:rsid w:val="007E538D"/>
    <w:rsid w:val="007E5ECB"/>
    <w:rsid w:val="007F7C89"/>
    <w:rsid w:val="007F7F0B"/>
    <w:rsid w:val="0080548E"/>
    <w:rsid w:val="008143AF"/>
    <w:rsid w:val="008150BE"/>
    <w:rsid w:val="00817CE9"/>
    <w:rsid w:val="00820819"/>
    <w:rsid w:val="00833BAF"/>
    <w:rsid w:val="008422C5"/>
    <w:rsid w:val="008447A9"/>
    <w:rsid w:val="008468E0"/>
    <w:rsid w:val="00863F01"/>
    <w:rsid w:val="0086704F"/>
    <w:rsid w:val="008720B7"/>
    <w:rsid w:val="00872794"/>
    <w:rsid w:val="0087311C"/>
    <w:rsid w:val="00874F38"/>
    <w:rsid w:val="0087767B"/>
    <w:rsid w:val="008813E8"/>
    <w:rsid w:val="00886863"/>
    <w:rsid w:val="00887F5B"/>
    <w:rsid w:val="00894431"/>
    <w:rsid w:val="008A53D2"/>
    <w:rsid w:val="008C26BD"/>
    <w:rsid w:val="008D4112"/>
    <w:rsid w:val="008D6BA7"/>
    <w:rsid w:val="008D7960"/>
    <w:rsid w:val="008E79CB"/>
    <w:rsid w:val="008F23B1"/>
    <w:rsid w:val="008F47BE"/>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91F7F"/>
    <w:rsid w:val="00993D09"/>
    <w:rsid w:val="009A220E"/>
    <w:rsid w:val="009A2C70"/>
    <w:rsid w:val="009B520F"/>
    <w:rsid w:val="009B5E5C"/>
    <w:rsid w:val="009B5E62"/>
    <w:rsid w:val="009C7B38"/>
    <w:rsid w:val="009D196C"/>
    <w:rsid w:val="009D418B"/>
    <w:rsid w:val="00A00CBB"/>
    <w:rsid w:val="00A0172B"/>
    <w:rsid w:val="00A14AED"/>
    <w:rsid w:val="00A20329"/>
    <w:rsid w:val="00A20457"/>
    <w:rsid w:val="00A23781"/>
    <w:rsid w:val="00A36966"/>
    <w:rsid w:val="00A40E87"/>
    <w:rsid w:val="00A452D7"/>
    <w:rsid w:val="00A57AB9"/>
    <w:rsid w:val="00A613DD"/>
    <w:rsid w:val="00A64AA2"/>
    <w:rsid w:val="00A93AF7"/>
    <w:rsid w:val="00A9571E"/>
    <w:rsid w:val="00AA50EE"/>
    <w:rsid w:val="00AA536E"/>
    <w:rsid w:val="00AA752F"/>
    <w:rsid w:val="00AB142F"/>
    <w:rsid w:val="00AB5A39"/>
    <w:rsid w:val="00AB62D0"/>
    <w:rsid w:val="00AB666E"/>
    <w:rsid w:val="00AC378B"/>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A0C86"/>
    <w:rsid w:val="00BB3C89"/>
    <w:rsid w:val="00BD74F2"/>
    <w:rsid w:val="00BE0361"/>
    <w:rsid w:val="00BF7B7C"/>
    <w:rsid w:val="00C01579"/>
    <w:rsid w:val="00C01581"/>
    <w:rsid w:val="00C06F6F"/>
    <w:rsid w:val="00C07FB5"/>
    <w:rsid w:val="00C11ECF"/>
    <w:rsid w:val="00C1640E"/>
    <w:rsid w:val="00C23881"/>
    <w:rsid w:val="00C23F4C"/>
    <w:rsid w:val="00C2480E"/>
    <w:rsid w:val="00C35EC1"/>
    <w:rsid w:val="00C41437"/>
    <w:rsid w:val="00C467C5"/>
    <w:rsid w:val="00C53A8D"/>
    <w:rsid w:val="00C65779"/>
    <w:rsid w:val="00C723CC"/>
    <w:rsid w:val="00C839C9"/>
    <w:rsid w:val="00C93BDF"/>
    <w:rsid w:val="00C93CF5"/>
    <w:rsid w:val="00C96BCB"/>
    <w:rsid w:val="00CB0987"/>
    <w:rsid w:val="00CC2831"/>
    <w:rsid w:val="00CD08D9"/>
    <w:rsid w:val="00CD4FD6"/>
    <w:rsid w:val="00CD6454"/>
    <w:rsid w:val="00CD6875"/>
    <w:rsid w:val="00CE52E6"/>
    <w:rsid w:val="00CE749B"/>
    <w:rsid w:val="00CE7D22"/>
    <w:rsid w:val="00D148D9"/>
    <w:rsid w:val="00D220B0"/>
    <w:rsid w:val="00D24EEA"/>
    <w:rsid w:val="00D273E1"/>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575B"/>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10535"/>
    <w:rsid w:val="00F11CC5"/>
    <w:rsid w:val="00F37574"/>
    <w:rsid w:val="00F607A4"/>
    <w:rsid w:val="00F62AF5"/>
    <w:rsid w:val="00F83533"/>
    <w:rsid w:val="00F84DBD"/>
    <w:rsid w:val="00FA135F"/>
    <w:rsid w:val="00FB097E"/>
    <w:rsid w:val="00FB777D"/>
    <w:rsid w:val="00FC1A3B"/>
    <w:rsid w:val="00FE7219"/>
    <w:rsid w:val="00FF133B"/>
    <w:rsid w:val="00FF1985"/>
    <w:rsid w:val="00FF2D9E"/>
    <w:rsid w:val="00FF4C8A"/>
    <w:rsid w:val="02AC3C75"/>
    <w:rsid w:val="053F4A4C"/>
    <w:rsid w:val="05755AE9"/>
    <w:rsid w:val="062E4C33"/>
    <w:rsid w:val="082C6A45"/>
    <w:rsid w:val="0DD01FD4"/>
    <w:rsid w:val="12600611"/>
    <w:rsid w:val="130A7873"/>
    <w:rsid w:val="21C03B56"/>
    <w:rsid w:val="318E091F"/>
    <w:rsid w:val="443678EB"/>
    <w:rsid w:val="482C6E4A"/>
    <w:rsid w:val="4A504956"/>
    <w:rsid w:val="4FE60304"/>
    <w:rsid w:val="5116119A"/>
    <w:rsid w:val="53B238E4"/>
    <w:rsid w:val="590D7AE9"/>
    <w:rsid w:val="61CF7E2F"/>
    <w:rsid w:val="648206AB"/>
    <w:rsid w:val="70E17439"/>
    <w:rsid w:val="70F63297"/>
    <w:rsid w:val="72111017"/>
    <w:rsid w:val="78F80DC9"/>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1F"/>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27B1F"/>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627B1F"/>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627B1F"/>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627B1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627B1F"/>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627B1F"/>
    <w:rPr>
      <w:b/>
      <w:bCs/>
    </w:rPr>
  </w:style>
  <w:style w:type="table" w:styleId="a9">
    <w:name w:val="Table Grid"/>
    <w:basedOn w:val="a1"/>
    <w:uiPriority w:val="39"/>
    <w:qFormat/>
    <w:rsid w:val="00627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627B1F"/>
    <w:rPr>
      <w:color w:val="0563C1" w:themeColor="hyperlink"/>
      <w:u w:val="single"/>
    </w:rPr>
  </w:style>
  <w:style w:type="character" w:styleId="ab">
    <w:name w:val="annotation reference"/>
    <w:basedOn w:val="a0"/>
    <w:uiPriority w:val="99"/>
    <w:semiHidden/>
    <w:unhideWhenUsed/>
    <w:qFormat/>
    <w:rsid w:val="00627B1F"/>
    <w:rPr>
      <w:sz w:val="21"/>
      <w:szCs w:val="21"/>
    </w:rPr>
  </w:style>
  <w:style w:type="character" w:customStyle="1" w:styleId="Char2">
    <w:name w:val="页眉 Char"/>
    <w:basedOn w:val="a0"/>
    <w:link w:val="a6"/>
    <w:uiPriority w:val="99"/>
    <w:qFormat/>
    <w:rsid w:val="00627B1F"/>
    <w:rPr>
      <w:sz w:val="18"/>
      <w:szCs w:val="18"/>
    </w:rPr>
  </w:style>
  <w:style w:type="character" w:customStyle="1" w:styleId="Char1">
    <w:name w:val="页脚 Char"/>
    <w:basedOn w:val="a0"/>
    <w:link w:val="a5"/>
    <w:uiPriority w:val="99"/>
    <w:qFormat/>
    <w:rsid w:val="00627B1F"/>
    <w:rPr>
      <w:sz w:val="18"/>
      <w:szCs w:val="18"/>
    </w:rPr>
  </w:style>
  <w:style w:type="character" w:customStyle="1" w:styleId="Char0">
    <w:name w:val="批注框文本 Char"/>
    <w:basedOn w:val="a0"/>
    <w:link w:val="a4"/>
    <w:uiPriority w:val="99"/>
    <w:semiHidden/>
    <w:qFormat/>
    <w:rsid w:val="00627B1F"/>
    <w:rPr>
      <w:sz w:val="18"/>
      <w:szCs w:val="18"/>
    </w:rPr>
  </w:style>
  <w:style w:type="character" w:customStyle="1" w:styleId="Char">
    <w:name w:val="批注文字 Char"/>
    <w:basedOn w:val="a0"/>
    <w:link w:val="a3"/>
    <w:uiPriority w:val="99"/>
    <w:semiHidden/>
    <w:qFormat/>
    <w:rsid w:val="00627B1F"/>
  </w:style>
  <w:style w:type="character" w:customStyle="1" w:styleId="Char3">
    <w:name w:val="批注主题 Char"/>
    <w:basedOn w:val="Char"/>
    <w:link w:val="a8"/>
    <w:uiPriority w:val="99"/>
    <w:semiHidden/>
    <w:qFormat/>
    <w:rsid w:val="00627B1F"/>
    <w:rPr>
      <w:b/>
      <w:bCs/>
    </w:rPr>
  </w:style>
  <w:style w:type="table" w:customStyle="1" w:styleId="TableNormal1">
    <w:name w:val="Table Normal1"/>
    <w:unhideWhenUsed/>
    <w:qFormat/>
    <w:rsid w:val="00627B1F"/>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627B1F"/>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627B1F"/>
    <w:rPr>
      <w:color w:val="605E5C"/>
      <w:shd w:val="clear" w:color="auto" w:fill="E1DFDD"/>
    </w:rPr>
  </w:style>
  <w:style w:type="paragraph" w:styleId="ac">
    <w:name w:val="List Paragraph"/>
    <w:basedOn w:val="a"/>
    <w:uiPriority w:val="34"/>
    <w:qFormat/>
    <w:rsid w:val="00627B1F"/>
    <w:pPr>
      <w:ind w:firstLineChars="200" w:firstLine="420"/>
    </w:pPr>
    <w:rPr>
      <w:rFonts w:cs="Angsana New"/>
      <w:szCs w:val="30"/>
    </w:rPr>
  </w:style>
  <w:style w:type="paragraph" w:customStyle="1" w:styleId="2">
    <w:name w:val="修订2"/>
    <w:hidden/>
    <w:uiPriority w:val="99"/>
    <w:semiHidden/>
    <w:qFormat/>
    <w:rsid w:val="00627B1F"/>
    <w:rPr>
      <w:rFonts w:ascii="宋体" w:eastAsia="宋体" w:hAnsi="宋体" w:cs="Angsana New"/>
      <w:sz w:val="24"/>
      <w:szCs w:val="30"/>
      <w:lang w:bidi="th-TH"/>
    </w:rPr>
  </w:style>
  <w:style w:type="paragraph" w:customStyle="1" w:styleId="p">
    <w:name w:val="p"/>
    <w:basedOn w:val="a"/>
    <w:uiPriority w:val="99"/>
    <w:qFormat/>
    <w:rsid w:val="00627B1F"/>
    <w:rPr>
      <w:lang w:bidi="ar-SA"/>
    </w:rPr>
  </w:style>
  <w:style w:type="paragraph" w:customStyle="1" w:styleId="3">
    <w:name w:val="修订3"/>
    <w:hidden/>
    <w:uiPriority w:val="99"/>
    <w:semiHidden/>
    <w:qFormat/>
    <w:rsid w:val="00627B1F"/>
    <w:rPr>
      <w:rFonts w:ascii="宋体" w:eastAsia="宋体" w:hAnsi="宋体" w:cs="Angsana New"/>
      <w:sz w:val="24"/>
      <w:szCs w:val="30"/>
      <w:lang w:bidi="th-TH"/>
    </w:rPr>
  </w:style>
  <w:style w:type="paragraph" w:customStyle="1" w:styleId="4">
    <w:name w:val="修订4"/>
    <w:hidden/>
    <w:uiPriority w:val="99"/>
    <w:semiHidden/>
    <w:qFormat/>
    <w:rsid w:val="00627B1F"/>
    <w:rPr>
      <w:rFonts w:ascii="宋体" w:eastAsia="宋体" w:hAnsi="宋体" w:cs="Angsana New"/>
      <w:sz w:val="24"/>
      <w:szCs w:val="30"/>
      <w:lang w:bidi="th-TH"/>
    </w:rPr>
  </w:style>
  <w:style w:type="paragraph" w:customStyle="1" w:styleId="5">
    <w:name w:val="修订5"/>
    <w:hidden/>
    <w:uiPriority w:val="99"/>
    <w:semiHidden/>
    <w:qFormat/>
    <w:rsid w:val="00627B1F"/>
    <w:rPr>
      <w:rFonts w:ascii="宋体" w:eastAsia="宋体" w:hAnsi="宋体" w:cs="Angsana New"/>
      <w:sz w:val="24"/>
      <w:szCs w:val="30"/>
      <w:lang w:bidi="th-TH"/>
    </w:rPr>
  </w:style>
  <w:style w:type="paragraph" w:customStyle="1" w:styleId="6">
    <w:name w:val="修订6"/>
    <w:hidden/>
    <w:uiPriority w:val="99"/>
    <w:semiHidden/>
    <w:qFormat/>
    <w:rsid w:val="00627B1F"/>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E105C3D8-EA32-43F5-94CA-49AA4350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2182</Characters>
  <Application>Microsoft Office Word</Application>
  <DocSecurity>4</DocSecurity>
  <Lines>18</Lines>
  <Paragraphs>5</Paragraphs>
  <ScaleCrop>false</ScaleCrop>
  <Company>CNSTOCK</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湘财基金管理有限公司关于旗下基金增加华鑫证券有限责任公司为销售机构并开通基金定期定额投资业务和基金转换业务以及参与其费率优惠活动的公告</dc:title>
  <dc:creator>RenFeiyu</dc:creator>
  <cp:lastModifiedBy>ZHONGM</cp:lastModifiedBy>
  <cp:revision>2</cp:revision>
  <dcterms:created xsi:type="dcterms:W3CDTF">2024-08-14T16:02:00Z</dcterms:created>
  <dcterms:modified xsi:type="dcterms:W3CDTF">2024-08-14T16:02:00Z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2052-12.1.0.17147</vt:lpwstr>
  </property>
  <property fmtid="{D5CDD505-2E9C-101B-9397-08002B2CF9AE}" pid="8" name="ICV">
    <vt:lpwstr>D54AED20A7A44FD0966520ECCEE081FC_13</vt:lpwstr>
  </property>
</Properties>
</file>