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D8" w:rsidRPr="001833D8" w:rsidRDefault="001833D8" w:rsidP="001833D8">
      <w:pPr>
        <w:spacing w:line="360" w:lineRule="auto"/>
        <w:jc w:val="center"/>
        <w:rPr>
          <w:rFonts w:ascii="Times New Roman" w:eastAsia="宋体" w:hAnsi="Times New Roman" w:cs="Times New Roman"/>
          <w:b/>
          <w:bCs/>
          <w:sz w:val="28"/>
          <w:szCs w:val="21"/>
        </w:rPr>
      </w:pPr>
      <w:r>
        <w:rPr>
          <w:rFonts w:ascii="Times New Roman" w:eastAsia="宋体" w:hAnsi="Times New Roman" w:cs="Times New Roman" w:hint="eastAsia"/>
          <w:b/>
          <w:bCs/>
          <w:sz w:val="28"/>
          <w:szCs w:val="21"/>
        </w:rPr>
        <w:t>国泰基金管理有限公司</w:t>
      </w:r>
      <w:r w:rsidRPr="001833D8">
        <w:rPr>
          <w:rFonts w:ascii="Times New Roman" w:eastAsia="宋体" w:hAnsi="Times New Roman" w:cs="Times New Roman" w:hint="eastAsia"/>
          <w:b/>
          <w:bCs/>
          <w:sz w:val="28"/>
          <w:szCs w:val="21"/>
        </w:rPr>
        <w:t>关于</w:t>
      </w:r>
      <w:r>
        <w:rPr>
          <w:rFonts w:ascii="Times New Roman" w:eastAsia="宋体" w:hAnsi="Times New Roman" w:cs="Times New Roman" w:hint="eastAsia"/>
          <w:b/>
          <w:bCs/>
          <w:sz w:val="28"/>
          <w:szCs w:val="21"/>
        </w:rPr>
        <w:t>旗下</w:t>
      </w:r>
      <w:r>
        <w:rPr>
          <w:rFonts w:ascii="Times New Roman" w:eastAsia="宋体" w:hAnsi="Times New Roman" w:cs="Times New Roman"/>
          <w:b/>
          <w:bCs/>
          <w:sz w:val="28"/>
          <w:szCs w:val="21"/>
        </w:rPr>
        <w:t>部分基金</w:t>
      </w:r>
      <w:r w:rsidRPr="001833D8">
        <w:rPr>
          <w:rFonts w:ascii="Times New Roman" w:eastAsia="宋体" w:hAnsi="Times New Roman" w:cs="Times New Roman" w:hint="eastAsia"/>
          <w:b/>
          <w:bCs/>
          <w:sz w:val="28"/>
          <w:szCs w:val="21"/>
        </w:rPr>
        <w:t>在直销</w:t>
      </w:r>
      <w:r w:rsidR="00315632">
        <w:rPr>
          <w:rFonts w:ascii="Times New Roman" w:eastAsia="宋体" w:hAnsi="Times New Roman" w:cs="Times New Roman" w:hint="eastAsia"/>
          <w:b/>
          <w:bCs/>
          <w:sz w:val="28"/>
          <w:szCs w:val="21"/>
        </w:rPr>
        <w:t>电子交易平台</w:t>
      </w:r>
      <w:r w:rsidR="00BF5BE1">
        <w:rPr>
          <w:rFonts w:ascii="Times New Roman" w:eastAsia="宋体" w:hAnsi="Times New Roman" w:cs="Times New Roman" w:hint="eastAsia"/>
          <w:b/>
          <w:bCs/>
          <w:sz w:val="28"/>
          <w:szCs w:val="21"/>
        </w:rPr>
        <w:t>开通</w:t>
      </w:r>
      <w:r w:rsidRPr="001833D8">
        <w:rPr>
          <w:rFonts w:ascii="Times New Roman" w:eastAsia="宋体" w:hAnsi="Times New Roman" w:cs="Times New Roman" w:hint="eastAsia"/>
          <w:b/>
          <w:bCs/>
          <w:sz w:val="28"/>
          <w:szCs w:val="21"/>
        </w:rPr>
        <w:t>跨</w:t>
      </w:r>
      <w:r w:rsidRPr="001833D8">
        <w:rPr>
          <w:rFonts w:ascii="Times New Roman" w:eastAsia="宋体" w:hAnsi="Times New Roman" w:cs="Times New Roman" w:hint="eastAsia"/>
          <w:b/>
          <w:bCs/>
          <w:sz w:val="28"/>
          <w:szCs w:val="21"/>
        </w:rPr>
        <w:t>TA</w:t>
      </w:r>
      <w:r w:rsidRPr="001833D8">
        <w:rPr>
          <w:rFonts w:ascii="Times New Roman" w:eastAsia="宋体" w:hAnsi="Times New Roman" w:cs="Times New Roman" w:hint="eastAsia"/>
          <w:b/>
          <w:bCs/>
          <w:sz w:val="28"/>
          <w:szCs w:val="21"/>
        </w:rPr>
        <w:t>转换业务的公告</w:t>
      </w:r>
    </w:p>
    <w:p w:rsidR="001833D8" w:rsidRDefault="001833D8" w:rsidP="001833D8"/>
    <w:p w:rsidR="00894A8F" w:rsidRDefault="001833D8" w:rsidP="001833D8">
      <w:pPr>
        <w:pStyle w:val="Default"/>
        <w:tabs>
          <w:tab w:val="left" w:pos="426"/>
        </w:tabs>
        <w:spacing w:line="360" w:lineRule="auto"/>
        <w:ind w:leftChars="43" w:left="90" w:firstLineChars="207" w:firstLine="435"/>
        <w:rPr>
          <w:rFonts w:ascii="Times New Roman" w:hAnsi="Times New Roman" w:cs="Times New Roman"/>
          <w:color w:val="auto"/>
          <w:sz w:val="21"/>
          <w:szCs w:val="21"/>
        </w:rPr>
      </w:pPr>
      <w:r w:rsidRPr="001833D8">
        <w:rPr>
          <w:rFonts w:ascii="Times New Roman" w:hAnsi="Times New Roman" w:cs="Times New Roman" w:hint="eastAsia"/>
          <w:color w:val="auto"/>
          <w:sz w:val="21"/>
          <w:szCs w:val="21"/>
        </w:rPr>
        <w:t>为满足广大投资者的理财需求，</w:t>
      </w:r>
      <w:r>
        <w:rPr>
          <w:rFonts w:ascii="Times New Roman" w:hAnsi="Times New Roman" w:cs="Times New Roman" w:hint="eastAsia"/>
          <w:color w:val="auto"/>
          <w:sz w:val="21"/>
          <w:szCs w:val="21"/>
        </w:rPr>
        <w:t>国泰基金管理有限公司</w:t>
      </w:r>
      <w:r w:rsidRPr="001833D8">
        <w:rPr>
          <w:rFonts w:ascii="Times New Roman" w:hAnsi="Times New Roman" w:cs="Times New Roman" w:hint="eastAsia"/>
          <w:color w:val="auto"/>
          <w:sz w:val="21"/>
          <w:szCs w:val="21"/>
        </w:rPr>
        <w:t>（以下简称</w:t>
      </w:r>
      <w:r>
        <w:rPr>
          <w:rFonts w:ascii="Times New Roman" w:hAnsi="Times New Roman" w:cs="Times New Roman" w:hint="eastAsia"/>
          <w:color w:val="auto"/>
          <w:sz w:val="21"/>
          <w:szCs w:val="21"/>
        </w:rPr>
        <w:t>本基金管理人</w:t>
      </w:r>
      <w:r w:rsidRPr="001833D8">
        <w:rPr>
          <w:rFonts w:ascii="Times New Roman" w:hAnsi="Times New Roman" w:cs="Times New Roman" w:hint="eastAsia"/>
          <w:color w:val="auto"/>
          <w:sz w:val="21"/>
          <w:szCs w:val="21"/>
        </w:rPr>
        <w:t>）决定</w:t>
      </w:r>
      <w:r>
        <w:rPr>
          <w:rFonts w:ascii="Times New Roman" w:hAnsi="Times New Roman" w:cs="Times New Roman" w:hint="eastAsia"/>
          <w:color w:val="auto"/>
          <w:sz w:val="21"/>
          <w:szCs w:val="21"/>
        </w:rPr>
        <w:t>自</w:t>
      </w:r>
      <w:r w:rsidR="009B0D93">
        <w:rPr>
          <w:rFonts w:ascii="Times New Roman" w:hAnsi="Times New Roman" w:cs="Times New Roman"/>
          <w:color w:val="auto"/>
          <w:sz w:val="21"/>
          <w:szCs w:val="21"/>
        </w:rPr>
        <w:t>20</w:t>
      </w:r>
      <w:r w:rsidR="00455F09">
        <w:rPr>
          <w:rFonts w:ascii="Times New Roman" w:hAnsi="Times New Roman" w:cs="Times New Roman"/>
          <w:color w:val="auto"/>
          <w:sz w:val="21"/>
          <w:szCs w:val="21"/>
        </w:rPr>
        <w:t>24</w:t>
      </w:r>
      <w:r w:rsidR="009B0D93" w:rsidRPr="001833D8">
        <w:rPr>
          <w:rFonts w:ascii="Times New Roman" w:hAnsi="Times New Roman" w:cs="Times New Roman" w:hint="eastAsia"/>
          <w:color w:val="auto"/>
          <w:sz w:val="21"/>
          <w:szCs w:val="21"/>
        </w:rPr>
        <w:t>年</w:t>
      </w:r>
      <w:r w:rsidR="00455F09">
        <w:rPr>
          <w:rFonts w:ascii="Times New Roman" w:hAnsi="Times New Roman" w:cs="Times New Roman"/>
          <w:color w:val="auto"/>
          <w:sz w:val="21"/>
          <w:szCs w:val="21"/>
        </w:rPr>
        <w:t>8</w:t>
      </w:r>
      <w:r w:rsidRPr="001833D8">
        <w:rPr>
          <w:rFonts w:ascii="Times New Roman" w:hAnsi="Times New Roman" w:cs="Times New Roman" w:hint="eastAsia"/>
          <w:color w:val="auto"/>
          <w:sz w:val="21"/>
          <w:szCs w:val="21"/>
        </w:rPr>
        <w:t>月</w:t>
      </w:r>
      <w:r w:rsidR="0060530F">
        <w:rPr>
          <w:rFonts w:ascii="Times New Roman" w:hAnsi="Times New Roman" w:cs="Times New Roman"/>
          <w:color w:val="auto"/>
          <w:sz w:val="21"/>
          <w:szCs w:val="21"/>
        </w:rPr>
        <w:t>14</w:t>
      </w:r>
      <w:r w:rsidRPr="001833D8">
        <w:rPr>
          <w:rFonts w:ascii="Times New Roman" w:hAnsi="Times New Roman" w:cs="Times New Roman" w:hint="eastAsia"/>
          <w:color w:val="auto"/>
          <w:sz w:val="21"/>
          <w:szCs w:val="21"/>
        </w:rPr>
        <w:t>日起，</w:t>
      </w:r>
      <w:r>
        <w:rPr>
          <w:rFonts w:ascii="Times New Roman" w:hAnsi="Times New Roman" w:cs="Times New Roman" w:hint="eastAsia"/>
          <w:color w:val="auto"/>
          <w:sz w:val="21"/>
          <w:szCs w:val="21"/>
        </w:rPr>
        <w:t>对</w:t>
      </w:r>
      <w:r>
        <w:rPr>
          <w:rFonts w:ascii="Times New Roman" w:hAnsi="Times New Roman" w:cs="Times New Roman"/>
          <w:color w:val="auto"/>
          <w:sz w:val="21"/>
          <w:szCs w:val="21"/>
        </w:rPr>
        <w:t>旗下部分基金在本基金管理人直销</w:t>
      </w:r>
      <w:r w:rsidR="00315632">
        <w:rPr>
          <w:rFonts w:ascii="Times New Roman" w:hAnsi="Times New Roman" w:cs="Times New Roman" w:hint="eastAsia"/>
          <w:color w:val="auto"/>
          <w:sz w:val="21"/>
          <w:szCs w:val="21"/>
        </w:rPr>
        <w:t>电子交易平台</w:t>
      </w:r>
      <w:r>
        <w:rPr>
          <w:rFonts w:ascii="Times New Roman" w:hAnsi="Times New Roman" w:cs="Times New Roman"/>
          <w:color w:val="auto"/>
          <w:sz w:val="21"/>
          <w:szCs w:val="21"/>
        </w:rPr>
        <w:t>开通</w:t>
      </w:r>
      <w:r>
        <w:rPr>
          <w:rFonts w:ascii="Times New Roman" w:hAnsi="Times New Roman" w:cs="Times New Roman" w:hint="eastAsia"/>
          <w:color w:val="auto"/>
          <w:sz w:val="21"/>
          <w:szCs w:val="21"/>
        </w:rPr>
        <w:t>跨</w:t>
      </w:r>
      <w:r>
        <w:rPr>
          <w:rFonts w:ascii="Times New Roman" w:hAnsi="Times New Roman" w:cs="Times New Roman" w:hint="eastAsia"/>
          <w:color w:val="auto"/>
          <w:sz w:val="21"/>
          <w:szCs w:val="21"/>
        </w:rPr>
        <w:t>TA</w:t>
      </w:r>
      <w:r>
        <w:rPr>
          <w:rFonts w:ascii="Times New Roman" w:hAnsi="Times New Roman" w:cs="Times New Roman" w:hint="eastAsia"/>
          <w:color w:val="auto"/>
          <w:sz w:val="21"/>
          <w:szCs w:val="21"/>
        </w:rPr>
        <w:t>转换</w:t>
      </w:r>
      <w:r>
        <w:rPr>
          <w:rFonts w:ascii="Times New Roman" w:hAnsi="Times New Roman" w:cs="Times New Roman"/>
          <w:color w:val="auto"/>
          <w:sz w:val="21"/>
          <w:szCs w:val="21"/>
        </w:rPr>
        <w:t>业务。</w:t>
      </w:r>
      <w:r>
        <w:rPr>
          <w:rFonts w:ascii="Times New Roman" w:hAnsi="Times New Roman" w:cs="Times New Roman" w:hint="eastAsia"/>
          <w:color w:val="auto"/>
          <w:sz w:val="21"/>
          <w:szCs w:val="21"/>
        </w:rPr>
        <w:t>具体</w:t>
      </w:r>
      <w:r>
        <w:rPr>
          <w:rFonts w:ascii="Times New Roman" w:hAnsi="Times New Roman" w:cs="Times New Roman"/>
          <w:color w:val="auto"/>
          <w:sz w:val="21"/>
          <w:szCs w:val="21"/>
        </w:rPr>
        <w:t>公告如下：</w:t>
      </w:r>
    </w:p>
    <w:p w:rsidR="007742CA" w:rsidRPr="001833D8" w:rsidRDefault="007742CA" w:rsidP="001833D8">
      <w:pPr>
        <w:pStyle w:val="Default"/>
        <w:tabs>
          <w:tab w:val="left" w:pos="426"/>
        </w:tabs>
        <w:spacing w:line="360" w:lineRule="auto"/>
        <w:ind w:leftChars="43" w:left="90" w:firstLineChars="207" w:firstLine="435"/>
        <w:rPr>
          <w:rFonts w:ascii="Times New Roman" w:hAnsi="Times New Roman" w:cs="Times New Roman"/>
          <w:color w:val="auto"/>
          <w:sz w:val="21"/>
          <w:szCs w:val="21"/>
        </w:rPr>
      </w:pPr>
    </w:p>
    <w:p w:rsidR="001833D8" w:rsidRDefault="001833D8" w:rsidP="001833D8">
      <w:pPr>
        <w:pStyle w:val="Default"/>
        <w:tabs>
          <w:tab w:val="left" w:pos="426"/>
        </w:tabs>
        <w:spacing w:line="360" w:lineRule="auto"/>
        <w:ind w:leftChars="43" w:left="90" w:firstLineChars="207" w:firstLine="435"/>
        <w:rPr>
          <w:rFonts w:ascii="Times New Roman" w:hAnsi="Times New Roman"/>
          <w:sz w:val="21"/>
          <w:szCs w:val="21"/>
        </w:rPr>
      </w:pPr>
      <w:r>
        <w:rPr>
          <w:rFonts w:ascii="Times New Roman" w:hAnsi="Times New Roman" w:cs="Times New Roman" w:hint="eastAsia"/>
          <w:color w:val="auto"/>
          <w:sz w:val="21"/>
          <w:szCs w:val="21"/>
        </w:rPr>
        <w:t>一、</w:t>
      </w:r>
      <w:r w:rsidRPr="00DC4881">
        <w:rPr>
          <w:rFonts w:ascii="Times New Roman" w:hAnsi="Times New Roman" w:cs="Times New Roman" w:hint="eastAsia"/>
          <w:color w:val="auto"/>
          <w:sz w:val="21"/>
          <w:szCs w:val="21"/>
        </w:rPr>
        <w:t>适用</w:t>
      </w:r>
      <w:r w:rsidRPr="00C028C8">
        <w:rPr>
          <w:rFonts w:ascii="Times New Roman" w:hAnsi="Times New Roman"/>
          <w:sz w:val="21"/>
          <w:szCs w:val="21"/>
        </w:rPr>
        <w:t>基金</w:t>
      </w:r>
    </w:p>
    <w:p w:rsidR="00365174" w:rsidRPr="00C028C8" w:rsidRDefault="00365174" w:rsidP="001833D8">
      <w:pPr>
        <w:pStyle w:val="Default"/>
        <w:tabs>
          <w:tab w:val="left" w:pos="426"/>
        </w:tabs>
        <w:spacing w:line="360" w:lineRule="auto"/>
        <w:ind w:leftChars="43" w:left="90" w:firstLineChars="207" w:firstLine="435"/>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sz w:val="21"/>
          <w:szCs w:val="21"/>
        </w:rPr>
        <w:t>登记注册在本基金管理人的基金</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0"/>
        <w:gridCol w:w="5801"/>
        <w:gridCol w:w="1134"/>
      </w:tblGrid>
      <w:tr w:rsidR="0068618A" w:rsidRPr="000F3C4A" w:rsidTr="00EA6D9E">
        <w:trPr>
          <w:trHeight w:val="454"/>
          <w:jc w:val="center"/>
        </w:trPr>
        <w:tc>
          <w:tcPr>
            <w:tcW w:w="1140" w:type="dxa"/>
            <w:shd w:val="clear" w:color="auto" w:fill="auto"/>
            <w:noWrap/>
            <w:vAlign w:val="center"/>
            <w:hideMark/>
          </w:tcPr>
          <w:p w:rsidR="0068618A" w:rsidRPr="000F3C4A" w:rsidRDefault="0068618A" w:rsidP="00FF5111">
            <w:pPr>
              <w:widowControl/>
              <w:jc w:val="center"/>
              <w:rPr>
                <w:rFonts w:ascii="宋体" w:eastAsia="宋体" w:hAnsi="宋体" w:cs="宋体"/>
                <w:b/>
                <w:kern w:val="0"/>
                <w:szCs w:val="21"/>
              </w:rPr>
            </w:pPr>
            <w:r w:rsidRPr="000F3C4A">
              <w:rPr>
                <w:rFonts w:ascii="宋体" w:eastAsia="宋体" w:hAnsi="宋体" w:cs="宋体" w:hint="eastAsia"/>
                <w:b/>
                <w:kern w:val="0"/>
                <w:szCs w:val="21"/>
              </w:rPr>
              <w:t>基金代码</w:t>
            </w:r>
          </w:p>
        </w:tc>
        <w:tc>
          <w:tcPr>
            <w:tcW w:w="5801" w:type="dxa"/>
            <w:shd w:val="clear" w:color="auto" w:fill="auto"/>
            <w:noWrap/>
            <w:vAlign w:val="center"/>
            <w:hideMark/>
          </w:tcPr>
          <w:p w:rsidR="0068618A" w:rsidRPr="000F3C4A" w:rsidRDefault="0068618A" w:rsidP="00FF5111">
            <w:pPr>
              <w:widowControl/>
              <w:jc w:val="center"/>
              <w:rPr>
                <w:rFonts w:ascii="宋体" w:eastAsia="宋体" w:hAnsi="宋体" w:cs="宋体"/>
                <w:b/>
                <w:kern w:val="0"/>
                <w:szCs w:val="21"/>
              </w:rPr>
            </w:pPr>
            <w:r w:rsidRPr="000F3C4A">
              <w:rPr>
                <w:rFonts w:ascii="宋体" w:eastAsia="宋体" w:hAnsi="宋体" w:cs="宋体" w:hint="eastAsia"/>
                <w:b/>
                <w:kern w:val="0"/>
                <w:szCs w:val="21"/>
              </w:rPr>
              <w:t>基金名称</w:t>
            </w:r>
          </w:p>
        </w:tc>
        <w:tc>
          <w:tcPr>
            <w:tcW w:w="1134" w:type="dxa"/>
          </w:tcPr>
          <w:p w:rsidR="0068618A" w:rsidRPr="000F3C4A" w:rsidRDefault="0068618A" w:rsidP="00FF5111">
            <w:pPr>
              <w:widowControl/>
              <w:jc w:val="center"/>
              <w:rPr>
                <w:rFonts w:ascii="宋体" w:eastAsia="宋体" w:hAnsi="宋体" w:cs="宋体"/>
                <w:b/>
                <w:kern w:val="0"/>
                <w:szCs w:val="21"/>
              </w:rPr>
            </w:pPr>
            <w:r>
              <w:rPr>
                <w:rFonts w:ascii="宋体" w:eastAsia="宋体" w:hAnsi="宋体" w:cs="宋体" w:hint="eastAsia"/>
                <w:b/>
                <w:kern w:val="0"/>
                <w:szCs w:val="21"/>
              </w:rPr>
              <w:t>转换</w:t>
            </w:r>
            <w:r>
              <w:rPr>
                <w:rFonts w:ascii="宋体" w:eastAsia="宋体" w:hAnsi="宋体" w:cs="宋体"/>
                <w:b/>
                <w:kern w:val="0"/>
                <w:szCs w:val="21"/>
              </w:rPr>
              <w:t>最低份额限制（</w:t>
            </w:r>
            <w:r>
              <w:rPr>
                <w:rFonts w:ascii="宋体" w:eastAsia="宋体" w:hAnsi="宋体" w:cs="宋体" w:hint="eastAsia"/>
                <w:b/>
                <w:kern w:val="0"/>
                <w:szCs w:val="21"/>
              </w:rPr>
              <w:t>份</w:t>
            </w:r>
            <w:r>
              <w:rPr>
                <w:rFonts w:ascii="宋体" w:eastAsia="宋体" w:hAnsi="宋体" w:cs="宋体"/>
                <w:b/>
                <w:kern w:val="0"/>
                <w:szCs w:val="21"/>
              </w:rPr>
              <w:t>）</w:t>
            </w:r>
          </w:p>
        </w:tc>
      </w:tr>
      <w:tr w:rsidR="0068618A" w:rsidRPr="00A41277" w:rsidTr="00EA6D9E">
        <w:trPr>
          <w:trHeight w:val="454"/>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18A" w:rsidRPr="00A41277" w:rsidRDefault="00455F09" w:rsidP="0068618A">
            <w:pPr>
              <w:widowControl/>
              <w:jc w:val="center"/>
              <w:rPr>
                <w:rFonts w:ascii="宋体" w:eastAsia="宋体" w:hAnsi="宋体" w:cs="宋体"/>
                <w:kern w:val="0"/>
                <w:szCs w:val="21"/>
              </w:rPr>
            </w:pPr>
            <w:r>
              <w:rPr>
                <w:rFonts w:ascii="宋体" w:eastAsia="宋体" w:hAnsi="宋体" w:cs="宋体"/>
                <w:kern w:val="0"/>
                <w:szCs w:val="21"/>
              </w:rPr>
              <w:t>013218</w:t>
            </w:r>
          </w:p>
        </w:tc>
        <w:tc>
          <w:tcPr>
            <w:tcW w:w="5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18A" w:rsidRPr="00A41277" w:rsidRDefault="00455F09" w:rsidP="0068618A">
            <w:pPr>
              <w:widowControl/>
              <w:jc w:val="left"/>
              <w:rPr>
                <w:rFonts w:ascii="宋体" w:eastAsia="宋体" w:hAnsi="宋体" w:cs="宋体"/>
                <w:kern w:val="0"/>
                <w:szCs w:val="21"/>
              </w:rPr>
            </w:pPr>
            <w:r w:rsidRPr="00455F09">
              <w:rPr>
                <w:rFonts w:ascii="宋体" w:eastAsia="宋体" w:hAnsi="宋体" w:cs="宋体" w:hint="eastAsia"/>
                <w:kern w:val="0"/>
                <w:szCs w:val="21"/>
              </w:rPr>
              <w:t>国泰中证有色金属交易型开放式指数证券投资基金发起式联接基金（</w:t>
            </w:r>
            <w:r w:rsidRPr="00455F09">
              <w:rPr>
                <w:rFonts w:ascii="宋体" w:eastAsia="宋体" w:hAnsi="宋体" w:cs="宋体"/>
                <w:kern w:val="0"/>
                <w:szCs w:val="21"/>
              </w:rPr>
              <w:t>A类）</w:t>
            </w:r>
          </w:p>
        </w:tc>
        <w:tc>
          <w:tcPr>
            <w:tcW w:w="1134" w:type="dxa"/>
            <w:tcBorders>
              <w:top w:val="single" w:sz="4" w:space="0" w:color="auto"/>
              <w:left w:val="single" w:sz="4" w:space="0" w:color="auto"/>
              <w:bottom w:val="single" w:sz="4" w:space="0" w:color="auto"/>
              <w:right w:val="single" w:sz="4" w:space="0" w:color="auto"/>
            </w:tcBorders>
            <w:vAlign w:val="center"/>
          </w:tcPr>
          <w:p w:rsidR="0068618A" w:rsidRPr="00A41277" w:rsidRDefault="00455F09" w:rsidP="0068618A">
            <w:pPr>
              <w:widowControl/>
              <w:jc w:val="center"/>
              <w:rPr>
                <w:rFonts w:ascii="宋体" w:eastAsia="宋体" w:hAnsi="宋体" w:cs="宋体"/>
                <w:kern w:val="0"/>
                <w:szCs w:val="21"/>
              </w:rPr>
            </w:pPr>
            <w:r>
              <w:rPr>
                <w:rFonts w:ascii="宋体" w:eastAsia="宋体" w:hAnsi="宋体" w:cs="Times New Roman" w:hint="eastAsia"/>
                <w:szCs w:val="21"/>
              </w:rPr>
              <w:t>10</w:t>
            </w:r>
          </w:p>
        </w:tc>
      </w:tr>
      <w:tr w:rsidR="0068618A" w:rsidRPr="00A41277" w:rsidTr="00EA6D9E">
        <w:trPr>
          <w:trHeight w:val="454"/>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18A" w:rsidRPr="00A41277" w:rsidRDefault="00455F09" w:rsidP="0068618A">
            <w:pPr>
              <w:widowControl/>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13219</w:t>
            </w:r>
          </w:p>
        </w:tc>
        <w:tc>
          <w:tcPr>
            <w:tcW w:w="5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18A" w:rsidRPr="00A41277" w:rsidRDefault="00455F09" w:rsidP="0068618A">
            <w:pPr>
              <w:widowControl/>
              <w:jc w:val="left"/>
              <w:rPr>
                <w:rFonts w:ascii="宋体" w:eastAsia="宋体" w:hAnsi="宋体" w:cs="宋体"/>
                <w:kern w:val="0"/>
                <w:szCs w:val="21"/>
              </w:rPr>
            </w:pPr>
            <w:r w:rsidRPr="00455F09">
              <w:rPr>
                <w:rFonts w:ascii="宋体" w:eastAsia="宋体" w:hAnsi="宋体" w:cs="宋体" w:hint="eastAsia"/>
                <w:kern w:val="0"/>
                <w:szCs w:val="21"/>
              </w:rPr>
              <w:t>国泰中证有色金属交易型开放式指数证券投资基金发起式联接基金（</w:t>
            </w:r>
            <w:r w:rsidRPr="00455F09">
              <w:rPr>
                <w:rFonts w:ascii="宋体" w:eastAsia="宋体" w:hAnsi="宋体" w:cs="宋体"/>
                <w:kern w:val="0"/>
                <w:szCs w:val="21"/>
              </w:rPr>
              <w:t>C类）</w:t>
            </w:r>
          </w:p>
        </w:tc>
        <w:tc>
          <w:tcPr>
            <w:tcW w:w="1134" w:type="dxa"/>
            <w:tcBorders>
              <w:top w:val="single" w:sz="4" w:space="0" w:color="auto"/>
              <w:left w:val="single" w:sz="4" w:space="0" w:color="auto"/>
              <w:bottom w:val="single" w:sz="4" w:space="0" w:color="auto"/>
              <w:right w:val="single" w:sz="4" w:space="0" w:color="auto"/>
            </w:tcBorders>
            <w:vAlign w:val="center"/>
          </w:tcPr>
          <w:p w:rsidR="0068618A" w:rsidRPr="00A41277" w:rsidRDefault="00455F09" w:rsidP="0068618A">
            <w:pPr>
              <w:widowControl/>
              <w:jc w:val="center"/>
              <w:rPr>
                <w:rFonts w:ascii="宋体" w:eastAsia="宋体" w:hAnsi="宋体" w:cs="宋体"/>
                <w:kern w:val="0"/>
                <w:szCs w:val="21"/>
              </w:rPr>
            </w:pPr>
            <w:r>
              <w:rPr>
                <w:rFonts w:ascii="宋体" w:eastAsia="宋体" w:hAnsi="宋体" w:cs="Times New Roman" w:hint="eastAsia"/>
                <w:szCs w:val="21"/>
              </w:rPr>
              <w:t>10</w:t>
            </w:r>
          </w:p>
        </w:tc>
      </w:tr>
    </w:tbl>
    <w:p w:rsidR="000F3C4A" w:rsidRDefault="000F3C4A" w:rsidP="001833D8"/>
    <w:p w:rsidR="000F3C4A" w:rsidRPr="00F847BB" w:rsidRDefault="00365174" w:rsidP="00F847BB">
      <w:pPr>
        <w:pStyle w:val="Default"/>
        <w:tabs>
          <w:tab w:val="left" w:pos="426"/>
        </w:tabs>
        <w:spacing w:line="360" w:lineRule="auto"/>
        <w:ind w:leftChars="43" w:left="90" w:firstLineChars="207" w:firstLine="435"/>
        <w:rPr>
          <w:rFonts w:ascii="Times New Roman" w:hAnsi="Times New Roman"/>
          <w:sz w:val="21"/>
          <w:szCs w:val="21"/>
        </w:rPr>
      </w:pPr>
      <w:r w:rsidRPr="00F847BB">
        <w:rPr>
          <w:rFonts w:ascii="Times New Roman" w:hAnsi="Times New Roman" w:hint="eastAsia"/>
          <w:sz w:val="21"/>
          <w:szCs w:val="21"/>
        </w:rPr>
        <w:t>2</w:t>
      </w:r>
      <w:r w:rsidRPr="00F847BB">
        <w:rPr>
          <w:rFonts w:ascii="Times New Roman" w:hAnsi="Times New Roman" w:hint="eastAsia"/>
          <w:sz w:val="21"/>
          <w:szCs w:val="21"/>
        </w:rPr>
        <w:t>、</w:t>
      </w:r>
      <w:r w:rsidRPr="00F847BB">
        <w:rPr>
          <w:rFonts w:ascii="Times New Roman" w:hAnsi="Times New Roman"/>
          <w:sz w:val="21"/>
          <w:szCs w:val="21"/>
        </w:rPr>
        <w:t>登记注册在中国证券登记结算有限责任公司的基金</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5812"/>
        <w:gridCol w:w="1134"/>
      </w:tblGrid>
      <w:tr w:rsidR="0068618A" w:rsidRPr="00861A07" w:rsidTr="00EA6D9E">
        <w:trPr>
          <w:trHeight w:val="454"/>
          <w:jc w:val="center"/>
        </w:trPr>
        <w:tc>
          <w:tcPr>
            <w:tcW w:w="1129" w:type="dxa"/>
            <w:shd w:val="clear" w:color="auto" w:fill="auto"/>
            <w:noWrap/>
            <w:vAlign w:val="center"/>
            <w:hideMark/>
          </w:tcPr>
          <w:p w:rsidR="0068618A" w:rsidRPr="00861A07" w:rsidRDefault="0068618A" w:rsidP="00FF5111">
            <w:pPr>
              <w:widowControl/>
              <w:jc w:val="center"/>
              <w:rPr>
                <w:rFonts w:ascii="宋体" w:eastAsia="宋体" w:hAnsi="宋体" w:cs="宋体"/>
                <w:b/>
                <w:kern w:val="0"/>
                <w:szCs w:val="21"/>
              </w:rPr>
            </w:pPr>
            <w:r w:rsidRPr="00861A07">
              <w:rPr>
                <w:rFonts w:ascii="宋体" w:eastAsia="宋体" w:hAnsi="宋体" w:cs="宋体" w:hint="eastAsia"/>
                <w:b/>
                <w:kern w:val="0"/>
                <w:szCs w:val="21"/>
              </w:rPr>
              <w:t>基金代码</w:t>
            </w:r>
          </w:p>
        </w:tc>
        <w:tc>
          <w:tcPr>
            <w:tcW w:w="5812" w:type="dxa"/>
            <w:shd w:val="clear" w:color="auto" w:fill="auto"/>
            <w:noWrap/>
            <w:vAlign w:val="center"/>
            <w:hideMark/>
          </w:tcPr>
          <w:p w:rsidR="0068618A" w:rsidRPr="00861A07" w:rsidRDefault="0068618A" w:rsidP="00FF5111">
            <w:pPr>
              <w:widowControl/>
              <w:jc w:val="center"/>
              <w:rPr>
                <w:rFonts w:ascii="宋体" w:eastAsia="宋体" w:hAnsi="宋体" w:cs="宋体"/>
                <w:b/>
                <w:kern w:val="0"/>
                <w:szCs w:val="21"/>
              </w:rPr>
            </w:pPr>
            <w:r w:rsidRPr="00861A07">
              <w:rPr>
                <w:rFonts w:ascii="宋体" w:eastAsia="宋体" w:hAnsi="宋体" w:cs="宋体" w:hint="eastAsia"/>
                <w:b/>
                <w:kern w:val="0"/>
                <w:szCs w:val="21"/>
              </w:rPr>
              <w:t>基金名称</w:t>
            </w:r>
          </w:p>
        </w:tc>
        <w:tc>
          <w:tcPr>
            <w:tcW w:w="1134" w:type="dxa"/>
          </w:tcPr>
          <w:p w:rsidR="0068618A" w:rsidRPr="00861A07" w:rsidRDefault="0068618A" w:rsidP="00FF5111">
            <w:pPr>
              <w:widowControl/>
              <w:jc w:val="center"/>
              <w:rPr>
                <w:rFonts w:ascii="宋体" w:eastAsia="宋体" w:hAnsi="宋体" w:cs="宋体"/>
                <w:b/>
                <w:kern w:val="0"/>
                <w:szCs w:val="21"/>
              </w:rPr>
            </w:pPr>
            <w:r>
              <w:rPr>
                <w:rFonts w:ascii="宋体" w:eastAsia="宋体" w:hAnsi="宋体" w:cs="宋体" w:hint="eastAsia"/>
                <w:b/>
                <w:kern w:val="0"/>
                <w:szCs w:val="21"/>
              </w:rPr>
              <w:t>转换最低</w:t>
            </w:r>
            <w:r>
              <w:rPr>
                <w:rFonts w:ascii="宋体" w:eastAsia="宋体" w:hAnsi="宋体" w:cs="宋体"/>
                <w:b/>
                <w:kern w:val="0"/>
                <w:szCs w:val="21"/>
              </w:rPr>
              <w:t>份额限制（</w:t>
            </w:r>
            <w:r>
              <w:rPr>
                <w:rFonts w:ascii="宋体" w:eastAsia="宋体" w:hAnsi="宋体" w:cs="宋体" w:hint="eastAsia"/>
                <w:b/>
                <w:kern w:val="0"/>
                <w:szCs w:val="21"/>
              </w:rPr>
              <w:t>份</w:t>
            </w:r>
            <w:r>
              <w:rPr>
                <w:rFonts w:ascii="宋体" w:eastAsia="宋体" w:hAnsi="宋体" w:cs="宋体"/>
                <w:b/>
                <w:kern w:val="0"/>
                <w:szCs w:val="21"/>
              </w:rPr>
              <w:t>）</w:t>
            </w:r>
          </w:p>
        </w:tc>
      </w:tr>
      <w:tr w:rsidR="0068618A" w:rsidRPr="00861A07" w:rsidTr="00EA6D9E">
        <w:trPr>
          <w:trHeight w:val="454"/>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18A" w:rsidRPr="00861A07" w:rsidRDefault="00455F09" w:rsidP="00FF5111">
            <w:pPr>
              <w:widowControl/>
              <w:jc w:val="center"/>
              <w:rPr>
                <w:rFonts w:ascii="宋体" w:eastAsia="宋体" w:hAnsi="宋体" w:cs="宋体"/>
                <w:kern w:val="0"/>
                <w:szCs w:val="21"/>
              </w:rPr>
            </w:pPr>
            <w:r>
              <w:rPr>
                <w:rFonts w:ascii="宋体" w:eastAsia="宋体" w:hAnsi="宋体" w:cs="宋体" w:hint="eastAsia"/>
                <w:kern w:val="0"/>
                <w:szCs w:val="21"/>
              </w:rPr>
              <w:t>1602</w:t>
            </w:r>
            <w:r>
              <w:rPr>
                <w:rFonts w:ascii="宋体" w:eastAsia="宋体" w:hAnsi="宋体" w:cs="宋体"/>
                <w:kern w:val="0"/>
                <w:szCs w:val="21"/>
              </w:rPr>
              <w:t>2</w:t>
            </w:r>
            <w:r w:rsidR="0068618A" w:rsidRPr="00861A07">
              <w:rPr>
                <w:rFonts w:ascii="宋体" w:eastAsia="宋体" w:hAnsi="宋体" w:cs="宋体" w:hint="eastAsia"/>
                <w:kern w:val="0"/>
                <w:szCs w:val="21"/>
              </w:rPr>
              <w:t>1</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18A" w:rsidRPr="00861A07" w:rsidRDefault="00455F09" w:rsidP="00FF5111">
            <w:pPr>
              <w:widowControl/>
              <w:jc w:val="left"/>
              <w:rPr>
                <w:rFonts w:ascii="宋体" w:eastAsia="宋体" w:hAnsi="宋体" w:cs="Times New Roman"/>
                <w:szCs w:val="21"/>
              </w:rPr>
            </w:pPr>
            <w:r w:rsidRPr="00455F09">
              <w:rPr>
                <w:rFonts w:ascii="宋体" w:eastAsia="宋体" w:hAnsi="宋体" w:cs="Times New Roman" w:hint="eastAsia"/>
                <w:szCs w:val="21"/>
              </w:rPr>
              <w:t>国泰国证有色金属行业指数证券投资基金（</w:t>
            </w:r>
            <w:r w:rsidRPr="00455F09">
              <w:rPr>
                <w:rFonts w:ascii="宋体" w:eastAsia="宋体" w:hAnsi="宋体" w:cs="Times New Roman"/>
                <w:szCs w:val="21"/>
              </w:rPr>
              <w:t>A类）</w:t>
            </w:r>
          </w:p>
        </w:tc>
        <w:tc>
          <w:tcPr>
            <w:tcW w:w="1134" w:type="dxa"/>
            <w:tcBorders>
              <w:top w:val="single" w:sz="4" w:space="0" w:color="auto"/>
              <w:left w:val="single" w:sz="4" w:space="0" w:color="auto"/>
              <w:bottom w:val="single" w:sz="4" w:space="0" w:color="auto"/>
              <w:right w:val="single" w:sz="4" w:space="0" w:color="auto"/>
            </w:tcBorders>
            <w:vAlign w:val="center"/>
          </w:tcPr>
          <w:p w:rsidR="0068618A" w:rsidRPr="00861A07" w:rsidRDefault="00455F09" w:rsidP="0068618A">
            <w:pPr>
              <w:widowControl/>
              <w:jc w:val="center"/>
              <w:rPr>
                <w:rFonts w:ascii="宋体" w:eastAsia="宋体" w:hAnsi="宋体" w:cs="Times New Roman"/>
                <w:szCs w:val="21"/>
              </w:rPr>
            </w:pPr>
            <w:r>
              <w:rPr>
                <w:rFonts w:ascii="宋体" w:eastAsia="宋体" w:hAnsi="宋体" w:cs="Times New Roman" w:hint="eastAsia"/>
                <w:szCs w:val="21"/>
              </w:rPr>
              <w:t>10</w:t>
            </w:r>
          </w:p>
        </w:tc>
      </w:tr>
      <w:tr w:rsidR="0068618A" w:rsidRPr="00861A07" w:rsidTr="00EA6D9E">
        <w:trPr>
          <w:trHeight w:val="454"/>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18A" w:rsidRPr="00861A07" w:rsidRDefault="00455F09" w:rsidP="0068618A">
            <w:pPr>
              <w:widowControl/>
              <w:jc w:val="center"/>
              <w:rPr>
                <w:rFonts w:ascii="宋体" w:eastAsia="宋体" w:hAnsi="宋体" w:cs="宋体"/>
                <w:kern w:val="0"/>
                <w:szCs w:val="21"/>
              </w:rPr>
            </w:pPr>
            <w:r>
              <w:rPr>
                <w:rFonts w:ascii="宋体" w:eastAsia="宋体" w:hAnsi="宋体" w:cs="宋体"/>
                <w:kern w:val="0"/>
                <w:szCs w:val="21"/>
              </w:rPr>
              <w:t>015596</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18A" w:rsidRPr="00861A07" w:rsidRDefault="00455F09" w:rsidP="0068618A">
            <w:pPr>
              <w:widowControl/>
              <w:jc w:val="left"/>
              <w:rPr>
                <w:rFonts w:ascii="宋体" w:eastAsia="宋体" w:hAnsi="宋体" w:cs="Times New Roman"/>
                <w:szCs w:val="21"/>
              </w:rPr>
            </w:pPr>
            <w:r w:rsidRPr="00455F09">
              <w:rPr>
                <w:rFonts w:ascii="宋体" w:eastAsia="宋体" w:hAnsi="宋体" w:cs="Times New Roman" w:hint="eastAsia"/>
                <w:szCs w:val="21"/>
              </w:rPr>
              <w:t>国泰国证有色金属行业指数证券投资基金</w:t>
            </w:r>
            <w:r w:rsidR="006E6B84" w:rsidRPr="00455F09">
              <w:rPr>
                <w:rFonts w:ascii="宋体" w:eastAsia="宋体" w:hAnsi="宋体" w:cs="Times New Roman" w:hint="eastAsia"/>
                <w:szCs w:val="21"/>
              </w:rPr>
              <w:t>（</w:t>
            </w:r>
            <w:r w:rsidRPr="00455F09">
              <w:rPr>
                <w:rFonts w:ascii="宋体" w:eastAsia="宋体" w:hAnsi="宋体" w:cs="Times New Roman"/>
                <w:szCs w:val="21"/>
              </w:rPr>
              <w:t>C类</w:t>
            </w:r>
            <w:r w:rsidR="006E6B84" w:rsidRPr="00455F09">
              <w:rPr>
                <w:rFonts w:ascii="宋体" w:eastAsia="宋体" w:hAnsi="宋体" w:cs="Times New Roman"/>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8618A" w:rsidRPr="00861A07" w:rsidRDefault="00455F09" w:rsidP="0068618A">
            <w:pPr>
              <w:widowControl/>
              <w:jc w:val="center"/>
              <w:rPr>
                <w:rFonts w:ascii="宋体" w:eastAsia="宋体" w:hAnsi="宋体" w:cs="Times New Roman"/>
                <w:szCs w:val="21"/>
              </w:rPr>
            </w:pPr>
            <w:r>
              <w:rPr>
                <w:rFonts w:ascii="宋体" w:eastAsia="宋体" w:hAnsi="宋体" w:cs="Times New Roman" w:hint="eastAsia"/>
                <w:szCs w:val="21"/>
              </w:rPr>
              <w:t>10</w:t>
            </w:r>
          </w:p>
        </w:tc>
      </w:tr>
    </w:tbl>
    <w:p w:rsidR="000F3C4A" w:rsidRDefault="000F3C4A" w:rsidP="001833D8"/>
    <w:p w:rsidR="00F847BB" w:rsidRDefault="00F847BB" w:rsidP="00F847BB">
      <w:pPr>
        <w:pStyle w:val="a6"/>
        <w:spacing w:line="360" w:lineRule="auto"/>
        <w:ind w:firstLineChars="0"/>
        <w:rPr>
          <w:rFonts w:ascii="宋体" w:eastAsia="宋体" w:hAnsi="宋体"/>
        </w:rPr>
      </w:pPr>
      <w:r>
        <w:rPr>
          <w:rFonts w:ascii="宋体" w:eastAsia="宋体" w:hAnsi="宋体" w:hint="eastAsia"/>
        </w:rPr>
        <w:t>二、适用投资者范围</w:t>
      </w:r>
    </w:p>
    <w:p w:rsidR="00F847BB" w:rsidRPr="00F847BB" w:rsidRDefault="00F847BB" w:rsidP="00F847BB">
      <w:pPr>
        <w:pStyle w:val="a6"/>
        <w:spacing w:line="360" w:lineRule="auto"/>
        <w:ind w:firstLineChars="0"/>
        <w:rPr>
          <w:rFonts w:ascii="宋体" w:eastAsia="宋体" w:hAnsi="宋体"/>
        </w:rPr>
      </w:pPr>
      <w:r w:rsidRPr="001F2F91">
        <w:rPr>
          <w:rFonts w:ascii="宋体" w:eastAsia="宋体" w:hAnsi="宋体"/>
        </w:rPr>
        <w:t>本次开通的基金转换业务</w:t>
      </w:r>
      <w:r>
        <w:rPr>
          <w:rFonts w:ascii="宋体" w:eastAsia="宋体" w:hAnsi="宋体" w:hint="eastAsia"/>
        </w:rPr>
        <w:t>仅</w:t>
      </w:r>
      <w:r w:rsidRPr="00992769">
        <w:rPr>
          <w:rFonts w:ascii="宋体" w:eastAsia="宋体" w:hAnsi="宋体" w:hint="eastAsia"/>
        </w:rPr>
        <w:t>适用于所有已持有通过</w:t>
      </w:r>
      <w:r>
        <w:rPr>
          <w:rFonts w:ascii="宋体" w:eastAsia="宋体" w:hAnsi="宋体" w:hint="eastAsia"/>
        </w:rPr>
        <w:t>本基金管理人直销</w:t>
      </w:r>
      <w:r w:rsidR="00625194">
        <w:rPr>
          <w:rFonts w:ascii="宋体" w:eastAsia="宋体" w:hAnsi="宋体" w:hint="eastAsia"/>
        </w:rPr>
        <w:t>电子交易平台</w:t>
      </w:r>
      <w:r w:rsidRPr="00992769">
        <w:rPr>
          <w:rFonts w:ascii="宋体" w:eastAsia="宋体" w:hAnsi="宋体" w:hint="eastAsia"/>
        </w:rPr>
        <w:t>购买的上述任一只基金基金份额的个人投资者。</w:t>
      </w:r>
    </w:p>
    <w:p w:rsidR="00F847BB" w:rsidRPr="00F847BB" w:rsidRDefault="00F847BB" w:rsidP="00F847BB">
      <w:pPr>
        <w:pStyle w:val="a6"/>
        <w:spacing w:line="360" w:lineRule="auto"/>
        <w:ind w:firstLineChars="0"/>
        <w:rPr>
          <w:rFonts w:ascii="宋体" w:eastAsia="宋体" w:hAnsi="宋体"/>
        </w:rPr>
      </w:pPr>
    </w:p>
    <w:p w:rsidR="00894A8F" w:rsidRPr="00F847BB" w:rsidRDefault="003F6BE3" w:rsidP="00F847BB">
      <w:pPr>
        <w:pStyle w:val="a6"/>
        <w:spacing w:line="360" w:lineRule="auto"/>
        <w:ind w:firstLineChars="0"/>
        <w:rPr>
          <w:rFonts w:ascii="宋体" w:eastAsia="宋体" w:hAnsi="宋体"/>
        </w:rPr>
      </w:pPr>
      <w:r>
        <w:rPr>
          <w:rFonts w:ascii="宋体" w:eastAsia="宋体" w:hAnsi="宋体" w:hint="eastAsia"/>
        </w:rPr>
        <w:t>三</w:t>
      </w:r>
      <w:r w:rsidR="00894A8F" w:rsidRPr="00F847BB">
        <w:rPr>
          <w:rFonts w:ascii="宋体" w:eastAsia="宋体" w:hAnsi="宋体"/>
        </w:rPr>
        <w:t>、</w:t>
      </w:r>
      <w:r w:rsidR="00E31701" w:rsidRPr="00E31701">
        <w:rPr>
          <w:rFonts w:ascii="宋体" w:eastAsia="宋体" w:hAnsi="宋体" w:hint="eastAsia"/>
        </w:rPr>
        <w:t>基金转换业务是指投资者在同一销售机构持有本基金管理人管理的开放式基金基金份额后，可将其持有的基金份额直接转换成本基金管理人管理的由该销售机构销售的其他开放式基金的基金份额，而不需要先赎回已持有的基金份额，再申购目标基金的一种业务模式。</w:t>
      </w:r>
      <w:r w:rsidR="00E31701" w:rsidRPr="00E31701">
        <w:rPr>
          <w:rFonts w:ascii="宋体" w:eastAsia="宋体" w:hAnsi="宋体" w:hint="eastAsia"/>
        </w:rPr>
        <w:lastRenderedPageBreak/>
        <w:t>基金管理人旗下管理的基金的转换业务规则的解释权归国泰基金管理有限公司。</w:t>
      </w:r>
    </w:p>
    <w:p w:rsidR="00894A8F" w:rsidRPr="00F847BB" w:rsidRDefault="00894A8F" w:rsidP="00F847BB">
      <w:pPr>
        <w:pStyle w:val="a6"/>
        <w:spacing w:line="360" w:lineRule="auto"/>
        <w:ind w:firstLineChars="0"/>
        <w:rPr>
          <w:rFonts w:ascii="宋体" w:eastAsia="宋体" w:hAnsi="宋体"/>
        </w:rPr>
      </w:pPr>
    </w:p>
    <w:p w:rsidR="00894A8F" w:rsidRPr="00F847BB" w:rsidRDefault="003F6BE3" w:rsidP="00F847BB">
      <w:pPr>
        <w:pStyle w:val="a6"/>
        <w:spacing w:line="360" w:lineRule="auto"/>
        <w:ind w:firstLineChars="0"/>
        <w:rPr>
          <w:rFonts w:ascii="宋体" w:eastAsia="宋体" w:hAnsi="宋体"/>
        </w:rPr>
      </w:pPr>
      <w:r>
        <w:rPr>
          <w:rFonts w:ascii="宋体" w:eastAsia="宋体" w:hAnsi="宋体" w:hint="eastAsia"/>
        </w:rPr>
        <w:t>四</w:t>
      </w:r>
      <w:r w:rsidR="00894A8F" w:rsidRPr="00F847BB">
        <w:rPr>
          <w:rFonts w:ascii="宋体" w:eastAsia="宋体" w:hAnsi="宋体"/>
        </w:rPr>
        <w:t>、</w:t>
      </w:r>
      <w:r w:rsidR="00894A8F" w:rsidRPr="00F847BB">
        <w:rPr>
          <w:rFonts w:ascii="宋体" w:eastAsia="宋体" w:hAnsi="宋体" w:hint="eastAsia"/>
        </w:rPr>
        <w:t>跨</w:t>
      </w:r>
      <w:r w:rsidR="00894A8F" w:rsidRPr="00F847BB">
        <w:rPr>
          <w:rFonts w:ascii="宋体" w:eastAsia="宋体" w:hAnsi="宋体"/>
        </w:rPr>
        <w:t>TA基金转换是指由同一基金管理人管理的、分别在中国证券登记结算有限责任公司与基金管理人进行注册登记的基金之间进行转换的业务。它是同一注册登记机构进行注册登记的基金之间转换的拓展功能，所有转换规则遵从相关基金法律文件约定的基金转换业务规则。</w:t>
      </w:r>
    </w:p>
    <w:p w:rsidR="00894A8F" w:rsidRPr="00F847BB" w:rsidRDefault="00894A8F" w:rsidP="00F847BB">
      <w:pPr>
        <w:pStyle w:val="a6"/>
        <w:spacing w:line="360" w:lineRule="auto"/>
        <w:ind w:firstLineChars="0"/>
        <w:rPr>
          <w:rFonts w:ascii="宋体" w:eastAsia="宋体" w:hAnsi="宋体"/>
        </w:rPr>
      </w:pPr>
    </w:p>
    <w:p w:rsidR="00F847BB" w:rsidRDefault="00717F4F" w:rsidP="00F847BB">
      <w:pPr>
        <w:pStyle w:val="a6"/>
        <w:spacing w:line="360" w:lineRule="auto"/>
        <w:ind w:firstLineChars="0"/>
        <w:rPr>
          <w:rFonts w:ascii="宋体" w:eastAsia="宋体" w:hAnsi="宋体"/>
        </w:rPr>
      </w:pPr>
      <w:r>
        <w:rPr>
          <w:rFonts w:ascii="宋体" w:eastAsia="宋体" w:hAnsi="宋体" w:hint="eastAsia"/>
        </w:rPr>
        <w:t>五</w:t>
      </w:r>
      <w:r w:rsidR="00F847BB">
        <w:rPr>
          <w:rFonts w:ascii="宋体" w:eastAsia="宋体" w:hAnsi="宋体" w:hint="eastAsia"/>
        </w:rPr>
        <w:t>、</w:t>
      </w:r>
      <w:r w:rsidR="00F847BB" w:rsidRPr="00992769">
        <w:rPr>
          <w:rFonts w:ascii="宋体" w:eastAsia="宋体" w:hAnsi="宋体"/>
        </w:rPr>
        <w:t xml:space="preserve">重要提示 </w:t>
      </w:r>
    </w:p>
    <w:p w:rsidR="00F847BB" w:rsidRDefault="00F847BB" w:rsidP="00F847BB">
      <w:pPr>
        <w:pStyle w:val="a6"/>
        <w:spacing w:line="360" w:lineRule="auto"/>
        <w:ind w:firstLineChars="0"/>
        <w:rPr>
          <w:rFonts w:ascii="宋体" w:eastAsia="宋体" w:hAnsi="宋体"/>
        </w:rPr>
      </w:pPr>
      <w:r>
        <w:rPr>
          <w:rFonts w:ascii="宋体" w:eastAsia="宋体" w:hAnsi="宋体" w:hint="eastAsia"/>
        </w:rPr>
        <w:t>1、</w:t>
      </w:r>
      <w:r w:rsidRPr="00992769">
        <w:rPr>
          <w:rFonts w:ascii="宋体" w:eastAsia="宋体" w:hAnsi="宋体"/>
        </w:rPr>
        <w:t xml:space="preserve">同基金 A/C 类收费模式之间不可进行转换。 </w:t>
      </w:r>
    </w:p>
    <w:p w:rsidR="00F847BB" w:rsidRDefault="00F847BB" w:rsidP="00455F09">
      <w:pPr>
        <w:pStyle w:val="a6"/>
        <w:spacing w:line="360" w:lineRule="auto"/>
        <w:ind w:firstLineChars="0"/>
        <w:rPr>
          <w:rFonts w:ascii="宋体" w:eastAsia="宋体" w:hAnsi="宋体"/>
        </w:rPr>
      </w:pPr>
      <w:r>
        <w:rPr>
          <w:rFonts w:ascii="宋体" w:eastAsia="宋体" w:hAnsi="宋体"/>
        </w:rPr>
        <w:t>2</w:t>
      </w:r>
      <w:r>
        <w:rPr>
          <w:rFonts w:ascii="宋体" w:eastAsia="宋体" w:hAnsi="宋体" w:hint="eastAsia"/>
        </w:rPr>
        <w:t>、</w:t>
      </w:r>
      <w:r w:rsidR="00796079">
        <w:rPr>
          <w:rFonts w:ascii="宋体" w:eastAsia="宋体" w:hAnsi="宋体" w:hint="eastAsia"/>
        </w:rPr>
        <w:t>本次</w:t>
      </w:r>
      <w:r w:rsidR="00796079">
        <w:rPr>
          <w:rFonts w:ascii="宋体" w:eastAsia="宋体" w:hAnsi="宋体"/>
        </w:rPr>
        <w:t>开通</w:t>
      </w:r>
      <w:r w:rsidR="00796079">
        <w:rPr>
          <w:rFonts w:ascii="宋体" w:eastAsia="宋体" w:hAnsi="宋体" w:hint="eastAsia"/>
        </w:rPr>
        <w:t>跨TA</w:t>
      </w:r>
      <w:r w:rsidR="00796079">
        <w:rPr>
          <w:rFonts w:ascii="宋体" w:eastAsia="宋体" w:hAnsi="宋体"/>
        </w:rPr>
        <w:t>转换业务</w:t>
      </w:r>
      <w:r w:rsidR="00796079">
        <w:rPr>
          <w:rFonts w:ascii="宋体" w:eastAsia="宋体" w:hAnsi="宋体" w:hint="eastAsia"/>
        </w:rPr>
        <w:t>仅限</w:t>
      </w:r>
      <w:r w:rsidR="00455F09">
        <w:rPr>
          <w:rFonts w:ascii="宋体" w:eastAsia="宋体" w:hAnsi="宋体"/>
        </w:rPr>
        <w:t>本基金管理人直销</w:t>
      </w:r>
      <w:r w:rsidR="00717F4F">
        <w:rPr>
          <w:rFonts w:ascii="宋体" w:eastAsia="宋体" w:hAnsi="宋体" w:hint="eastAsia"/>
        </w:rPr>
        <w:t>电子交易平台</w:t>
      </w:r>
      <w:r>
        <w:rPr>
          <w:rFonts w:ascii="宋体" w:eastAsia="宋体" w:hAnsi="宋体"/>
        </w:rPr>
        <w:t>。</w:t>
      </w:r>
    </w:p>
    <w:p w:rsidR="003A7252" w:rsidRDefault="00455F09" w:rsidP="00455F09">
      <w:pPr>
        <w:pStyle w:val="a6"/>
        <w:spacing w:line="360" w:lineRule="auto"/>
        <w:ind w:firstLineChars="0"/>
        <w:rPr>
          <w:rFonts w:ascii="宋体" w:eastAsia="宋体" w:hAnsi="宋体"/>
        </w:rPr>
      </w:pPr>
      <w:r>
        <w:rPr>
          <w:rFonts w:ascii="宋体" w:eastAsia="宋体" w:hAnsi="宋体"/>
        </w:rPr>
        <w:t>3</w:t>
      </w:r>
      <w:r w:rsidR="00F847BB">
        <w:rPr>
          <w:rFonts w:ascii="宋体" w:eastAsia="宋体" w:hAnsi="宋体" w:hint="eastAsia"/>
        </w:rPr>
        <w:t>、</w:t>
      </w:r>
      <w:r w:rsidR="00A63207">
        <w:rPr>
          <w:rFonts w:ascii="宋体" w:eastAsia="宋体" w:hAnsi="宋体" w:hint="eastAsia"/>
        </w:rPr>
        <w:t>由于跨T</w:t>
      </w:r>
      <w:r w:rsidR="00A63207">
        <w:rPr>
          <w:rFonts w:ascii="宋体" w:eastAsia="宋体" w:hAnsi="宋体"/>
        </w:rPr>
        <w:t>A</w:t>
      </w:r>
      <w:r w:rsidR="00A63207">
        <w:rPr>
          <w:rFonts w:ascii="宋体" w:eastAsia="宋体" w:hAnsi="宋体" w:hint="eastAsia"/>
        </w:rPr>
        <w:t>转换</w:t>
      </w:r>
      <w:r w:rsidR="00A63207">
        <w:rPr>
          <w:rFonts w:ascii="宋体" w:eastAsia="宋体" w:hAnsi="宋体"/>
        </w:rPr>
        <w:t>是两个注册登记机构</w:t>
      </w:r>
      <w:r w:rsidR="00A63207">
        <w:rPr>
          <w:rFonts w:ascii="宋体" w:eastAsia="宋体" w:hAnsi="宋体" w:hint="eastAsia"/>
        </w:rPr>
        <w:t>之间</w:t>
      </w:r>
      <w:r w:rsidR="00A63207">
        <w:rPr>
          <w:rFonts w:ascii="宋体" w:eastAsia="宋体" w:hAnsi="宋体"/>
        </w:rPr>
        <w:t>的</w:t>
      </w:r>
      <w:r w:rsidR="00A63207">
        <w:rPr>
          <w:rFonts w:ascii="宋体" w:eastAsia="宋体" w:hAnsi="宋体" w:hint="eastAsia"/>
        </w:rPr>
        <w:t>基金</w:t>
      </w:r>
      <w:r w:rsidR="00A63207">
        <w:rPr>
          <w:rFonts w:ascii="宋体" w:eastAsia="宋体" w:hAnsi="宋体"/>
        </w:rPr>
        <w:t>转换，</w:t>
      </w:r>
      <w:r w:rsidR="00A63207">
        <w:rPr>
          <w:rFonts w:ascii="宋体" w:eastAsia="宋体" w:hAnsi="宋体" w:hint="eastAsia"/>
        </w:rPr>
        <w:t>可能</w:t>
      </w:r>
      <w:r w:rsidR="00A63207">
        <w:rPr>
          <w:rFonts w:ascii="宋体" w:eastAsia="宋体" w:hAnsi="宋体"/>
        </w:rPr>
        <w:t>因</w:t>
      </w:r>
      <w:r w:rsidR="00A63207">
        <w:rPr>
          <w:rFonts w:ascii="宋体" w:eastAsia="宋体" w:hAnsi="宋体" w:hint="eastAsia"/>
        </w:rPr>
        <w:t>其中</w:t>
      </w:r>
      <w:r w:rsidR="00A63207">
        <w:rPr>
          <w:rFonts w:ascii="宋体" w:eastAsia="宋体" w:hAnsi="宋体"/>
        </w:rPr>
        <w:t>一</w:t>
      </w:r>
      <w:r w:rsidR="00A63207">
        <w:rPr>
          <w:rFonts w:ascii="宋体" w:eastAsia="宋体" w:hAnsi="宋体" w:hint="eastAsia"/>
        </w:rPr>
        <w:t>方</w:t>
      </w:r>
      <w:r w:rsidR="00A63207">
        <w:rPr>
          <w:rFonts w:ascii="宋体" w:eastAsia="宋体" w:hAnsi="宋体"/>
        </w:rPr>
        <w:t>注册登记系统</w:t>
      </w:r>
      <w:r w:rsidR="00A63207">
        <w:rPr>
          <w:rFonts w:ascii="宋体" w:eastAsia="宋体" w:hAnsi="宋体" w:hint="eastAsia"/>
        </w:rPr>
        <w:t>处理</w:t>
      </w:r>
      <w:r w:rsidR="00A63207">
        <w:rPr>
          <w:rFonts w:ascii="宋体" w:eastAsia="宋体" w:hAnsi="宋体"/>
        </w:rPr>
        <w:t>推迟，</w:t>
      </w:r>
      <w:r w:rsidR="00A63207">
        <w:rPr>
          <w:rFonts w:ascii="宋体" w:eastAsia="宋体" w:hAnsi="宋体" w:hint="eastAsia"/>
        </w:rPr>
        <w:t>导致</w:t>
      </w:r>
      <w:r w:rsidR="00A63207">
        <w:rPr>
          <w:rFonts w:ascii="宋体" w:eastAsia="宋体" w:hAnsi="宋体"/>
        </w:rPr>
        <w:t>无法</w:t>
      </w:r>
      <w:r w:rsidR="00A63207">
        <w:rPr>
          <w:rFonts w:ascii="宋体" w:eastAsia="宋体" w:hAnsi="宋体" w:hint="eastAsia"/>
        </w:rPr>
        <w:t>于当日</w:t>
      </w:r>
      <w:r w:rsidR="00A63207">
        <w:rPr>
          <w:rFonts w:ascii="宋体" w:eastAsia="宋体" w:hAnsi="宋体"/>
        </w:rPr>
        <w:t>完成</w:t>
      </w:r>
      <w:r w:rsidR="00A63207">
        <w:rPr>
          <w:rFonts w:ascii="宋体" w:eastAsia="宋体" w:hAnsi="宋体" w:hint="eastAsia"/>
        </w:rPr>
        <w:t>转换</w:t>
      </w:r>
      <w:r w:rsidR="00A63207">
        <w:rPr>
          <w:rFonts w:ascii="宋体" w:eastAsia="宋体" w:hAnsi="宋体"/>
        </w:rPr>
        <w:t>，</w:t>
      </w:r>
      <w:r w:rsidR="00A63207">
        <w:rPr>
          <w:rFonts w:ascii="宋体" w:eastAsia="宋体" w:hAnsi="宋体" w:hint="eastAsia"/>
        </w:rPr>
        <w:t>则该笔</w:t>
      </w:r>
      <w:r w:rsidR="00A63207">
        <w:rPr>
          <w:rFonts w:ascii="宋体" w:eastAsia="宋体" w:hAnsi="宋体"/>
        </w:rPr>
        <w:t>跨</w:t>
      </w:r>
      <w:r w:rsidR="00A63207">
        <w:rPr>
          <w:rFonts w:ascii="宋体" w:eastAsia="宋体" w:hAnsi="宋体" w:hint="eastAsia"/>
        </w:rPr>
        <w:t>TA转换</w:t>
      </w:r>
      <w:r w:rsidR="00A63207">
        <w:rPr>
          <w:rFonts w:ascii="宋体" w:eastAsia="宋体" w:hAnsi="宋体"/>
        </w:rPr>
        <w:t>将顺延</w:t>
      </w:r>
      <w:r w:rsidR="00A63207">
        <w:rPr>
          <w:rFonts w:ascii="宋体" w:eastAsia="宋体" w:hAnsi="宋体" w:hint="eastAsia"/>
        </w:rPr>
        <w:t>至</w:t>
      </w:r>
      <w:r w:rsidR="00A63207">
        <w:rPr>
          <w:rFonts w:ascii="宋体" w:eastAsia="宋体" w:hAnsi="宋体"/>
        </w:rPr>
        <w:t>下一工作日</w:t>
      </w:r>
      <w:r w:rsidR="003A7252">
        <w:rPr>
          <w:rFonts w:ascii="宋体" w:eastAsia="宋体" w:hAnsi="宋体" w:hint="eastAsia"/>
        </w:rPr>
        <w:t>。</w:t>
      </w:r>
    </w:p>
    <w:p w:rsidR="00F847BB" w:rsidRPr="00992769" w:rsidRDefault="00455F09" w:rsidP="00F847BB">
      <w:pPr>
        <w:pStyle w:val="a6"/>
        <w:spacing w:line="360" w:lineRule="auto"/>
        <w:ind w:firstLineChars="0"/>
        <w:rPr>
          <w:rFonts w:ascii="宋体" w:eastAsia="宋体" w:hAnsi="宋体"/>
        </w:rPr>
      </w:pPr>
      <w:r>
        <w:rPr>
          <w:rFonts w:ascii="宋体" w:eastAsia="宋体" w:hAnsi="宋体"/>
        </w:rPr>
        <w:t>4</w:t>
      </w:r>
      <w:r w:rsidR="003A7252">
        <w:rPr>
          <w:rFonts w:ascii="宋体" w:eastAsia="宋体" w:hAnsi="宋体" w:hint="eastAsia"/>
        </w:rPr>
        <w:t>、</w:t>
      </w:r>
      <w:r w:rsidR="00F847BB" w:rsidRPr="00992769">
        <w:rPr>
          <w:rFonts w:ascii="宋体" w:eastAsia="宋体" w:hAnsi="宋体"/>
        </w:rPr>
        <w:t>本基金管理人有权根据市场情况或法律法规变化调整上述转换的程序及有关限制，</w:t>
      </w:r>
      <w:r w:rsidR="003F2ACF">
        <w:rPr>
          <w:rFonts w:ascii="宋体" w:eastAsia="宋体" w:hAnsi="宋体" w:hint="eastAsia"/>
        </w:rPr>
        <w:t>并另行公告</w:t>
      </w:r>
      <w:r w:rsidR="00F847BB" w:rsidRPr="00992769">
        <w:rPr>
          <w:rFonts w:ascii="宋体" w:eastAsia="宋体" w:hAnsi="宋体"/>
        </w:rPr>
        <w:t>。</w:t>
      </w:r>
    </w:p>
    <w:p w:rsidR="00F847BB" w:rsidRPr="00992769" w:rsidRDefault="00F847BB" w:rsidP="00F847BB">
      <w:pPr>
        <w:pStyle w:val="a6"/>
        <w:spacing w:line="360" w:lineRule="auto"/>
        <w:ind w:firstLineChars="0"/>
        <w:rPr>
          <w:rFonts w:ascii="宋体" w:eastAsia="宋体" w:hAnsi="宋体"/>
        </w:rPr>
      </w:pPr>
    </w:p>
    <w:p w:rsidR="00F847BB" w:rsidRPr="00F847BB" w:rsidRDefault="00F847BB" w:rsidP="00F847BB">
      <w:pPr>
        <w:pStyle w:val="a6"/>
        <w:spacing w:line="360" w:lineRule="auto"/>
        <w:ind w:firstLineChars="0"/>
        <w:rPr>
          <w:rFonts w:ascii="宋体" w:eastAsia="宋体" w:hAnsi="宋体"/>
        </w:rPr>
      </w:pPr>
      <w:r w:rsidRPr="00F847BB">
        <w:rPr>
          <w:rFonts w:ascii="宋体" w:eastAsia="宋体" w:hAnsi="宋体"/>
        </w:rPr>
        <w:t>风险提示：本基金管理人承诺以诚实信用、勤勉尽责的原则管理和运用基金资产，但不保证基金一定盈利，也不保证最低收益。投资者投资于本基金管理人管理的基金时应认真阅读该基金的《基金合同》、《招募说明书》等法律文件，</w:t>
      </w:r>
      <w:r w:rsidRPr="00F847BB">
        <w:rPr>
          <w:rFonts w:ascii="宋体" w:eastAsia="宋体" w:hAnsi="宋体" w:hint="eastAsia"/>
        </w:rPr>
        <w:t>了解基金产品的详细情况，选择与自己风险识别能力和风险承受能力相匹配的基金，并注意投资风险</w:t>
      </w:r>
      <w:r w:rsidRPr="00F847BB">
        <w:rPr>
          <w:rFonts w:ascii="宋体" w:eastAsia="宋体" w:hAnsi="宋体"/>
        </w:rPr>
        <w:t>。</w:t>
      </w:r>
    </w:p>
    <w:p w:rsidR="00F847BB" w:rsidRPr="005A1D9D" w:rsidRDefault="00F847BB" w:rsidP="00F847BB">
      <w:pPr>
        <w:spacing w:line="360" w:lineRule="auto"/>
        <w:ind w:firstLine="420"/>
        <w:rPr>
          <w:rFonts w:ascii="Times New Roman" w:eastAsia="宋体" w:hAnsi="宋体" w:cs="Times New Roman"/>
        </w:rPr>
      </w:pPr>
    </w:p>
    <w:p w:rsidR="00F847BB" w:rsidRPr="007D3CA5" w:rsidRDefault="00F847BB" w:rsidP="00F847BB">
      <w:pPr>
        <w:spacing w:line="360" w:lineRule="auto"/>
        <w:ind w:firstLine="420"/>
        <w:rPr>
          <w:rFonts w:ascii="Times New Roman" w:eastAsia="宋体" w:hAnsi="Times New Roman" w:cs="Times New Roman"/>
        </w:rPr>
      </w:pPr>
      <w:r w:rsidRPr="007D3CA5">
        <w:rPr>
          <w:rFonts w:ascii="Times New Roman" w:eastAsia="宋体" w:hAnsi="宋体" w:cs="Times New Roman"/>
        </w:rPr>
        <w:t>特此公告</w:t>
      </w:r>
    </w:p>
    <w:p w:rsidR="00F847BB" w:rsidRPr="007D3CA5" w:rsidRDefault="00F847BB" w:rsidP="00F847BB">
      <w:pPr>
        <w:spacing w:line="360" w:lineRule="auto"/>
        <w:ind w:firstLine="420"/>
        <w:jc w:val="right"/>
        <w:rPr>
          <w:rFonts w:ascii="Times New Roman" w:eastAsia="宋体" w:hAnsi="宋体" w:cs="Times New Roman"/>
        </w:rPr>
      </w:pPr>
    </w:p>
    <w:p w:rsidR="00F847BB" w:rsidRPr="007D3CA5" w:rsidRDefault="00F847BB" w:rsidP="00F847BB">
      <w:pPr>
        <w:spacing w:line="360" w:lineRule="auto"/>
        <w:ind w:firstLine="420"/>
        <w:jc w:val="right"/>
        <w:rPr>
          <w:rFonts w:ascii="Times New Roman" w:eastAsia="宋体" w:hAnsi="宋体" w:cs="Times New Roman"/>
        </w:rPr>
      </w:pPr>
      <w:r w:rsidRPr="007D3CA5">
        <w:rPr>
          <w:rFonts w:ascii="Times New Roman" w:eastAsia="宋体" w:hAnsi="宋体" w:cs="Times New Roman"/>
        </w:rPr>
        <w:t>国泰基金管理有限公司</w:t>
      </w:r>
    </w:p>
    <w:p w:rsidR="00F847BB" w:rsidRPr="00455F09" w:rsidRDefault="00455F09" w:rsidP="00455F09">
      <w:pPr>
        <w:spacing w:line="360" w:lineRule="auto"/>
        <w:ind w:firstLine="420"/>
        <w:jc w:val="right"/>
        <w:rPr>
          <w:rFonts w:ascii="Times New Roman" w:eastAsia="宋体" w:hAnsi="Times New Roman" w:cs="Times New Roman"/>
        </w:rPr>
      </w:pPr>
      <w:r>
        <w:rPr>
          <w:rFonts w:ascii="Times New Roman" w:eastAsia="宋体" w:hAnsi="宋体" w:cs="Times New Roman"/>
        </w:rPr>
        <w:t>2024</w:t>
      </w:r>
      <w:r w:rsidR="009B0D93" w:rsidRPr="00CE7ECD">
        <w:rPr>
          <w:rFonts w:ascii="Times New Roman" w:eastAsia="宋体" w:hAnsi="宋体" w:cs="Times New Roman"/>
        </w:rPr>
        <w:t>年</w:t>
      </w:r>
      <w:r>
        <w:rPr>
          <w:rFonts w:ascii="Times New Roman" w:eastAsia="宋体" w:hAnsi="宋体" w:cs="Times New Roman"/>
        </w:rPr>
        <w:t>8</w:t>
      </w:r>
      <w:r w:rsidR="00796079" w:rsidRPr="00CE7ECD">
        <w:rPr>
          <w:rFonts w:ascii="Times New Roman" w:eastAsia="宋体" w:hAnsi="宋体" w:cs="Times New Roman"/>
        </w:rPr>
        <w:t>月</w:t>
      </w:r>
      <w:r w:rsidR="0060530F">
        <w:rPr>
          <w:rFonts w:ascii="Times New Roman" w:eastAsia="宋体" w:hAnsi="宋体" w:cs="Times New Roman"/>
        </w:rPr>
        <w:t>14</w:t>
      </w:r>
      <w:bookmarkStart w:id="0" w:name="_GoBack"/>
      <w:bookmarkEnd w:id="0"/>
      <w:r w:rsidR="00F847BB" w:rsidRPr="00CE7ECD">
        <w:rPr>
          <w:rFonts w:ascii="Times New Roman" w:eastAsia="宋体" w:hAnsi="宋体" w:cs="Times New Roman"/>
        </w:rPr>
        <w:t>日</w:t>
      </w:r>
    </w:p>
    <w:sectPr w:rsidR="00F847BB" w:rsidRPr="00455F09" w:rsidSect="00DA7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2D6" w:rsidRDefault="003562D6" w:rsidP="001833D8">
      <w:r>
        <w:separator/>
      </w:r>
    </w:p>
  </w:endnote>
  <w:endnote w:type="continuationSeparator" w:id="0">
    <w:p w:rsidR="003562D6" w:rsidRDefault="003562D6" w:rsidP="001833D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2D6" w:rsidRDefault="003562D6" w:rsidP="001833D8">
      <w:r>
        <w:separator/>
      </w:r>
    </w:p>
  </w:footnote>
  <w:footnote w:type="continuationSeparator" w:id="0">
    <w:p w:rsidR="003562D6" w:rsidRDefault="003562D6" w:rsidP="001833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4E58"/>
    <w:rsid w:val="000F0CE8"/>
    <w:rsid w:val="000F3C4A"/>
    <w:rsid w:val="00114E58"/>
    <w:rsid w:val="00125798"/>
    <w:rsid w:val="00151337"/>
    <w:rsid w:val="001833D8"/>
    <w:rsid w:val="001B63C7"/>
    <w:rsid w:val="001E611B"/>
    <w:rsid w:val="00282ACC"/>
    <w:rsid w:val="002F752B"/>
    <w:rsid w:val="00315632"/>
    <w:rsid w:val="003562D6"/>
    <w:rsid w:val="00365174"/>
    <w:rsid w:val="00372886"/>
    <w:rsid w:val="00382715"/>
    <w:rsid w:val="003A7252"/>
    <w:rsid w:val="003F2ACF"/>
    <w:rsid w:val="003F6BE3"/>
    <w:rsid w:val="00422C8A"/>
    <w:rsid w:val="00455F09"/>
    <w:rsid w:val="004B3F51"/>
    <w:rsid w:val="005255E4"/>
    <w:rsid w:val="0060530F"/>
    <w:rsid w:val="0060617E"/>
    <w:rsid w:val="00625194"/>
    <w:rsid w:val="0068618A"/>
    <w:rsid w:val="006E6B84"/>
    <w:rsid w:val="00717F4F"/>
    <w:rsid w:val="007742CA"/>
    <w:rsid w:val="00796079"/>
    <w:rsid w:val="00894A8F"/>
    <w:rsid w:val="008A45C4"/>
    <w:rsid w:val="008B5ED3"/>
    <w:rsid w:val="008B7130"/>
    <w:rsid w:val="0091502F"/>
    <w:rsid w:val="009B0D93"/>
    <w:rsid w:val="009C728C"/>
    <w:rsid w:val="00A05EE6"/>
    <w:rsid w:val="00A41277"/>
    <w:rsid w:val="00A42239"/>
    <w:rsid w:val="00A54D59"/>
    <w:rsid w:val="00A63207"/>
    <w:rsid w:val="00A964C6"/>
    <w:rsid w:val="00B75C31"/>
    <w:rsid w:val="00BA5F6B"/>
    <w:rsid w:val="00BB618A"/>
    <w:rsid w:val="00BF5BE1"/>
    <w:rsid w:val="00C411E8"/>
    <w:rsid w:val="00DA7C0F"/>
    <w:rsid w:val="00E11373"/>
    <w:rsid w:val="00E31701"/>
    <w:rsid w:val="00E83179"/>
    <w:rsid w:val="00EA6D9E"/>
    <w:rsid w:val="00F847BB"/>
    <w:rsid w:val="00F87E55"/>
    <w:rsid w:val="00FD2CE0"/>
    <w:rsid w:val="00FE6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3D8"/>
    <w:rPr>
      <w:sz w:val="18"/>
      <w:szCs w:val="18"/>
    </w:rPr>
  </w:style>
  <w:style w:type="paragraph" w:styleId="a4">
    <w:name w:val="footer"/>
    <w:basedOn w:val="a"/>
    <w:link w:val="Char0"/>
    <w:uiPriority w:val="99"/>
    <w:unhideWhenUsed/>
    <w:rsid w:val="001833D8"/>
    <w:pPr>
      <w:tabs>
        <w:tab w:val="center" w:pos="4153"/>
        <w:tab w:val="right" w:pos="8306"/>
      </w:tabs>
      <w:snapToGrid w:val="0"/>
      <w:jc w:val="left"/>
    </w:pPr>
    <w:rPr>
      <w:sz w:val="18"/>
      <w:szCs w:val="18"/>
    </w:rPr>
  </w:style>
  <w:style w:type="character" w:customStyle="1" w:styleId="Char0">
    <w:name w:val="页脚 Char"/>
    <w:basedOn w:val="a0"/>
    <w:link w:val="a4"/>
    <w:uiPriority w:val="99"/>
    <w:rsid w:val="001833D8"/>
    <w:rPr>
      <w:sz w:val="18"/>
      <w:szCs w:val="18"/>
    </w:rPr>
  </w:style>
  <w:style w:type="paragraph" w:customStyle="1" w:styleId="Default">
    <w:name w:val="Default"/>
    <w:rsid w:val="001833D8"/>
    <w:pPr>
      <w:widowControl w:val="0"/>
      <w:autoSpaceDE w:val="0"/>
      <w:autoSpaceDN w:val="0"/>
      <w:adjustRightInd w:val="0"/>
    </w:pPr>
    <w:rPr>
      <w:rFonts w:ascii="宋体" w:eastAsia="宋体" w:hAnsi="等线" w:cs="宋体"/>
      <w:color w:val="000000"/>
      <w:kern w:val="0"/>
      <w:sz w:val="24"/>
      <w:szCs w:val="24"/>
    </w:rPr>
  </w:style>
  <w:style w:type="paragraph" w:styleId="a5">
    <w:name w:val="Balloon Text"/>
    <w:basedOn w:val="a"/>
    <w:link w:val="Char1"/>
    <w:uiPriority w:val="99"/>
    <w:semiHidden/>
    <w:unhideWhenUsed/>
    <w:rsid w:val="00BF5BE1"/>
    <w:rPr>
      <w:sz w:val="18"/>
      <w:szCs w:val="18"/>
    </w:rPr>
  </w:style>
  <w:style w:type="character" w:customStyle="1" w:styleId="Char1">
    <w:name w:val="批注框文本 Char"/>
    <w:basedOn w:val="a0"/>
    <w:link w:val="a5"/>
    <w:uiPriority w:val="99"/>
    <w:semiHidden/>
    <w:rsid w:val="00BF5BE1"/>
    <w:rPr>
      <w:sz w:val="18"/>
      <w:szCs w:val="18"/>
    </w:rPr>
  </w:style>
  <w:style w:type="paragraph" w:styleId="a6">
    <w:name w:val="List Paragraph"/>
    <w:basedOn w:val="a"/>
    <w:uiPriority w:val="34"/>
    <w:qFormat/>
    <w:rsid w:val="00F847BB"/>
    <w:pPr>
      <w:ind w:firstLineChars="200" w:firstLine="420"/>
    </w:pPr>
    <w:rPr>
      <w:rFonts w:ascii="等线" w:eastAsia="等线" w:hAnsi="等线" w:cs="Times New Roman"/>
    </w:rPr>
  </w:style>
  <w:style w:type="paragraph" w:customStyle="1" w:styleId="TableText">
    <w:name w:val="Table Text"/>
    <w:basedOn w:val="a"/>
    <w:semiHidden/>
    <w:qFormat/>
    <w:rsid w:val="00455F09"/>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20"/>
      <w:szCs w:val="20"/>
      <w:lang w:eastAsia="en-US"/>
    </w:rPr>
  </w:style>
  <w:style w:type="character" w:styleId="a7">
    <w:name w:val="annotation reference"/>
    <w:basedOn w:val="a0"/>
    <w:uiPriority w:val="99"/>
    <w:semiHidden/>
    <w:unhideWhenUsed/>
    <w:rsid w:val="00315632"/>
    <w:rPr>
      <w:sz w:val="21"/>
      <w:szCs w:val="21"/>
    </w:rPr>
  </w:style>
  <w:style w:type="paragraph" w:styleId="a8">
    <w:name w:val="annotation text"/>
    <w:basedOn w:val="a"/>
    <w:link w:val="Char2"/>
    <w:uiPriority w:val="99"/>
    <w:semiHidden/>
    <w:unhideWhenUsed/>
    <w:rsid w:val="00315632"/>
    <w:pPr>
      <w:jc w:val="left"/>
    </w:pPr>
  </w:style>
  <w:style w:type="character" w:customStyle="1" w:styleId="Char2">
    <w:name w:val="批注文字 Char"/>
    <w:basedOn w:val="a0"/>
    <w:link w:val="a8"/>
    <w:uiPriority w:val="99"/>
    <w:semiHidden/>
    <w:rsid w:val="00315632"/>
  </w:style>
  <w:style w:type="paragraph" w:styleId="a9">
    <w:name w:val="annotation subject"/>
    <w:basedOn w:val="a8"/>
    <w:next w:val="a8"/>
    <w:link w:val="Char3"/>
    <w:uiPriority w:val="99"/>
    <w:semiHidden/>
    <w:unhideWhenUsed/>
    <w:rsid w:val="00315632"/>
    <w:rPr>
      <w:b/>
      <w:bCs/>
    </w:rPr>
  </w:style>
  <w:style w:type="character" w:customStyle="1" w:styleId="Char3">
    <w:name w:val="批注主题 Char"/>
    <w:basedOn w:val="Char2"/>
    <w:link w:val="a9"/>
    <w:uiPriority w:val="99"/>
    <w:semiHidden/>
    <w:rsid w:val="00315632"/>
    <w:rPr>
      <w:b/>
      <w:bCs/>
    </w:rPr>
  </w:style>
</w:styles>
</file>

<file path=word/webSettings.xml><?xml version="1.0" encoding="utf-8"?>
<w:webSettings xmlns:r="http://schemas.openxmlformats.org/officeDocument/2006/relationships" xmlns:w="http://schemas.openxmlformats.org/wordprocessingml/2006/main">
  <w:divs>
    <w:div w:id="298153379">
      <w:bodyDiv w:val="1"/>
      <w:marLeft w:val="0"/>
      <w:marRight w:val="0"/>
      <w:marTop w:val="0"/>
      <w:marBottom w:val="0"/>
      <w:divBdr>
        <w:top w:val="none" w:sz="0" w:space="0" w:color="auto"/>
        <w:left w:val="none" w:sz="0" w:space="0" w:color="auto"/>
        <w:bottom w:val="none" w:sz="0" w:space="0" w:color="auto"/>
        <w:right w:val="none" w:sz="0" w:space="0" w:color="auto"/>
      </w:divBdr>
    </w:div>
    <w:div w:id="15739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4</DocSecurity>
  <Lines>7</Lines>
  <Paragraphs>2</Paragraphs>
  <ScaleCrop>false</ScaleCrop>
  <Company>Microsoft</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张莹雪</dc:creator>
  <cp:keywords/>
  <dc:description/>
  <cp:lastModifiedBy>ZHONGM</cp:lastModifiedBy>
  <cp:revision>2</cp:revision>
  <dcterms:created xsi:type="dcterms:W3CDTF">2024-08-13T16:00:00Z</dcterms:created>
  <dcterms:modified xsi:type="dcterms:W3CDTF">2024-08-13T16:00:00Z</dcterms:modified>
</cp:coreProperties>
</file>