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67C" w:rsidRPr="005F3731" w:rsidRDefault="00762F20">
      <w:pPr>
        <w:jc w:val="center"/>
        <w:rPr>
          <w:rFonts w:ascii="宋体" w:hAnsi="宋体"/>
          <w:b/>
          <w:szCs w:val="21"/>
        </w:rPr>
      </w:pPr>
      <w:r w:rsidRPr="005F3731">
        <w:rPr>
          <w:rFonts w:ascii="宋体" w:hAnsi="宋体" w:hint="eastAsia"/>
          <w:b/>
          <w:sz w:val="28"/>
          <w:szCs w:val="28"/>
        </w:rPr>
        <w:t>易方达基金管理有限公司旗下部分</w:t>
      </w:r>
      <w:r w:rsidRPr="005F3731">
        <w:rPr>
          <w:rFonts w:ascii="宋体" w:hAnsi="宋体" w:hint="eastAsia"/>
          <w:b/>
          <w:sz w:val="28"/>
          <w:szCs w:val="28"/>
        </w:rPr>
        <w:t>ETF</w:t>
      </w:r>
      <w:r w:rsidRPr="005F3731">
        <w:rPr>
          <w:rFonts w:ascii="宋体" w:hAnsi="宋体" w:hint="eastAsia"/>
          <w:b/>
          <w:sz w:val="28"/>
          <w:szCs w:val="28"/>
        </w:rPr>
        <w:t>增加</w:t>
      </w:r>
      <w:r w:rsidR="000E3C71" w:rsidRPr="005F3731">
        <w:rPr>
          <w:rFonts w:ascii="宋体" w:hAnsi="宋体"/>
          <w:b/>
          <w:sz w:val="28"/>
          <w:szCs w:val="28"/>
        </w:rPr>
        <w:t>华鑫证券</w:t>
      </w:r>
      <w:r w:rsidRPr="005F3731">
        <w:rPr>
          <w:rFonts w:ascii="宋体" w:hAnsi="宋体" w:hint="eastAsia"/>
          <w:b/>
          <w:sz w:val="28"/>
          <w:szCs w:val="28"/>
        </w:rPr>
        <w:t>为一级交易商的公告</w:t>
      </w:r>
    </w:p>
    <w:p w:rsidR="008B367C" w:rsidRPr="005F3731" w:rsidRDefault="00762F2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F3731">
        <w:rPr>
          <w:rFonts w:ascii="宋体" w:hAnsi="宋体" w:hint="eastAsia"/>
          <w:szCs w:val="21"/>
        </w:rPr>
        <w:t>经交易所确认，根据易方达基金管理有限公司（以下简称“本公司”）与</w:t>
      </w:r>
      <w:r w:rsidR="000E3C71" w:rsidRPr="005F3731">
        <w:rPr>
          <w:rFonts w:ascii="宋体" w:hAnsi="宋体" w:hint="eastAsia"/>
          <w:szCs w:val="21"/>
        </w:rPr>
        <w:t>华鑫证券有限责任公司</w:t>
      </w:r>
      <w:r w:rsidRPr="005F3731">
        <w:rPr>
          <w:rFonts w:ascii="宋体" w:hAnsi="宋体" w:hint="eastAsia"/>
          <w:szCs w:val="21"/>
        </w:rPr>
        <w:t>（以下简称“</w:t>
      </w:r>
      <w:r w:rsidR="000E3C71" w:rsidRPr="005F3731">
        <w:rPr>
          <w:rFonts w:ascii="宋体" w:hAnsi="宋体"/>
          <w:szCs w:val="21"/>
        </w:rPr>
        <w:t>华鑫证券</w:t>
      </w:r>
      <w:r w:rsidRPr="005F3731">
        <w:rPr>
          <w:rFonts w:ascii="宋体" w:hAnsi="宋体" w:hint="eastAsia"/>
          <w:szCs w:val="21"/>
        </w:rPr>
        <w:t>”）签署的协议，自</w:t>
      </w:r>
      <w:r w:rsidRPr="005F3731">
        <w:rPr>
          <w:rFonts w:ascii="宋体" w:hAnsi="宋体" w:hint="eastAsia"/>
          <w:szCs w:val="21"/>
        </w:rPr>
        <w:t>20</w:t>
      </w:r>
      <w:r w:rsidRPr="005F3731">
        <w:rPr>
          <w:rFonts w:ascii="宋体" w:hAnsi="宋体"/>
          <w:szCs w:val="21"/>
        </w:rPr>
        <w:t>24</w:t>
      </w:r>
      <w:r w:rsidRPr="005F3731">
        <w:rPr>
          <w:rFonts w:ascii="宋体" w:hAnsi="宋体" w:hint="eastAsia"/>
          <w:szCs w:val="21"/>
        </w:rPr>
        <w:t>年</w:t>
      </w:r>
      <w:r w:rsidR="000E3C71" w:rsidRPr="005F3731">
        <w:rPr>
          <w:rFonts w:ascii="宋体" w:hAnsi="宋体" w:hint="eastAsia"/>
          <w:szCs w:val="21"/>
        </w:rPr>
        <w:t>8</w:t>
      </w:r>
      <w:r w:rsidRPr="005F3731">
        <w:rPr>
          <w:rFonts w:ascii="宋体" w:hAnsi="宋体" w:hint="eastAsia"/>
          <w:szCs w:val="21"/>
        </w:rPr>
        <w:t>月</w:t>
      </w:r>
      <w:r w:rsidR="00E22BC0">
        <w:rPr>
          <w:rFonts w:ascii="宋体" w:hAnsi="宋体" w:hint="eastAsia"/>
          <w:szCs w:val="21"/>
        </w:rPr>
        <w:t>7</w:t>
      </w:r>
      <w:r w:rsidRPr="005F3731">
        <w:rPr>
          <w:rFonts w:ascii="宋体" w:hAnsi="宋体" w:hint="eastAsia"/>
          <w:szCs w:val="21"/>
        </w:rPr>
        <w:t>日起，本公司增加</w:t>
      </w:r>
      <w:r w:rsidR="000E3C71" w:rsidRPr="005F3731">
        <w:rPr>
          <w:rFonts w:ascii="宋体" w:hAnsi="宋体"/>
          <w:szCs w:val="21"/>
        </w:rPr>
        <w:t>华鑫证券</w:t>
      </w:r>
      <w:r w:rsidRPr="005F3731">
        <w:rPr>
          <w:rFonts w:ascii="宋体" w:hAnsi="宋体" w:hint="eastAsia"/>
          <w:szCs w:val="21"/>
        </w:rPr>
        <w:t>为旗下部分</w:t>
      </w:r>
      <w:r w:rsidRPr="005F3731">
        <w:rPr>
          <w:rFonts w:ascii="宋体" w:hAnsi="宋体" w:hint="eastAsia"/>
          <w:szCs w:val="21"/>
        </w:rPr>
        <w:t>ETF</w:t>
      </w:r>
      <w:r w:rsidRPr="005F3731">
        <w:rPr>
          <w:rFonts w:ascii="宋体" w:hAnsi="宋体" w:hint="eastAsia"/>
          <w:szCs w:val="21"/>
        </w:rPr>
        <w:t>的一级交易商（申购赎回代办证券公司），</w:t>
      </w:r>
      <w:r w:rsidRPr="005F3731">
        <w:rPr>
          <w:rStyle w:val="a7"/>
          <w:rFonts w:ascii="宋体" w:hAnsi="宋体" w:cs="Arial Unicode MS"/>
        </w:rPr>
        <w:t>具体的业务流程、办理时间和办理方式以</w:t>
      </w:r>
      <w:r w:rsidR="000E3C71" w:rsidRPr="005F3731">
        <w:rPr>
          <w:rStyle w:val="a7"/>
          <w:rFonts w:ascii="宋体" w:hAnsi="宋体" w:cs="宋体"/>
        </w:rPr>
        <w:t>华鑫证券</w:t>
      </w:r>
      <w:r w:rsidRPr="005F3731">
        <w:rPr>
          <w:rStyle w:val="a7"/>
          <w:rFonts w:ascii="宋体" w:hAnsi="宋体" w:cs="宋体"/>
        </w:rPr>
        <w:t>的规定为准</w:t>
      </w:r>
      <w:r w:rsidRPr="005F3731">
        <w:rPr>
          <w:rFonts w:ascii="宋体" w:hAnsi="宋体" w:hint="eastAsia"/>
          <w:szCs w:val="21"/>
        </w:rPr>
        <w:t>。</w:t>
      </w:r>
    </w:p>
    <w:p w:rsidR="008B367C" w:rsidRPr="005F3731" w:rsidRDefault="00762F20">
      <w:pPr>
        <w:spacing w:line="360" w:lineRule="auto"/>
        <w:ind w:firstLineChars="200" w:firstLine="420"/>
        <w:rPr>
          <w:rStyle w:val="a7"/>
          <w:rFonts w:ascii="宋体" w:hAnsi="宋体"/>
        </w:rPr>
      </w:pPr>
      <w:r w:rsidRPr="005F3731">
        <w:rPr>
          <w:rStyle w:val="a7"/>
          <w:rFonts w:ascii="宋体" w:hAnsi="宋体"/>
        </w:rPr>
        <w:t>现将有关事项公告如下：</w:t>
      </w:r>
    </w:p>
    <w:p w:rsidR="000E3C71" w:rsidRPr="005F3731" w:rsidRDefault="00762F2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F3731">
        <w:rPr>
          <w:rStyle w:val="a7"/>
          <w:rFonts w:ascii="宋体" w:hAnsi="宋体" w:cs="Arial Unicode MS" w:hint="eastAsia"/>
        </w:rPr>
        <w:t>一、</w:t>
      </w:r>
      <w:r w:rsidRPr="005F3731">
        <w:rPr>
          <w:rStyle w:val="a7"/>
          <w:rFonts w:ascii="宋体" w:hAnsi="宋体" w:hint="eastAsia"/>
        </w:rPr>
        <w:t>适用基金</w:t>
      </w:r>
    </w:p>
    <w:tbl>
      <w:tblPr>
        <w:tblW w:w="8500" w:type="dxa"/>
        <w:tblLook w:val="04A0"/>
      </w:tblPr>
      <w:tblGrid>
        <w:gridCol w:w="704"/>
        <w:gridCol w:w="1156"/>
        <w:gridCol w:w="3522"/>
        <w:gridCol w:w="1559"/>
        <w:gridCol w:w="1559"/>
      </w:tblGrid>
      <w:tr w:rsidR="006502E4" w:rsidTr="000E3C71">
        <w:trPr>
          <w:trHeight w:val="5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bCs/>
                <w:kern w:val="0"/>
                <w:szCs w:val="21"/>
              </w:rPr>
              <w:t>序号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bCs/>
                <w:kern w:val="0"/>
                <w:szCs w:val="21"/>
              </w:rPr>
              <w:t>基金代码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bCs/>
                <w:kern w:val="0"/>
                <w:szCs w:val="21"/>
              </w:rPr>
              <w:t>基金名称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bCs/>
                <w:kern w:val="0"/>
                <w:szCs w:val="21"/>
              </w:rPr>
              <w:t>场内简称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bCs/>
                <w:kern w:val="0"/>
                <w:szCs w:val="21"/>
              </w:rPr>
              <w:t>扩位证券简称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159532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易方达中证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2000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中证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2000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指数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ETF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——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159540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易方达国证信息技术创新主题交易型开放式指数证券投资基金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信创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ETF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指数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——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159606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易方达中证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500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质量成长交易型开放式指数证券投资基金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中证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500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成长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ETF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——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159686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易方达中证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100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中证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100ETF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——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159715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易方达中证稀土产业交易型开放式指数证券投资基金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稀土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ETF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——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159787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易方达中证全指建筑材料交易型开放式指数证券投资基金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建材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ETF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——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159788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易方达中证港股通中国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100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港股通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100ETF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——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159798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易方达中证消费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50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消费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50ETF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——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159807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易方达中证科技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50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科技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ETF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——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159847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易方达中证医疗交易型开放式指数证券投资基金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医疗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50ETF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——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159934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易方达黄金交易型开放式证券投资基金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黄金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ETF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——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510100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易方达上证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50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SZ50ETF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上证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50ETF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510130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易方达上证中盘交易型开放式指数证券投资基金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中盘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ETF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中盘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ETF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510310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易方达沪深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300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交易型开放式指数发起式证券投资基金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HS300ETF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沪深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300ETF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510580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易方达中证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500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ZZ500ETF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中证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500ETF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lastRenderedPageBreak/>
              <w:t>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512010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易方达沪深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300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医药卫生交易型开放式指数证券投资基金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医药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ETF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医药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ETF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512070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易方达沪深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300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非银行金融交易型开放式指数证券投资基金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证券保险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证券保险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ETF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512090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MSCI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中国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A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股国际通交易型开放式指数证券投资基金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MSCI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易基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MSCIA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股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ETF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512560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易方达中证军工交易型开放式指数证券投资基金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中证军工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军工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ETF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512570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易方达中证全指证券公司交易型开放式指数证券投资基金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中证证券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证券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ETF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513070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易方达中证港股通消费主题交易型开放式指数证券投资基金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HK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消费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港股消费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50ETF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513200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易方达中证港股通医药卫生综合交易型开放式指数证券投资基金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港股医药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港股通医药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ETF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513320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易方达恒生港股通新经济交易型开放式指数证券投资基金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HK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新经济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恒生新经济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ETF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515110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易方达中证国企一带一路交易型开放式指数证券投资基金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国企方达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一带一路国企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ETF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515180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易方达中证红利交易型开放式指数证券投资基金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100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红利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红利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ETF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515810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易方达中证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800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ZZ800ETF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中证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800ETF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516350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易方达中证芯片产业交易型开放式指数证券投资基金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芯片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半导体芯片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ETF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517030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易方达中证沪港深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300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HGS300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沪港深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300ETF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基金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517330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易方达中证长江保护主题交易型开放式指数证券投资基金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长江保护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长江保护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ETF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562900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易方达中证现代农业主题交易型开放式指数证券投资基金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现代农业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现代农业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ETF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562910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易方达中证装备产业交易型开放式指数证券投资基金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高端制造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高端制造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ETF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562950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易方达中证消费电子主题交易型开放式指数证券投资基金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消电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消费电子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50ETF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562960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易方达中证绿色电力交易型开放式指数证券投资基金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绿色电力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绿色电力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ETF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563050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易方达中证国新央企科技引领交易型开放式指数证券投资基金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科技央企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央企科技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50ETF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588020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易方达上证科创板成长交易型开放式指数证券投资基金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科创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50E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科创成长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50ETF</w:t>
            </w:r>
          </w:p>
        </w:tc>
      </w:tr>
      <w:tr w:rsidR="006502E4" w:rsidTr="000E3C71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588500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易方达上证科创板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100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增强策略交易型开放式指数证券投资基金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科创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100Z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3C71" w:rsidRPr="005F3731" w:rsidRDefault="00762F20" w:rsidP="000E3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F3731">
              <w:rPr>
                <w:rFonts w:ascii="宋体" w:hAnsi="宋体" w:cs="宋体" w:hint="eastAsia"/>
                <w:kern w:val="0"/>
                <w:szCs w:val="21"/>
              </w:rPr>
              <w:t>科创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100ETF</w:t>
            </w:r>
            <w:r w:rsidRPr="005F3731">
              <w:rPr>
                <w:rFonts w:ascii="宋体" w:hAnsi="宋体" w:cs="宋体" w:hint="eastAsia"/>
                <w:kern w:val="0"/>
                <w:szCs w:val="21"/>
              </w:rPr>
              <w:t>增强</w:t>
            </w:r>
          </w:p>
        </w:tc>
      </w:tr>
    </w:tbl>
    <w:p w:rsidR="00D95355" w:rsidRPr="005F3731" w:rsidRDefault="00762F2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F3731">
        <w:rPr>
          <w:rFonts w:ascii="宋体" w:hAnsi="宋体"/>
          <w:szCs w:val="21"/>
        </w:rPr>
        <w:t>注：</w:t>
      </w:r>
      <w:r w:rsidRPr="005F3731">
        <w:rPr>
          <w:rFonts w:ascii="宋体" w:hAnsi="宋体" w:hint="eastAsia"/>
          <w:szCs w:val="21"/>
        </w:rPr>
        <w:t>易方达黄金交易型开放式证券投资基金仅新增</w:t>
      </w:r>
      <w:r w:rsidR="000E3C71" w:rsidRPr="005F3731">
        <w:rPr>
          <w:rFonts w:ascii="宋体" w:hAnsi="宋体"/>
          <w:szCs w:val="21"/>
        </w:rPr>
        <w:t>华鑫证券</w:t>
      </w:r>
      <w:r w:rsidRPr="005F3731">
        <w:rPr>
          <w:rFonts w:ascii="宋体" w:hAnsi="宋体" w:hint="eastAsia"/>
          <w:szCs w:val="21"/>
        </w:rPr>
        <w:t>为现金申购赎回代办证券公司。</w:t>
      </w:r>
    </w:p>
    <w:p w:rsidR="00FB07F6" w:rsidRPr="005F3731" w:rsidRDefault="00762F2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F3731">
        <w:rPr>
          <w:rFonts w:ascii="宋体" w:hAnsi="宋体" w:hint="eastAsia"/>
          <w:szCs w:val="21"/>
        </w:rPr>
        <w:lastRenderedPageBreak/>
        <w:t>二、投资者可通过以下途径咨询有关详情</w:t>
      </w:r>
    </w:p>
    <w:p w:rsidR="008B367C" w:rsidRPr="005F3731" w:rsidRDefault="00762F2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F3731">
        <w:rPr>
          <w:rFonts w:ascii="宋体" w:hAnsi="宋体"/>
          <w:szCs w:val="21"/>
        </w:rPr>
        <w:t>1.</w:t>
      </w:r>
      <w:r w:rsidR="000E3C71" w:rsidRPr="005F3731">
        <w:rPr>
          <w:rFonts w:ascii="宋体" w:hAnsi="宋体"/>
          <w:szCs w:val="21"/>
        </w:rPr>
        <w:t>华鑫证券</w:t>
      </w:r>
    </w:p>
    <w:p w:rsidR="005F3731" w:rsidRPr="005F3731" w:rsidRDefault="00762F20" w:rsidP="005F373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F3731">
        <w:rPr>
          <w:rFonts w:ascii="宋体" w:hAnsi="宋体" w:hint="eastAsia"/>
          <w:szCs w:val="21"/>
        </w:rPr>
        <w:t>注册地址：深圳市福田区香蜜湖街道东海社区深南大道</w:t>
      </w:r>
      <w:r w:rsidRPr="005F3731">
        <w:rPr>
          <w:rFonts w:ascii="宋体" w:hAnsi="宋体" w:hint="eastAsia"/>
          <w:szCs w:val="21"/>
        </w:rPr>
        <w:t>7888</w:t>
      </w:r>
      <w:r w:rsidRPr="005F3731">
        <w:rPr>
          <w:rFonts w:ascii="宋体" w:hAnsi="宋体" w:hint="eastAsia"/>
          <w:szCs w:val="21"/>
        </w:rPr>
        <w:t>号东海国际中心一期</w:t>
      </w:r>
      <w:r w:rsidRPr="005F3731">
        <w:rPr>
          <w:rFonts w:ascii="宋体" w:hAnsi="宋体" w:hint="eastAsia"/>
          <w:szCs w:val="21"/>
        </w:rPr>
        <w:t>A</w:t>
      </w:r>
      <w:r w:rsidRPr="005F3731">
        <w:rPr>
          <w:rFonts w:ascii="宋体" w:hAnsi="宋体" w:hint="eastAsia"/>
          <w:szCs w:val="21"/>
        </w:rPr>
        <w:t>栋</w:t>
      </w:r>
      <w:r w:rsidRPr="005F3731">
        <w:rPr>
          <w:rFonts w:ascii="宋体" w:hAnsi="宋体" w:hint="eastAsia"/>
          <w:szCs w:val="21"/>
        </w:rPr>
        <w:t>2301A</w:t>
      </w:r>
    </w:p>
    <w:p w:rsidR="005F3731" w:rsidRPr="005F3731" w:rsidRDefault="00762F20" w:rsidP="005F373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F3731">
        <w:rPr>
          <w:rFonts w:ascii="宋体" w:hAnsi="宋体" w:hint="eastAsia"/>
          <w:szCs w:val="21"/>
        </w:rPr>
        <w:t>办公地址：上海市黄浦区福州路</w:t>
      </w:r>
      <w:r w:rsidRPr="005F3731">
        <w:rPr>
          <w:rFonts w:ascii="宋体" w:hAnsi="宋体" w:hint="eastAsia"/>
          <w:szCs w:val="21"/>
        </w:rPr>
        <w:t>666</w:t>
      </w:r>
      <w:r w:rsidRPr="005F3731">
        <w:rPr>
          <w:rFonts w:ascii="宋体" w:hAnsi="宋体" w:hint="eastAsia"/>
          <w:szCs w:val="21"/>
        </w:rPr>
        <w:t>号</w:t>
      </w:r>
      <w:r w:rsidRPr="005F3731">
        <w:rPr>
          <w:rFonts w:ascii="宋体" w:hAnsi="宋体" w:hint="eastAsia"/>
          <w:szCs w:val="21"/>
        </w:rPr>
        <w:t>6</w:t>
      </w:r>
      <w:r w:rsidRPr="005F3731">
        <w:rPr>
          <w:rFonts w:ascii="宋体" w:hAnsi="宋体" w:hint="eastAsia"/>
          <w:szCs w:val="21"/>
        </w:rPr>
        <w:t>楼</w:t>
      </w:r>
    </w:p>
    <w:p w:rsidR="005F3731" w:rsidRPr="005F3731" w:rsidRDefault="00762F20" w:rsidP="005F373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F3731">
        <w:rPr>
          <w:rFonts w:ascii="宋体" w:hAnsi="宋体" w:hint="eastAsia"/>
          <w:szCs w:val="21"/>
        </w:rPr>
        <w:t>法定代表人：俞洋</w:t>
      </w:r>
    </w:p>
    <w:p w:rsidR="005F3731" w:rsidRPr="005F3731" w:rsidRDefault="00762F20" w:rsidP="005F373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F3731">
        <w:rPr>
          <w:rFonts w:ascii="宋体" w:hAnsi="宋体" w:hint="eastAsia"/>
          <w:szCs w:val="21"/>
        </w:rPr>
        <w:t>联系人：</w:t>
      </w:r>
      <w:r w:rsidR="00C114D5" w:rsidRPr="00C114D5">
        <w:rPr>
          <w:rFonts w:ascii="宋体" w:hAnsi="宋体" w:hint="eastAsia"/>
          <w:szCs w:val="21"/>
        </w:rPr>
        <w:t>刘苏卉</w:t>
      </w:r>
    </w:p>
    <w:p w:rsidR="005F3731" w:rsidRPr="005F3731" w:rsidRDefault="00762F20" w:rsidP="005F373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F3731">
        <w:rPr>
          <w:rFonts w:ascii="宋体" w:hAnsi="宋体" w:hint="eastAsia"/>
          <w:szCs w:val="21"/>
        </w:rPr>
        <w:t>联</w:t>
      </w:r>
      <w:bookmarkStart w:id="0" w:name="_GoBack"/>
      <w:bookmarkEnd w:id="0"/>
      <w:r w:rsidRPr="005F3731">
        <w:rPr>
          <w:rFonts w:ascii="宋体" w:hAnsi="宋体" w:hint="eastAsia"/>
          <w:szCs w:val="21"/>
        </w:rPr>
        <w:t>系电话：</w:t>
      </w:r>
      <w:r w:rsidR="00C114D5" w:rsidRPr="00C114D5">
        <w:rPr>
          <w:rFonts w:ascii="宋体" w:hAnsi="宋体" w:hint="eastAsia"/>
          <w:szCs w:val="21"/>
        </w:rPr>
        <w:t>021-54967574</w:t>
      </w:r>
    </w:p>
    <w:p w:rsidR="005F3731" w:rsidRPr="005F3731" w:rsidRDefault="00762F20" w:rsidP="005F373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F3731">
        <w:rPr>
          <w:rFonts w:ascii="宋体" w:hAnsi="宋体" w:hint="eastAsia"/>
          <w:szCs w:val="21"/>
        </w:rPr>
        <w:t>客户服务电话：</w:t>
      </w:r>
      <w:r w:rsidRPr="005F3731">
        <w:rPr>
          <w:rFonts w:ascii="宋体" w:hAnsi="宋体" w:hint="eastAsia"/>
          <w:szCs w:val="21"/>
        </w:rPr>
        <w:t>95323</w:t>
      </w:r>
      <w:r w:rsidRPr="005F3731">
        <w:rPr>
          <w:rFonts w:ascii="宋体" w:hAnsi="宋体" w:hint="eastAsia"/>
          <w:szCs w:val="21"/>
        </w:rPr>
        <w:t>（全国）、</w:t>
      </w:r>
      <w:r w:rsidRPr="005F3731">
        <w:rPr>
          <w:rFonts w:ascii="宋体" w:hAnsi="宋体" w:hint="eastAsia"/>
          <w:szCs w:val="21"/>
        </w:rPr>
        <w:t>400-109-9918</w:t>
      </w:r>
      <w:r w:rsidRPr="005F3731">
        <w:rPr>
          <w:rFonts w:ascii="宋体" w:hAnsi="宋体" w:hint="eastAsia"/>
          <w:szCs w:val="21"/>
        </w:rPr>
        <w:t>（全国）</w:t>
      </w:r>
    </w:p>
    <w:p w:rsidR="005F3731" w:rsidRPr="005F3731" w:rsidRDefault="00762F20" w:rsidP="005F3731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F3731">
        <w:rPr>
          <w:rFonts w:ascii="宋体" w:hAnsi="宋体" w:hint="eastAsia"/>
          <w:szCs w:val="21"/>
        </w:rPr>
        <w:t>传真：</w:t>
      </w:r>
      <w:r w:rsidRPr="005F3731">
        <w:rPr>
          <w:rFonts w:ascii="宋体" w:hAnsi="宋体" w:hint="eastAsia"/>
          <w:szCs w:val="21"/>
        </w:rPr>
        <w:t>021-54967293</w:t>
      </w:r>
    </w:p>
    <w:p w:rsidR="008B367C" w:rsidRPr="005F3731" w:rsidRDefault="00762F2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F3731">
        <w:rPr>
          <w:rFonts w:ascii="宋体" w:hAnsi="宋体" w:hint="eastAsia"/>
          <w:szCs w:val="21"/>
        </w:rPr>
        <w:t>网址：</w:t>
      </w:r>
      <w:r w:rsidRPr="005F3731">
        <w:rPr>
          <w:rFonts w:ascii="宋体" w:hAnsi="宋体" w:hint="eastAsia"/>
          <w:szCs w:val="21"/>
        </w:rPr>
        <w:t>www.cfsc.com.cn</w:t>
      </w:r>
    </w:p>
    <w:p w:rsidR="008B367C" w:rsidRPr="005F3731" w:rsidRDefault="00762F2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F3731">
        <w:rPr>
          <w:rFonts w:ascii="宋体" w:hAnsi="宋体"/>
          <w:szCs w:val="21"/>
        </w:rPr>
        <w:t>2</w:t>
      </w:r>
      <w:r w:rsidRPr="005F3731">
        <w:rPr>
          <w:rFonts w:ascii="宋体" w:hAnsi="宋体" w:hint="eastAsia"/>
          <w:szCs w:val="21"/>
        </w:rPr>
        <w:t>.</w:t>
      </w:r>
      <w:r w:rsidRPr="005F3731">
        <w:rPr>
          <w:rFonts w:ascii="宋体" w:hAnsi="宋体" w:hint="eastAsia"/>
          <w:szCs w:val="21"/>
        </w:rPr>
        <w:t>易方达基金管理有限公司</w:t>
      </w:r>
    </w:p>
    <w:p w:rsidR="008B367C" w:rsidRPr="005F3731" w:rsidRDefault="00762F2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F3731">
        <w:rPr>
          <w:rFonts w:ascii="宋体" w:hAnsi="宋体" w:hint="eastAsia"/>
          <w:szCs w:val="21"/>
        </w:rPr>
        <w:t>客户服务电话：</w:t>
      </w:r>
      <w:r w:rsidRPr="005F3731">
        <w:rPr>
          <w:rFonts w:ascii="宋体" w:hAnsi="宋体" w:hint="eastAsia"/>
          <w:szCs w:val="21"/>
        </w:rPr>
        <w:t>400-881-8088</w:t>
      </w:r>
    </w:p>
    <w:p w:rsidR="008B367C" w:rsidRPr="005F3731" w:rsidRDefault="00762F2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F3731">
        <w:rPr>
          <w:rFonts w:ascii="宋体" w:hAnsi="宋体" w:hint="eastAsia"/>
          <w:szCs w:val="21"/>
        </w:rPr>
        <w:t>网址：</w:t>
      </w:r>
      <w:r w:rsidRPr="005F3731">
        <w:rPr>
          <w:rFonts w:ascii="宋体" w:hAnsi="宋体" w:hint="eastAsia"/>
          <w:szCs w:val="21"/>
        </w:rPr>
        <w:t>www.efunds.com.cn</w:t>
      </w:r>
    </w:p>
    <w:p w:rsidR="008B367C" w:rsidRPr="005F3731" w:rsidRDefault="00762F2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F3731">
        <w:rPr>
          <w:rFonts w:ascii="宋体" w:hAnsi="宋体" w:hint="eastAsia"/>
          <w:szCs w:val="21"/>
        </w:rPr>
        <w:t>风险提示：</w:t>
      </w:r>
      <w:r w:rsidRPr="005F3731">
        <w:rPr>
          <w:rFonts w:ascii="宋体" w:hAnsi="宋体" w:cs="Arial Unicode MS" w:hint="eastAsia"/>
          <w:szCs w:val="21"/>
        </w:rPr>
        <w:t>基金管理人承诺以诚实信用、勤勉尽责的原则管理和运用基金资产，但不保证基金一定盈利，也不保证最低收益。销售机构根据法规要求对投资者类别、风险承受能力和基金的风险等级进行划分，并提出适当性匹配意见。投资者在投资基金前应认真阅读基金合同、招募说明书（更新）和基金产品资料概要（更新）等基金法律文件，全面认识基金产品的风险收益特征，在了解产品情况及销售机构适当性意见的基础上，根据自身的风险承受能力、投</w:t>
      </w:r>
      <w:r w:rsidRPr="005F3731">
        <w:rPr>
          <w:rFonts w:ascii="宋体" w:hAnsi="宋体" w:cs="Arial Unicode MS" w:hint="eastAsia"/>
          <w:szCs w:val="21"/>
        </w:rPr>
        <w:t>资期限和投资目标，对基金投资作出独立决策，选择合适的基金产品。基金管理人提醒投资者基金投资的“买者自负”原则，在投资者作出投资决策后，基金运营状况与基金净值变化引致的投资风险，由投资者自行负责。</w:t>
      </w:r>
    </w:p>
    <w:p w:rsidR="008B367C" w:rsidRPr="005F3731" w:rsidRDefault="00762F20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5F3731">
        <w:rPr>
          <w:rFonts w:ascii="宋体" w:hAnsi="宋体" w:hint="eastAsia"/>
          <w:szCs w:val="21"/>
        </w:rPr>
        <w:t>特此公告。</w:t>
      </w:r>
    </w:p>
    <w:p w:rsidR="008B367C" w:rsidRPr="005F3731" w:rsidRDefault="00762F20">
      <w:pPr>
        <w:spacing w:line="360" w:lineRule="auto"/>
        <w:jc w:val="right"/>
        <w:rPr>
          <w:rFonts w:ascii="宋体" w:hAnsi="宋体"/>
          <w:szCs w:val="21"/>
        </w:rPr>
      </w:pPr>
      <w:r w:rsidRPr="005F3731">
        <w:rPr>
          <w:rFonts w:ascii="宋体" w:hAnsi="宋体" w:hint="eastAsia"/>
          <w:szCs w:val="21"/>
        </w:rPr>
        <w:t>易方达基金管理有限公司</w:t>
      </w:r>
    </w:p>
    <w:p w:rsidR="008B367C" w:rsidRPr="005F3731" w:rsidRDefault="00762F20">
      <w:pPr>
        <w:tabs>
          <w:tab w:val="left" w:pos="540"/>
        </w:tabs>
        <w:spacing w:line="360" w:lineRule="auto"/>
        <w:jc w:val="right"/>
        <w:rPr>
          <w:rFonts w:ascii="宋体" w:hAnsi="宋体"/>
          <w:szCs w:val="21"/>
        </w:rPr>
      </w:pPr>
      <w:r w:rsidRPr="005F3731">
        <w:rPr>
          <w:rFonts w:ascii="宋体" w:hAnsi="宋体" w:hint="eastAsia"/>
          <w:szCs w:val="21"/>
        </w:rPr>
        <w:t>202</w:t>
      </w:r>
      <w:r w:rsidRPr="005F3731">
        <w:rPr>
          <w:rFonts w:ascii="宋体" w:hAnsi="宋体"/>
          <w:szCs w:val="21"/>
        </w:rPr>
        <w:t>4</w:t>
      </w:r>
      <w:r w:rsidRPr="005F3731">
        <w:rPr>
          <w:rFonts w:ascii="宋体" w:hAnsi="宋体" w:hint="eastAsia"/>
          <w:szCs w:val="21"/>
        </w:rPr>
        <w:t>年</w:t>
      </w:r>
      <w:r w:rsidR="000E3C71" w:rsidRPr="005F3731">
        <w:rPr>
          <w:rFonts w:ascii="宋体" w:hAnsi="宋体"/>
          <w:szCs w:val="21"/>
        </w:rPr>
        <w:t>8</w:t>
      </w:r>
      <w:r w:rsidRPr="005F3731">
        <w:rPr>
          <w:rFonts w:ascii="宋体" w:hAnsi="宋体" w:hint="eastAsia"/>
          <w:szCs w:val="21"/>
        </w:rPr>
        <w:t>月</w:t>
      </w:r>
      <w:r w:rsidR="00E22BC0">
        <w:rPr>
          <w:rFonts w:ascii="宋体" w:hAnsi="宋体"/>
          <w:szCs w:val="21"/>
        </w:rPr>
        <w:t>7</w:t>
      </w:r>
      <w:r w:rsidRPr="005F3731">
        <w:rPr>
          <w:rFonts w:ascii="宋体" w:hAnsi="宋体" w:hint="eastAsia"/>
          <w:szCs w:val="21"/>
        </w:rPr>
        <w:t>日</w:t>
      </w:r>
    </w:p>
    <w:sectPr w:rsidR="008B367C" w:rsidRPr="005F3731" w:rsidSect="00260578">
      <w:headerReference w:type="default" r:id="rId6"/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2E4" w:rsidRDefault="006502E4" w:rsidP="006502E4">
      <w:r>
        <w:separator/>
      </w:r>
    </w:p>
  </w:endnote>
  <w:endnote w:type="continuationSeparator" w:id="0">
    <w:p w:rsidR="006502E4" w:rsidRDefault="006502E4" w:rsidP="00650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2E4" w:rsidRDefault="006502E4" w:rsidP="006502E4">
      <w:r>
        <w:separator/>
      </w:r>
    </w:p>
  </w:footnote>
  <w:footnote w:type="continuationSeparator" w:id="0">
    <w:p w:rsidR="006502E4" w:rsidRDefault="006502E4" w:rsidP="00650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67C" w:rsidRDefault="008B367C" w:rsidP="00F73F45">
    <w:pPr>
      <w:pStyle w:val="a5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k3NTc1OTc1NDQ1YTdmZWE5MjY1MDBhZTNlMTRmZmEifQ=="/>
  </w:docVars>
  <w:rsids>
    <w:rsidRoot w:val="00FC1845"/>
    <w:rsid w:val="000E17B5"/>
    <w:rsid w:val="000E3C71"/>
    <w:rsid w:val="0014426A"/>
    <w:rsid w:val="001C0FAD"/>
    <w:rsid w:val="001C11F9"/>
    <w:rsid w:val="001F7D99"/>
    <w:rsid w:val="00260578"/>
    <w:rsid w:val="002B2699"/>
    <w:rsid w:val="002E7C10"/>
    <w:rsid w:val="00300A11"/>
    <w:rsid w:val="00310F41"/>
    <w:rsid w:val="00324C31"/>
    <w:rsid w:val="0033299E"/>
    <w:rsid w:val="00332F2A"/>
    <w:rsid w:val="0033322A"/>
    <w:rsid w:val="003522F0"/>
    <w:rsid w:val="00392490"/>
    <w:rsid w:val="003E1445"/>
    <w:rsid w:val="003E3E54"/>
    <w:rsid w:val="003E5923"/>
    <w:rsid w:val="00424307"/>
    <w:rsid w:val="00426C20"/>
    <w:rsid w:val="00456DD1"/>
    <w:rsid w:val="005021D2"/>
    <w:rsid w:val="00537247"/>
    <w:rsid w:val="005508C3"/>
    <w:rsid w:val="00591FA7"/>
    <w:rsid w:val="005D2465"/>
    <w:rsid w:val="005D413B"/>
    <w:rsid w:val="005D78DD"/>
    <w:rsid w:val="005E6632"/>
    <w:rsid w:val="005F153C"/>
    <w:rsid w:val="005F3731"/>
    <w:rsid w:val="00625406"/>
    <w:rsid w:val="00625BC6"/>
    <w:rsid w:val="006502E4"/>
    <w:rsid w:val="00662EB6"/>
    <w:rsid w:val="0068154B"/>
    <w:rsid w:val="00703BDB"/>
    <w:rsid w:val="007072EE"/>
    <w:rsid w:val="00745563"/>
    <w:rsid w:val="00762F20"/>
    <w:rsid w:val="0077218E"/>
    <w:rsid w:val="00787F6E"/>
    <w:rsid w:val="0079688B"/>
    <w:rsid w:val="007D7257"/>
    <w:rsid w:val="00812241"/>
    <w:rsid w:val="00822C3C"/>
    <w:rsid w:val="0084306D"/>
    <w:rsid w:val="00877BEF"/>
    <w:rsid w:val="00885732"/>
    <w:rsid w:val="008B367C"/>
    <w:rsid w:val="008E64DA"/>
    <w:rsid w:val="00900C3D"/>
    <w:rsid w:val="0090280D"/>
    <w:rsid w:val="00920DCA"/>
    <w:rsid w:val="00955C49"/>
    <w:rsid w:val="00966C35"/>
    <w:rsid w:val="009804DC"/>
    <w:rsid w:val="00980DE8"/>
    <w:rsid w:val="00984F02"/>
    <w:rsid w:val="009911F4"/>
    <w:rsid w:val="00A61E98"/>
    <w:rsid w:val="00A676F4"/>
    <w:rsid w:val="00A70D42"/>
    <w:rsid w:val="00B074BB"/>
    <w:rsid w:val="00B449B9"/>
    <w:rsid w:val="00B85E85"/>
    <w:rsid w:val="00BA7B2D"/>
    <w:rsid w:val="00BB2397"/>
    <w:rsid w:val="00BB4D0D"/>
    <w:rsid w:val="00BD0487"/>
    <w:rsid w:val="00BF4860"/>
    <w:rsid w:val="00C114D5"/>
    <w:rsid w:val="00C16ECE"/>
    <w:rsid w:val="00C523B8"/>
    <w:rsid w:val="00C670A8"/>
    <w:rsid w:val="00C94CC2"/>
    <w:rsid w:val="00CB2379"/>
    <w:rsid w:val="00D0573A"/>
    <w:rsid w:val="00D05C2F"/>
    <w:rsid w:val="00D41197"/>
    <w:rsid w:val="00D64775"/>
    <w:rsid w:val="00D95355"/>
    <w:rsid w:val="00E03C5A"/>
    <w:rsid w:val="00E22BC0"/>
    <w:rsid w:val="00E345B1"/>
    <w:rsid w:val="00E857AE"/>
    <w:rsid w:val="00E969AF"/>
    <w:rsid w:val="00E97757"/>
    <w:rsid w:val="00EB4D00"/>
    <w:rsid w:val="00EC2909"/>
    <w:rsid w:val="00F06672"/>
    <w:rsid w:val="00F44772"/>
    <w:rsid w:val="00F53B63"/>
    <w:rsid w:val="00F73F45"/>
    <w:rsid w:val="00F90B14"/>
    <w:rsid w:val="00F9116F"/>
    <w:rsid w:val="00FA340E"/>
    <w:rsid w:val="00FB07F6"/>
    <w:rsid w:val="00FC1845"/>
    <w:rsid w:val="00FD5A4A"/>
    <w:rsid w:val="00FE18BE"/>
    <w:rsid w:val="0348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semiHidden="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uiPriority w:val="99"/>
    <w:semiHidden/>
    <w:unhideWhenUsed/>
    <w:qFormat/>
    <w:rsid w:val="006502E4"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unhideWhenUsed/>
    <w:qFormat/>
    <w:rsid w:val="006502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650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39"/>
    <w:rsid w:val="00650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uiPriority w:val="99"/>
    <w:qFormat/>
    <w:rsid w:val="006502E4"/>
    <w:rPr>
      <w:rFonts w:ascii="宋体" w:eastAsia="宋体" w:hAnsi="宋体" w:cs="宋体"/>
      <w:sz w:val="24"/>
      <w:szCs w:val="24"/>
    </w:rPr>
  </w:style>
  <w:style w:type="character" w:styleId="a7">
    <w:name w:val="annotation reference"/>
    <w:basedOn w:val="a0"/>
    <w:uiPriority w:val="99"/>
    <w:unhideWhenUsed/>
    <w:qFormat/>
    <w:rsid w:val="006502E4"/>
    <w:rPr>
      <w:sz w:val="21"/>
      <w:szCs w:val="21"/>
    </w:rPr>
  </w:style>
  <w:style w:type="character" w:customStyle="1" w:styleId="Char1">
    <w:name w:val="页眉 Char"/>
    <w:basedOn w:val="a0"/>
    <w:link w:val="a5"/>
    <w:autoRedefine/>
    <w:uiPriority w:val="99"/>
    <w:qFormat/>
    <w:rsid w:val="006502E4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6502E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02E4"/>
    <w:rPr>
      <w:rFonts w:ascii="Times New Roman" w:eastAsia="宋体" w:hAnsi="Times New Roman" w:cs="Times New Roman"/>
      <w:sz w:val="18"/>
      <w:szCs w:val="18"/>
    </w:rPr>
  </w:style>
  <w:style w:type="paragraph" w:styleId="a8">
    <w:name w:val="Revision"/>
    <w:hidden/>
    <w:uiPriority w:val="99"/>
    <w:semiHidden/>
    <w:rsid w:val="00F44772"/>
    <w:rPr>
      <w:kern w:val="2"/>
      <w:sz w:val="21"/>
      <w:szCs w:val="24"/>
    </w:rPr>
  </w:style>
  <w:style w:type="character" w:styleId="a9">
    <w:name w:val="Hyperlink"/>
    <w:basedOn w:val="a0"/>
    <w:uiPriority w:val="99"/>
    <w:semiHidden/>
    <w:unhideWhenUsed/>
    <w:rsid w:val="00F447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2254</Characters>
  <Application>Microsoft Office Word</Application>
  <DocSecurity>4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2024-08-06T16:02:00Z</dcterms:created>
  <dcterms:modified xsi:type="dcterms:W3CDTF">2024-08-06T16:02:00Z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FE9DB9DF99694CB3B7C42B607E3DDF11_12</vt:lpwstr>
  </property>
  <property fmtid="{D5CDD505-2E9C-101B-9397-08002B2CF9AE}" pid="3" name="KSOProductBuildVer">
    <vt:lpwstr>2052-12.1.0.16417</vt:lpwstr>
  </property>
</Properties>
</file>