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B83" w:rsidRPr="008D3E16" w:rsidRDefault="00454E75">
      <w:pPr>
        <w:widowControl/>
        <w:jc w:val="center"/>
        <w:rPr>
          <w:rFonts w:ascii="华文仿宋" w:eastAsia="华文仿宋" w:hAnsi="华文仿宋" w:cs="宋体"/>
          <w:b/>
          <w:color w:val="000000"/>
          <w:kern w:val="0"/>
          <w:sz w:val="30"/>
          <w:szCs w:val="30"/>
        </w:rPr>
      </w:pPr>
      <w:r w:rsidRPr="008D3E16">
        <w:rPr>
          <w:rFonts w:ascii="华文仿宋" w:eastAsia="华文仿宋" w:hAnsi="华文仿宋" w:cs="宋体" w:hint="eastAsia"/>
          <w:b/>
          <w:color w:val="000000"/>
          <w:kern w:val="0"/>
          <w:sz w:val="30"/>
          <w:szCs w:val="30"/>
        </w:rPr>
        <w:t>泰信基金管理有限公司关于旗下部分基金</w:t>
      </w:r>
    </w:p>
    <w:p w:rsidR="00955B83" w:rsidRPr="008D3E16" w:rsidRDefault="00454E75">
      <w:pPr>
        <w:widowControl/>
        <w:jc w:val="center"/>
        <w:rPr>
          <w:rFonts w:ascii="华文仿宋" w:eastAsia="华文仿宋" w:hAnsi="华文仿宋" w:cs="宋体"/>
          <w:b/>
          <w:color w:val="000000"/>
          <w:kern w:val="0"/>
          <w:sz w:val="30"/>
          <w:szCs w:val="30"/>
        </w:rPr>
      </w:pPr>
      <w:r w:rsidRPr="008D3E16">
        <w:rPr>
          <w:rFonts w:ascii="华文仿宋" w:eastAsia="华文仿宋" w:hAnsi="华文仿宋" w:cs="宋体" w:hint="eastAsia"/>
          <w:b/>
          <w:color w:val="000000"/>
          <w:kern w:val="0"/>
          <w:sz w:val="30"/>
          <w:szCs w:val="30"/>
        </w:rPr>
        <w:t>新增中国邮政储蓄银行股份有限公司“邮你同赢”同业平台</w:t>
      </w:r>
    </w:p>
    <w:p w:rsidR="00955B83" w:rsidRPr="008D3E16" w:rsidRDefault="00454E75">
      <w:pPr>
        <w:widowControl/>
        <w:jc w:val="center"/>
        <w:rPr>
          <w:rFonts w:ascii="华文仿宋" w:eastAsia="华文仿宋" w:hAnsi="华文仿宋" w:cs="宋体"/>
          <w:b/>
          <w:color w:val="000000"/>
          <w:kern w:val="0"/>
          <w:sz w:val="30"/>
          <w:szCs w:val="30"/>
        </w:rPr>
      </w:pPr>
      <w:r w:rsidRPr="008D3E16">
        <w:rPr>
          <w:rFonts w:ascii="华文仿宋" w:eastAsia="华文仿宋" w:hAnsi="华文仿宋" w:cs="宋体" w:hint="eastAsia"/>
          <w:b/>
          <w:color w:val="000000"/>
          <w:kern w:val="0"/>
          <w:sz w:val="30"/>
          <w:szCs w:val="30"/>
        </w:rPr>
        <w:t>为销售机构并开通转换业务的公告</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根据泰信基金管理有限公司（以下简称“本公司”）与中国邮政储蓄银行股份有限公司（以下简称“邮储银行”）签署的相关协议，自</w:t>
      </w:r>
      <w:r>
        <w:rPr>
          <w:rFonts w:ascii="华文仿宋" w:eastAsia="华文仿宋" w:hAnsi="华文仿宋"/>
          <w:sz w:val="28"/>
          <w:szCs w:val="28"/>
        </w:rPr>
        <w:t>202</w:t>
      </w:r>
      <w:r>
        <w:rPr>
          <w:rFonts w:ascii="华文仿宋" w:eastAsia="华文仿宋" w:hAnsi="华文仿宋" w:hint="eastAsia"/>
          <w:sz w:val="28"/>
          <w:szCs w:val="28"/>
        </w:rPr>
        <w:t>4</w:t>
      </w:r>
      <w:r>
        <w:rPr>
          <w:rFonts w:ascii="华文仿宋" w:eastAsia="华文仿宋" w:hAnsi="华文仿宋"/>
          <w:sz w:val="28"/>
          <w:szCs w:val="28"/>
        </w:rPr>
        <w:t>年</w:t>
      </w:r>
      <w:r>
        <w:rPr>
          <w:rFonts w:ascii="华文仿宋" w:eastAsia="华文仿宋" w:hAnsi="华文仿宋" w:hint="eastAsia"/>
          <w:sz w:val="28"/>
          <w:szCs w:val="28"/>
        </w:rPr>
        <w:t>8</w:t>
      </w:r>
      <w:r>
        <w:rPr>
          <w:rFonts w:ascii="华文仿宋" w:eastAsia="华文仿宋" w:hAnsi="华文仿宋"/>
          <w:sz w:val="28"/>
          <w:szCs w:val="28"/>
        </w:rPr>
        <w:t>月</w:t>
      </w:r>
      <w:r>
        <w:rPr>
          <w:rFonts w:ascii="华文仿宋" w:eastAsia="华文仿宋" w:hAnsi="华文仿宋" w:hint="eastAsia"/>
          <w:sz w:val="28"/>
          <w:szCs w:val="28"/>
        </w:rPr>
        <w:t>6</w:t>
      </w:r>
      <w:r>
        <w:rPr>
          <w:rFonts w:ascii="华文仿宋" w:eastAsia="华文仿宋" w:hAnsi="华文仿宋"/>
          <w:sz w:val="28"/>
          <w:szCs w:val="28"/>
        </w:rPr>
        <w:t>日</w:t>
      </w:r>
      <w:r>
        <w:rPr>
          <w:rFonts w:ascii="华文仿宋" w:eastAsia="华文仿宋" w:hAnsi="华文仿宋" w:hint="eastAsia"/>
          <w:sz w:val="28"/>
          <w:szCs w:val="28"/>
        </w:rPr>
        <w:t>起</w:t>
      </w:r>
      <w:r>
        <w:rPr>
          <w:rFonts w:ascii="华文仿宋" w:eastAsia="华文仿宋" w:hAnsi="华文仿宋"/>
          <w:sz w:val="28"/>
          <w:szCs w:val="28"/>
        </w:rPr>
        <w:t>本公司旗下部分开放式基金新增</w:t>
      </w:r>
      <w:r>
        <w:rPr>
          <w:rFonts w:ascii="华文仿宋" w:eastAsia="华文仿宋" w:hAnsi="华文仿宋" w:hint="eastAsia"/>
          <w:sz w:val="28"/>
          <w:szCs w:val="28"/>
        </w:rPr>
        <w:t>邮储银行“邮你同赢”同业平台</w:t>
      </w:r>
      <w:r>
        <w:rPr>
          <w:rFonts w:ascii="华文仿宋" w:eastAsia="华文仿宋" w:hAnsi="华文仿宋"/>
          <w:sz w:val="28"/>
          <w:szCs w:val="28"/>
        </w:rPr>
        <w:t>为销售机构，并开通转换业务</w:t>
      </w:r>
      <w:r>
        <w:rPr>
          <w:rFonts w:ascii="华文仿宋" w:eastAsia="华文仿宋" w:hAnsi="华文仿宋" w:hint="eastAsia"/>
          <w:sz w:val="28"/>
          <w:szCs w:val="28"/>
        </w:rPr>
        <w:t>。</w:t>
      </w:r>
    </w:p>
    <w:p w:rsidR="00955B83" w:rsidRDefault="00454E75">
      <w:pPr>
        <w:pStyle w:val="Default"/>
        <w:numPr>
          <w:ilvl w:val="0"/>
          <w:numId w:val="1"/>
        </w:numPr>
        <w:rPr>
          <w:rFonts w:ascii="华文仿宋" w:eastAsia="华文仿宋" w:hAnsi="华文仿宋"/>
          <w:sz w:val="28"/>
          <w:szCs w:val="28"/>
        </w:rPr>
      </w:pPr>
      <w:r>
        <w:rPr>
          <w:rFonts w:ascii="华文仿宋" w:eastAsia="华文仿宋" w:hAnsi="华文仿宋" w:hint="eastAsia"/>
          <w:sz w:val="28"/>
          <w:szCs w:val="28"/>
        </w:rPr>
        <w:t>新增销售基金范围及业务开通情况：</w:t>
      </w:r>
    </w:p>
    <w:tbl>
      <w:tblPr>
        <w:tblW w:w="8239" w:type="dxa"/>
        <w:tblInd w:w="96" w:type="dxa"/>
        <w:tblLook w:val="04A0"/>
      </w:tblPr>
      <w:tblGrid>
        <w:gridCol w:w="3799"/>
        <w:gridCol w:w="2568"/>
        <w:gridCol w:w="1872"/>
      </w:tblGrid>
      <w:tr w:rsidR="00955B83" w:rsidRPr="00745AC6">
        <w:trPr>
          <w:trHeight w:val="288"/>
        </w:trPr>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454E75">
            <w:pPr>
              <w:widowControl/>
              <w:jc w:val="center"/>
              <w:textAlignment w:val="center"/>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基金</w:t>
            </w:r>
            <w:r w:rsidR="001E3D1E">
              <w:rPr>
                <w:rFonts w:ascii="仿宋" w:eastAsia="仿宋" w:hAnsi="仿宋" w:cs="仿宋" w:hint="eastAsia"/>
                <w:color w:val="000000"/>
                <w:kern w:val="0"/>
                <w:sz w:val="24"/>
                <w:szCs w:val="24"/>
                <w:lang/>
              </w:rPr>
              <w:t>简</w:t>
            </w:r>
            <w:r w:rsidRPr="00745AC6">
              <w:rPr>
                <w:rFonts w:ascii="仿宋" w:eastAsia="仿宋" w:hAnsi="仿宋" w:cs="仿宋" w:hint="eastAsia"/>
                <w:color w:val="000000"/>
                <w:kern w:val="0"/>
                <w:sz w:val="24"/>
                <w:szCs w:val="24"/>
                <w:lang/>
              </w:rPr>
              <w:t>称</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454E75">
            <w:pPr>
              <w:widowControl/>
              <w:jc w:val="center"/>
              <w:textAlignment w:val="center"/>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基金代码</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E61F79">
            <w:pPr>
              <w:widowControl/>
              <w:jc w:val="center"/>
              <w:textAlignment w:val="center"/>
              <w:rPr>
                <w:rFonts w:ascii="仿宋" w:eastAsia="仿宋" w:hAnsi="仿宋" w:cs="仿宋"/>
                <w:color w:val="000000"/>
                <w:sz w:val="24"/>
                <w:szCs w:val="24"/>
              </w:rPr>
            </w:pPr>
            <w:r w:rsidRPr="00E61F79">
              <w:rPr>
                <w:rFonts w:ascii="仿宋" w:eastAsia="仿宋" w:hAnsi="仿宋" w:cs="仿宋" w:hint="eastAsia"/>
                <w:color w:val="000000"/>
                <w:kern w:val="0"/>
                <w:sz w:val="24"/>
                <w:szCs w:val="24"/>
                <w:lang/>
              </w:rPr>
              <w:t>是否开通</w:t>
            </w:r>
            <w:r w:rsidR="00454E75" w:rsidRPr="00745AC6">
              <w:rPr>
                <w:rFonts w:ascii="仿宋" w:eastAsia="仿宋" w:hAnsi="仿宋" w:cs="仿宋" w:hint="eastAsia"/>
                <w:color w:val="000000"/>
                <w:kern w:val="0"/>
                <w:sz w:val="24"/>
                <w:szCs w:val="24"/>
                <w:lang/>
              </w:rPr>
              <w:t>转换</w:t>
            </w:r>
          </w:p>
        </w:tc>
      </w:tr>
      <w:tr w:rsidR="00955B83" w:rsidRPr="00745AC6">
        <w:trPr>
          <w:trHeight w:val="288"/>
        </w:trPr>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454E75">
            <w:pPr>
              <w:widowControl/>
              <w:jc w:val="center"/>
              <w:textAlignment w:val="center"/>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泰信鑫益定期开放A</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454E75">
            <w:pPr>
              <w:widowControl/>
              <w:jc w:val="center"/>
              <w:textAlignment w:val="center"/>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000212</w:t>
            </w:r>
          </w:p>
        </w:tc>
        <w:tc>
          <w:tcPr>
            <w:tcW w:w="1872" w:type="dxa"/>
            <w:tcBorders>
              <w:top w:val="single" w:sz="4" w:space="0" w:color="000000"/>
              <w:left w:val="single" w:sz="4" w:space="0" w:color="000000"/>
              <w:bottom w:val="nil"/>
              <w:right w:val="single" w:sz="4" w:space="0" w:color="000000"/>
            </w:tcBorders>
            <w:shd w:val="clear" w:color="auto" w:fill="auto"/>
            <w:vAlign w:val="center"/>
          </w:tcPr>
          <w:p w:rsidR="00955B83" w:rsidRPr="00745AC6" w:rsidRDefault="00454E75">
            <w:pPr>
              <w:widowControl/>
              <w:jc w:val="center"/>
              <w:textAlignment w:val="center"/>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是</w:t>
            </w:r>
          </w:p>
        </w:tc>
      </w:tr>
      <w:tr w:rsidR="00955B83" w:rsidRPr="00745AC6">
        <w:trPr>
          <w:trHeight w:val="288"/>
        </w:trPr>
        <w:tc>
          <w:tcPr>
            <w:tcW w:w="37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454E75">
            <w:pPr>
              <w:widowControl/>
              <w:jc w:val="center"/>
              <w:textAlignment w:val="center"/>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泰信添利30天持有期债券发起式</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454E75">
            <w:pPr>
              <w:widowControl/>
              <w:jc w:val="center"/>
              <w:textAlignment w:val="center"/>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A类：014195</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454E75">
            <w:pPr>
              <w:widowControl/>
              <w:jc w:val="center"/>
              <w:textAlignment w:val="center"/>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是</w:t>
            </w:r>
          </w:p>
        </w:tc>
      </w:tr>
      <w:tr w:rsidR="00955B83" w:rsidRPr="00745AC6">
        <w:trPr>
          <w:trHeight w:val="288"/>
        </w:trPr>
        <w:tc>
          <w:tcPr>
            <w:tcW w:w="37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955B83">
            <w:pPr>
              <w:jc w:val="center"/>
              <w:rPr>
                <w:rFonts w:ascii="仿宋" w:eastAsia="仿宋" w:hAnsi="仿宋" w:cs="仿宋"/>
                <w:color w:val="000000"/>
                <w:sz w:val="24"/>
                <w:szCs w:val="24"/>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454E75">
            <w:pPr>
              <w:widowControl/>
              <w:jc w:val="center"/>
              <w:textAlignment w:val="center"/>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C类：014196</w:t>
            </w: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955B83">
            <w:pPr>
              <w:jc w:val="center"/>
              <w:rPr>
                <w:rFonts w:ascii="仿宋" w:eastAsia="仿宋" w:hAnsi="仿宋" w:cs="仿宋"/>
                <w:color w:val="000000"/>
                <w:sz w:val="24"/>
                <w:szCs w:val="24"/>
              </w:rPr>
            </w:pPr>
          </w:p>
        </w:tc>
      </w:tr>
      <w:tr w:rsidR="00955B83" w:rsidRPr="00745AC6">
        <w:trPr>
          <w:trHeight w:val="288"/>
        </w:trPr>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454E75">
            <w:pPr>
              <w:widowControl/>
              <w:jc w:val="center"/>
              <w:textAlignment w:val="center"/>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泰信汇盈债券A</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955B83" w:rsidRPr="00745AC6" w:rsidRDefault="00454E75">
            <w:pPr>
              <w:widowControl/>
              <w:jc w:val="center"/>
              <w:textAlignment w:val="top"/>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014502</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454E75">
            <w:pPr>
              <w:widowControl/>
              <w:jc w:val="center"/>
              <w:textAlignment w:val="center"/>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是</w:t>
            </w:r>
          </w:p>
        </w:tc>
      </w:tr>
      <w:tr w:rsidR="00955B83" w:rsidRPr="00745AC6">
        <w:trPr>
          <w:trHeight w:val="288"/>
        </w:trPr>
        <w:tc>
          <w:tcPr>
            <w:tcW w:w="37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454E75">
            <w:pPr>
              <w:widowControl/>
              <w:jc w:val="center"/>
              <w:textAlignment w:val="center"/>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泰信添鑫中短债债券</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955B83" w:rsidRPr="00745AC6" w:rsidRDefault="00454E75">
            <w:pPr>
              <w:widowControl/>
              <w:jc w:val="center"/>
              <w:textAlignment w:val="top"/>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A类：016239</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454E75">
            <w:pPr>
              <w:widowControl/>
              <w:jc w:val="center"/>
              <w:textAlignment w:val="center"/>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是</w:t>
            </w:r>
          </w:p>
        </w:tc>
      </w:tr>
      <w:tr w:rsidR="00955B83" w:rsidRPr="00745AC6">
        <w:trPr>
          <w:trHeight w:val="288"/>
        </w:trPr>
        <w:tc>
          <w:tcPr>
            <w:tcW w:w="37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955B83">
            <w:pPr>
              <w:jc w:val="center"/>
              <w:rPr>
                <w:rFonts w:ascii="仿宋" w:eastAsia="仿宋" w:hAnsi="仿宋" w:cs="仿宋"/>
                <w:color w:val="000000"/>
                <w:sz w:val="24"/>
                <w:szCs w:val="24"/>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955B83" w:rsidRPr="00745AC6" w:rsidRDefault="00454E75">
            <w:pPr>
              <w:widowControl/>
              <w:jc w:val="center"/>
              <w:textAlignment w:val="top"/>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C类：016240</w:t>
            </w: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955B83">
            <w:pPr>
              <w:jc w:val="center"/>
              <w:rPr>
                <w:rFonts w:ascii="仿宋" w:eastAsia="仿宋" w:hAnsi="仿宋" w:cs="仿宋"/>
                <w:color w:val="000000"/>
                <w:sz w:val="24"/>
                <w:szCs w:val="24"/>
              </w:rPr>
            </w:pPr>
          </w:p>
        </w:tc>
      </w:tr>
      <w:tr w:rsidR="00955B83" w:rsidRPr="00745AC6">
        <w:trPr>
          <w:trHeight w:val="288"/>
        </w:trPr>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454E75">
            <w:pPr>
              <w:widowControl/>
              <w:jc w:val="center"/>
              <w:textAlignment w:val="center"/>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泰信添益90天持有期债券C</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955B83" w:rsidRPr="00745AC6" w:rsidRDefault="00454E75">
            <w:pPr>
              <w:widowControl/>
              <w:jc w:val="center"/>
              <w:textAlignment w:val="top"/>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019763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454E75">
            <w:pPr>
              <w:widowControl/>
              <w:jc w:val="center"/>
              <w:textAlignment w:val="center"/>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是</w:t>
            </w:r>
          </w:p>
        </w:tc>
      </w:tr>
      <w:tr w:rsidR="00955B83" w:rsidRPr="00745AC6">
        <w:trPr>
          <w:trHeight w:val="288"/>
        </w:trPr>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454E75">
            <w:pPr>
              <w:widowControl/>
              <w:jc w:val="center"/>
              <w:textAlignment w:val="center"/>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泰信债券周期回报</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454E75">
            <w:pPr>
              <w:widowControl/>
              <w:jc w:val="center"/>
              <w:textAlignment w:val="center"/>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290009</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83" w:rsidRPr="00745AC6" w:rsidRDefault="00454E75">
            <w:pPr>
              <w:widowControl/>
              <w:jc w:val="center"/>
              <w:textAlignment w:val="center"/>
              <w:rPr>
                <w:rFonts w:ascii="仿宋" w:eastAsia="仿宋" w:hAnsi="仿宋" w:cs="仿宋"/>
                <w:color w:val="000000"/>
                <w:sz w:val="24"/>
                <w:szCs w:val="24"/>
              </w:rPr>
            </w:pPr>
            <w:r w:rsidRPr="00745AC6">
              <w:rPr>
                <w:rFonts w:ascii="仿宋" w:eastAsia="仿宋" w:hAnsi="仿宋" w:cs="仿宋" w:hint="eastAsia"/>
                <w:color w:val="000000"/>
                <w:kern w:val="0"/>
                <w:sz w:val="24"/>
                <w:szCs w:val="24"/>
                <w:lang/>
              </w:rPr>
              <w:t>是</w:t>
            </w:r>
          </w:p>
        </w:tc>
      </w:tr>
    </w:tbl>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二 、基金转换业务规则</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t>1.基金转换是指投资者在持有本公司发行的任一开放式基金后，可将其持有的基金份额直接转换成本公司管理的其它开放式基金的基金份额，而不需要先赎回已持有的基金份额，再申购目标基金的一种业务模式。</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lastRenderedPageBreak/>
        <w:t>2.基金转换只能在同一销售机构进行。转换的两只基金必须都是该销售人代理的同一基金管理人管理的、在同一注册登记人处注册且已开通转换业务的基金。</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t>3.投资者办理基金转换业务时，转出方的基金必须处于可赎回状态，转入方的基金必须处于可申购状态。</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t>4.基金转换的目标基金份额按新交易计算持有时间。基金转出视为赎回，转入视为申购。正常情况下，基金注册与过户登记人将在T+1日对投资者T日的基金转换业务申请进行有效性确认。在T＋2日后（包括该日）投资者可向销售机构查询基金转换的成交情况。基金转换后可赎回的时间为T＋2日后（包括该日）。</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t>5.基金分红时再投资的份额可在权益登记日的T＋2日提交基金转换申请。</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t>6.基金转换采取未知价法，即以申请受理当日各转出、转入基金的单位资产净值为基础进行计算。</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t>7. 基金转换费用由转出基金的赎回费、转出和转入基金的申购费补差构成。</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t>8.基金转换的具体计算公式如下：</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tab/>
        <w:t>①转出金额=转出基金份额×转出基金T日基金份额净值</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t xml:space="preserve"> ②转出基金赎回费用=转出金额×转出基金赎回费率</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t xml:space="preserve"> ③转入金额=转出金额-转出基金赎回费用</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t xml:space="preserve"> ④转入基金申购费=转入金额/(1+转入基金申购费率)×转入基金申购费率</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若转入基金申购费适用固定费用</w:t>
      </w:r>
      <w:r>
        <w:rPr>
          <w:rFonts w:ascii="华文仿宋" w:eastAsia="华文仿宋" w:hAnsi="华文仿宋"/>
          <w:sz w:val="28"/>
          <w:szCs w:val="28"/>
        </w:rPr>
        <w:t>,则转入基金申购费=转入基金固定申购费</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t xml:space="preserve"> ⑤转出基金申购费=转入金额/(1+转出基金申购费率)×转出基金申购费率</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t xml:space="preserve"> 若转出基金申购费适用固定费用,则转出基金申购费=转出基金固定申购费</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⑥补差费用</w:t>
      </w:r>
      <w:r>
        <w:rPr>
          <w:rFonts w:ascii="华文仿宋" w:eastAsia="华文仿宋" w:hAnsi="华文仿宋"/>
          <w:sz w:val="28"/>
          <w:szCs w:val="28"/>
        </w:rPr>
        <w:t xml:space="preserve">=Max{(转入基金申购费-转出基金申购费)，0} </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⑦净转入金额</w:t>
      </w:r>
      <w:r>
        <w:rPr>
          <w:rFonts w:ascii="华文仿宋" w:eastAsia="华文仿宋" w:hAnsi="华文仿宋"/>
          <w:sz w:val="28"/>
          <w:szCs w:val="28"/>
        </w:rPr>
        <w:t>=转入金额-补差费用</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⑧转入份额</w:t>
      </w:r>
      <w:r>
        <w:rPr>
          <w:rFonts w:ascii="华文仿宋" w:eastAsia="华文仿宋" w:hAnsi="华文仿宋"/>
          <w:sz w:val="28"/>
          <w:szCs w:val="28"/>
        </w:rPr>
        <w:t>=净转入金额/转入基金T日基金份额净值</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注：公式中的“转出基金申购费”是在本次转换过程中按照转入金额重新计算的费用，仅用于计算补差费用，非转出基金份额在申购时实际支付的费用。</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例</w:t>
      </w:r>
      <w:r>
        <w:rPr>
          <w:rFonts w:ascii="华文仿宋" w:eastAsia="华文仿宋" w:hAnsi="华文仿宋"/>
          <w:sz w:val="28"/>
          <w:szCs w:val="28"/>
        </w:rPr>
        <w:t>:某投资者欲将10万份泰信周期回报债券型证券投资基金（以下简称“泰信周期回报债券”）（持有7天-365天内）转换为泰信中小盘精选混合型证券投资基金（以下简称“泰信中小盘精选混合”）。泰信周期回报债券对应申请日份额净值假设为1.020元,对应申购费率为0.8%,对应赎回费率为0.1% 。泰信中小盘精选混合对应申请日份额净值假设为1.500元,对应申购费率为1.5% 。则该次转换投资者可得到的泰信中小盘精选混合份额计算方法为：</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①转出金额</w:t>
      </w:r>
      <w:r>
        <w:rPr>
          <w:rFonts w:ascii="华文仿宋" w:eastAsia="华文仿宋" w:hAnsi="华文仿宋"/>
          <w:sz w:val="28"/>
          <w:szCs w:val="28"/>
        </w:rPr>
        <w:t>=100,000.00×1.020=102,000.00元</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②转出基金赎回费用</w:t>
      </w:r>
      <w:r>
        <w:rPr>
          <w:rFonts w:ascii="华文仿宋" w:eastAsia="华文仿宋" w:hAnsi="华文仿宋"/>
          <w:sz w:val="28"/>
          <w:szCs w:val="28"/>
        </w:rPr>
        <w:t>=102,000.00×0.1%=102.00元</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③转入金额</w:t>
      </w:r>
      <w:r>
        <w:rPr>
          <w:rFonts w:ascii="华文仿宋" w:eastAsia="华文仿宋" w:hAnsi="华文仿宋"/>
          <w:sz w:val="28"/>
          <w:szCs w:val="28"/>
        </w:rPr>
        <w:t>=102,000.00-102.00=101,898.00元</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④转入基金申购费</w:t>
      </w:r>
      <w:r>
        <w:rPr>
          <w:rFonts w:ascii="华文仿宋" w:eastAsia="华文仿宋" w:hAnsi="华文仿宋"/>
          <w:sz w:val="28"/>
          <w:szCs w:val="28"/>
        </w:rPr>
        <w:t>=101,898.00/(1+1.5%)×1.5%=1,505.88元</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⑤转出基金申购费</w:t>
      </w:r>
      <w:r>
        <w:rPr>
          <w:rFonts w:ascii="华文仿宋" w:eastAsia="华文仿宋" w:hAnsi="华文仿宋"/>
          <w:sz w:val="28"/>
          <w:szCs w:val="28"/>
        </w:rPr>
        <w:t>=101,898.00/(1+0.8%)×0.8%=808.71元</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⑥补差费用</w:t>
      </w:r>
      <w:r>
        <w:rPr>
          <w:rFonts w:ascii="华文仿宋" w:eastAsia="华文仿宋" w:hAnsi="华文仿宋"/>
          <w:sz w:val="28"/>
          <w:szCs w:val="28"/>
        </w:rPr>
        <w:t>=转入基金申购费-转出基金申购费</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t>=1,505.88-808.71=697.17元</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⑦净转入金额</w:t>
      </w:r>
      <w:r>
        <w:rPr>
          <w:rFonts w:ascii="华文仿宋" w:eastAsia="华文仿宋" w:hAnsi="华文仿宋"/>
          <w:sz w:val="28"/>
          <w:szCs w:val="28"/>
        </w:rPr>
        <w:t>=101,898.00-697.17=101,200.83元</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⑧转入份额</w:t>
      </w:r>
      <w:r>
        <w:rPr>
          <w:rFonts w:ascii="华文仿宋" w:eastAsia="华文仿宋" w:hAnsi="华文仿宋"/>
          <w:sz w:val="28"/>
          <w:szCs w:val="28"/>
        </w:rPr>
        <w:t>=101,200.83/1.500=67,467.22份</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t>9.投资者采用“份额转换”的原则提交申请。基金转出份额必须是可用份额，并遵循“先进先出”的原则。已冻结份额不得申请转换。</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t>10.各基金的转换申请时间以其《基金合同》及《招募说明书》的相关规定为准，当日的转换申请可以在15:00以前在销售商处撤销，超过交易时间的申请作失败或下一日申请处理。</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t>11.基金转出的份额限制以其《基金合同》及《招募说明书》的相关规定为准，单笔转入申请不受转入基金最低申购限额限制。</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t>12.单个开放日基金净赎回份额及净转换转出申请份额之和超出上一开放日基金总份额的10%时，为巨额赎回（个别基金比例是否构成巨额赎回以具体的基金合同为准）。发生巨额赎回时，基金转出与基金赎回具有相同的优先级，基金管理人可根据基金资产组合情况，决定全额转出或部分转出，并且对于基金转出和基金赎回，将采取相同的比例确认。在转出申请得到部分确认的情况下，未确认的转出申请将不予以顺延。</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sz w:val="28"/>
          <w:szCs w:val="28"/>
        </w:rPr>
        <w:t>13.出现下列情况之一时，基金管理人可以暂停基金转换业务：</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1）不可抗力的原因导致基金无法正常运作。</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2）证券交易场所在交易时间非正常停市，导致基金管理人无法计算当日基金份额净值。</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3）因市场剧烈波动或其他原因而出现连续巨额赎回，基金管理人认为有必要暂停接受该基金份额转出申请。</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4）法律、法规、规章规定的其他情形或其他在《基金合同》、《招募说明书》已载明并获中国证监会批准的特殊情形。</w:t>
      </w:r>
    </w:p>
    <w:p w:rsidR="00955B83" w:rsidRDefault="00454E75">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5）发生上述情形之一的，基金管理人应立即向证监会备案并于规定期限内在证监会规定媒介上刊登暂停公告。重新开放基金转换时，基金管理人应在证监会规定媒介上刊登重新开放基金转换的公告。</w:t>
      </w:r>
    </w:p>
    <w:p w:rsidR="00955B83" w:rsidRDefault="00454E75">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三、其他事项</w:t>
      </w:r>
    </w:p>
    <w:p w:rsidR="00955B83" w:rsidRDefault="00454E75">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1.投资者欲了解各基金产品的详细情况，请仔细阅读各基金的基金合同、招募说明书等法律文件。</w:t>
      </w:r>
    </w:p>
    <w:p w:rsidR="00955B83" w:rsidRDefault="00454E75">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2.风险提示：本公司承诺以诚实信用、勤勉尽责的原则管理和运用基金财产，但不保证基金一定盈利，也不保证最低收益。投资者投资于本公司管理的基金时应认真阅读基金合同、招募说明书等文件。</w:t>
      </w:r>
    </w:p>
    <w:p w:rsidR="00955B83" w:rsidRDefault="00454E75">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四、投资者可通过以下途径了解或咨询相关情况</w:t>
      </w:r>
    </w:p>
    <w:p w:rsidR="00955B83" w:rsidRDefault="00454E75">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1、泰信基金管理有限公司</w:t>
      </w:r>
    </w:p>
    <w:p w:rsidR="00955B83" w:rsidRDefault="00454E75">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客服电话：400-888-5988 或 021-38784566</w:t>
      </w:r>
    </w:p>
    <w:p w:rsidR="00955B83" w:rsidRDefault="00454E75">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网址：</w:t>
      </w:r>
      <w:hyperlink r:id="rId8" w:history="1">
        <w:r>
          <w:rPr>
            <w:rStyle w:val="aa"/>
            <w:rFonts w:ascii="华文仿宋" w:eastAsia="华文仿宋" w:hAnsi="华文仿宋" w:cs="仿宋_GB2312" w:hint="eastAsia"/>
            <w:color w:val="auto"/>
            <w:kern w:val="0"/>
            <w:sz w:val="28"/>
            <w:szCs w:val="28"/>
            <w:u w:val="none"/>
          </w:rPr>
          <w:t>www.ftfund.com</w:t>
        </w:r>
      </w:hyperlink>
    </w:p>
    <w:p w:rsidR="00955B83" w:rsidRDefault="00454E75">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hint="eastAsia"/>
          <w:sz w:val="28"/>
          <w:szCs w:val="28"/>
        </w:rPr>
        <w:t>2、</w:t>
      </w:r>
      <w:r>
        <w:rPr>
          <w:rFonts w:ascii="华文仿宋" w:eastAsia="华文仿宋" w:hAnsi="华文仿宋" w:cs="仿宋_GB2312" w:hint="eastAsia"/>
          <w:kern w:val="0"/>
          <w:sz w:val="28"/>
          <w:szCs w:val="28"/>
        </w:rPr>
        <w:t>中国邮政储蓄银行股份有限公司“邮你同赢”同业平台</w:t>
      </w:r>
    </w:p>
    <w:p w:rsidR="00955B83" w:rsidRDefault="00454E75">
      <w:pPr>
        <w:autoSpaceDE w:val="0"/>
        <w:autoSpaceDN w:val="0"/>
        <w:adjustRightInd w:val="0"/>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客服电话：95580</w:t>
      </w:r>
    </w:p>
    <w:p w:rsidR="00955B83" w:rsidRDefault="00454E75">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hint="eastAsia"/>
          <w:sz w:val="28"/>
          <w:szCs w:val="28"/>
        </w:rPr>
        <w:t>网址：</w:t>
      </w:r>
      <w:r w:rsidR="00E61F79" w:rsidRPr="00E61F79">
        <w:rPr>
          <w:rFonts w:ascii="华文仿宋" w:eastAsia="华文仿宋" w:hAnsi="华文仿宋"/>
          <w:sz w:val="28"/>
          <w:szCs w:val="28"/>
        </w:rPr>
        <w:t>https://ynty.psbc.com/</w:t>
      </w:r>
    </w:p>
    <w:p w:rsidR="00955B83" w:rsidRDefault="00454E75">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特此公告。</w:t>
      </w:r>
    </w:p>
    <w:p w:rsidR="00955B83" w:rsidRDefault="00454E75">
      <w:pPr>
        <w:autoSpaceDE w:val="0"/>
        <w:autoSpaceDN w:val="0"/>
        <w:adjustRightInd w:val="0"/>
        <w:jc w:val="righ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 xml:space="preserve"> 　 </w:t>
      </w:r>
    </w:p>
    <w:p w:rsidR="00955B83" w:rsidRDefault="00454E75">
      <w:pPr>
        <w:autoSpaceDE w:val="0"/>
        <w:autoSpaceDN w:val="0"/>
        <w:adjustRightInd w:val="0"/>
        <w:jc w:val="righ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泰信基金管理有限公司</w:t>
      </w:r>
    </w:p>
    <w:p w:rsidR="00955B83" w:rsidRDefault="00454E75">
      <w:pPr>
        <w:ind w:right="140"/>
        <w:jc w:val="right"/>
        <w:rPr>
          <w:rFonts w:ascii="华文仿宋" w:eastAsia="华文仿宋" w:hAnsi="华文仿宋"/>
        </w:rPr>
      </w:pPr>
      <w:r>
        <w:rPr>
          <w:rFonts w:ascii="华文仿宋" w:eastAsia="华文仿宋" w:hAnsi="华文仿宋" w:cs="仿宋_GB2312" w:hint="eastAsia"/>
          <w:kern w:val="0"/>
          <w:sz w:val="28"/>
          <w:szCs w:val="28"/>
        </w:rPr>
        <w:t>2024年8月5日</w:t>
      </w:r>
    </w:p>
    <w:sectPr w:rsidR="00955B83" w:rsidSect="0036157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530" w:rsidRDefault="00FD6530">
      <w:r>
        <w:separator/>
      </w:r>
    </w:p>
  </w:endnote>
  <w:endnote w:type="continuationSeparator" w:id="0">
    <w:p w:rsidR="00FD6530" w:rsidRDefault="00FD6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451356"/>
    </w:sdtPr>
    <w:sdtContent>
      <w:p w:rsidR="00955B83" w:rsidRDefault="0036157D">
        <w:pPr>
          <w:pStyle w:val="a5"/>
          <w:jc w:val="center"/>
        </w:pPr>
        <w:r>
          <w:fldChar w:fldCharType="begin"/>
        </w:r>
        <w:r w:rsidR="00454E75">
          <w:instrText>PAGE   \* MERGEFORMAT</w:instrText>
        </w:r>
        <w:r>
          <w:fldChar w:fldCharType="separate"/>
        </w:r>
        <w:r w:rsidR="00FA6894" w:rsidRPr="00FA6894">
          <w:rPr>
            <w:noProof/>
            <w:lang w:val="zh-CN"/>
          </w:rPr>
          <w:t>1</w:t>
        </w:r>
        <w:r>
          <w:fldChar w:fldCharType="end"/>
        </w:r>
      </w:p>
    </w:sdtContent>
  </w:sdt>
  <w:p w:rsidR="00955B83" w:rsidRDefault="00955B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530" w:rsidRDefault="00FD6530">
      <w:r>
        <w:separator/>
      </w:r>
    </w:p>
  </w:footnote>
  <w:footnote w:type="continuationSeparator" w:id="0">
    <w:p w:rsidR="00FD6530" w:rsidRDefault="00FD65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D4A08"/>
    <w:multiLevelType w:val="multilevel"/>
    <w:tmpl w:val="544D4A08"/>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19BC"/>
    <w:rsid w:val="00040DE1"/>
    <w:rsid w:val="000431D9"/>
    <w:rsid w:val="000449FC"/>
    <w:rsid w:val="000452AA"/>
    <w:rsid w:val="00076854"/>
    <w:rsid w:val="00077F34"/>
    <w:rsid w:val="000804ED"/>
    <w:rsid w:val="000851A7"/>
    <w:rsid w:val="000B2639"/>
    <w:rsid w:val="00101FC1"/>
    <w:rsid w:val="00102EA3"/>
    <w:rsid w:val="00103C76"/>
    <w:rsid w:val="00126A51"/>
    <w:rsid w:val="00141D4F"/>
    <w:rsid w:val="00155A3F"/>
    <w:rsid w:val="00173522"/>
    <w:rsid w:val="00186B73"/>
    <w:rsid w:val="00196B66"/>
    <w:rsid w:val="001A3123"/>
    <w:rsid w:val="001B36E0"/>
    <w:rsid w:val="001B4AAF"/>
    <w:rsid w:val="001C50A5"/>
    <w:rsid w:val="001E3D1E"/>
    <w:rsid w:val="001F3D5F"/>
    <w:rsid w:val="00203FFE"/>
    <w:rsid w:val="00220601"/>
    <w:rsid w:val="002320BC"/>
    <w:rsid w:val="00240D30"/>
    <w:rsid w:val="002430C8"/>
    <w:rsid w:val="00280048"/>
    <w:rsid w:val="002914BE"/>
    <w:rsid w:val="002A0087"/>
    <w:rsid w:val="002B15B1"/>
    <w:rsid w:val="002B7167"/>
    <w:rsid w:val="002D324F"/>
    <w:rsid w:val="002E4199"/>
    <w:rsid w:val="00347443"/>
    <w:rsid w:val="003501D4"/>
    <w:rsid w:val="00357E7E"/>
    <w:rsid w:val="0036157D"/>
    <w:rsid w:val="00381D57"/>
    <w:rsid w:val="0039683D"/>
    <w:rsid w:val="003A2925"/>
    <w:rsid w:val="003A4EFA"/>
    <w:rsid w:val="003B131F"/>
    <w:rsid w:val="003B35A3"/>
    <w:rsid w:val="003C67DC"/>
    <w:rsid w:val="003C7C67"/>
    <w:rsid w:val="003D6444"/>
    <w:rsid w:val="003E3512"/>
    <w:rsid w:val="003F15D2"/>
    <w:rsid w:val="003F77F8"/>
    <w:rsid w:val="00400D6A"/>
    <w:rsid w:val="00402907"/>
    <w:rsid w:val="004044C7"/>
    <w:rsid w:val="00454E75"/>
    <w:rsid w:val="00460ACB"/>
    <w:rsid w:val="004A4933"/>
    <w:rsid w:val="004B4099"/>
    <w:rsid w:val="004D086D"/>
    <w:rsid w:val="004D31A4"/>
    <w:rsid w:val="005021B2"/>
    <w:rsid w:val="0052027D"/>
    <w:rsid w:val="00522034"/>
    <w:rsid w:val="0053152F"/>
    <w:rsid w:val="00532C8F"/>
    <w:rsid w:val="00552C74"/>
    <w:rsid w:val="0059595B"/>
    <w:rsid w:val="005A232E"/>
    <w:rsid w:val="005C4941"/>
    <w:rsid w:val="005E0147"/>
    <w:rsid w:val="005F73C8"/>
    <w:rsid w:val="00610891"/>
    <w:rsid w:val="00667867"/>
    <w:rsid w:val="00667904"/>
    <w:rsid w:val="00690538"/>
    <w:rsid w:val="006A44F5"/>
    <w:rsid w:val="006C53F7"/>
    <w:rsid w:val="006D0F9A"/>
    <w:rsid w:val="006D533A"/>
    <w:rsid w:val="00736359"/>
    <w:rsid w:val="00743B3F"/>
    <w:rsid w:val="00745AC6"/>
    <w:rsid w:val="00767D7C"/>
    <w:rsid w:val="007734A8"/>
    <w:rsid w:val="007750E7"/>
    <w:rsid w:val="0079791D"/>
    <w:rsid w:val="008A1E89"/>
    <w:rsid w:val="008A6224"/>
    <w:rsid w:val="008A635B"/>
    <w:rsid w:val="008D3E16"/>
    <w:rsid w:val="00915E9D"/>
    <w:rsid w:val="00922E09"/>
    <w:rsid w:val="00951F36"/>
    <w:rsid w:val="00955B83"/>
    <w:rsid w:val="009849B4"/>
    <w:rsid w:val="0099077B"/>
    <w:rsid w:val="009934D6"/>
    <w:rsid w:val="009952EF"/>
    <w:rsid w:val="009C6FE5"/>
    <w:rsid w:val="009C73DB"/>
    <w:rsid w:val="00A319BC"/>
    <w:rsid w:val="00A462AD"/>
    <w:rsid w:val="00A5190C"/>
    <w:rsid w:val="00A61DF1"/>
    <w:rsid w:val="00A63C58"/>
    <w:rsid w:val="00A85461"/>
    <w:rsid w:val="00A917BC"/>
    <w:rsid w:val="00AC3DFE"/>
    <w:rsid w:val="00AE629D"/>
    <w:rsid w:val="00AE7E87"/>
    <w:rsid w:val="00B14079"/>
    <w:rsid w:val="00B14DC6"/>
    <w:rsid w:val="00B21898"/>
    <w:rsid w:val="00B36E18"/>
    <w:rsid w:val="00B51DF9"/>
    <w:rsid w:val="00B55E01"/>
    <w:rsid w:val="00B71720"/>
    <w:rsid w:val="00B76929"/>
    <w:rsid w:val="00B849AA"/>
    <w:rsid w:val="00BC013C"/>
    <w:rsid w:val="00BC795B"/>
    <w:rsid w:val="00BD7BDE"/>
    <w:rsid w:val="00BE0EA1"/>
    <w:rsid w:val="00BF269B"/>
    <w:rsid w:val="00C27665"/>
    <w:rsid w:val="00C454AA"/>
    <w:rsid w:val="00C663C3"/>
    <w:rsid w:val="00C67608"/>
    <w:rsid w:val="00C67D8B"/>
    <w:rsid w:val="00C77299"/>
    <w:rsid w:val="00C8679E"/>
    <w:rsid w:val="00C930C0"/>
    <w:rsid w:val="00C96261"/>
    <w:rsid w:val="00CE21E8"/>
    <w:rsid w:val="00D1063F"/>
    <w:rsid w:val="00D15215"/>
    <w:rsid w:val="00D15FC2"/>
    <w:rsid w:val="00D41A0B"/>
    <w:rsid w:val="00D817AA"/>
    <w:rsid w:val="00D94ED0"/>
    <w:rsid w:val="00DB3313"/>
    <w:rsid w:val="00DB5383"/>
    <w:rsid w:val="00DB5AFB"/>
    <w:rsid w:val="00DB5D27"/>
    <w:rsid w:val="00DE3CA5"/>
    <w:rsid w:val="00E14CB3"/>
    <w:rsid w:val="00E45108"/>
    <w:rsid w:val="00E61F79"/>
    <w:rsid w:val="00E771BE"/>
    <w:rsid w:val="00ED58F5"/>
    <w:rsid w:val="00F24E9F"/>
    <w:rsid w:val="00F46B8F"/>
    <w:rsid w:val="00FA6894"/>
    <w:rsid w:val="00FC3911"/>
    <w:rsid w:val="00FD510C"/>
    <w:rsid w:val="00FD6530"/>
    <w:rsid w:val="00FF20A0"/>
    <w:rsid w:val="00FF27CA"/>
    <w:rsid w:val="01FB5FE9"/>
    <w:rsid w:val="0C082EBD"/>
    <w:rsid w:val="0E937C6F"/>
    <w:rsid w:val="1060527B"/>
    <w:rsid w:val="126F3904"/>
    <w:rsid w:val="1561592D"/>
    <w:rsid w:val="1FA76A27"/>
    <w:rsid w:val="1FC53BEB"/>
    <w:rsid w:val="20B16C86"/>
    <w:rsid w:val="23B00F87"/>
    <w:rsid w:val="246A68D5"/>
    <w:rsid w:val="29800E3B"/>
    <w:rsid w:val="2FFF6B63"/>
    <w:rsid w:val="307F0802"/>
    <w:rsid w:val="350B4120"/>
    <w:rsid w:val="38532192"/>
    <w:rsid w:val="3E237323"/>
    <w:rsid w:val="42E90BA9"/>
    <w:rsid w:val="53D41182"/>
    <w:rsid w:val="57C76296"/>
    <w:rsid w:val="5B8958A4"/>
    <w:rsid w:val="5F99743C"/>
    <w:rsid w:val="65B15011"/>
    <w:rsid w:val="6E6D27CE"/>
    <w:rsid w:val="6FAE5D65"/>
    <w:rsid w:val="75DE05BC"/>
    <w:rsid w:val="782837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6157D"/>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Char"/>
    <w:uiPriority w:val="9"/>
    <w:qFormat/>
    <w:rsid w:val="0036157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uiPriority w:val="99"/>
    <w:semiHidden/>
    <w:unhideWhenUsed/>
    <w:qFormat/>
    <w:rsid w:val="0036157D"/>
    <w:rPr>
      <w:sz w:val="18"/>
      <w:szCs w:val="18"/>
    </w:rPr>
  </w:style>
  <w:style w:type="paragraph" w:styleId="a4">
    <w:name w:val="annotation text"/>
    <w:basedOn w:val="a"/>
    <w:link w:val="Char0"/>
    <w:uiPriority w:val="99"/>
    <w:semiHidden/>
    <w:unhideWhenUsed/>
    <w:qFormat/>
    <w:rsid w:val="0036157D"/>
    <w:pPr>
      <w:jc w:val="left"/>
    </w:pPr>
  </w:style>
  <w:style w:type="paragraph" w:styleId="a5">
    <w:name w:val="footer"/>
    <w:basedOn w:val="a"/>
    <w:link w:val="Char1"/>
    <w:uiPriority w:val="99"/>
    <w:unhideWhenUsed/>
    <w:qFormat/>
    <w:rsid w:val="0036157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6157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36157D"/>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4"/>
    <w:next w:val="a4"/>
    <w:link w:val="Char3"/>
    <w:uiPriority w:val="99"/>
    <w:semiHidden/>
    <w:unhideWhenUsed/>
    <w:qFormat/>
    <w:rsid w:val="0036157D"/>
    <w:rPr>
      <w:b/>
      <w:bCs/>
    </w:rPr>
  </w:style>
  <w:style w:type="character" w:styleId="a9">
    <w:name w:val="FollowedHyperlink"/>
    <w:basedOn w:val="a1"/>
    <w:uiPriority w:val="99"/>
    <w:semiHidden/>
    <w:unhideWhenUsed/>
    <w:qFormat/>
    <w:rsid w:val="0036157D"/>
    <w:rPr>
      <w:color w:val="954F72" w:themeColor="followedHyperlink"/>
      <w:u w:val="single"/>
    </w:rPr>
  </w:style>
  <w:style w:type="character" w:styleId="aa">
    <w:name w:val="Hyperlink"/>
    <w:basedOn w:val="a1"/>
    <w:unhideWhenUsed/>
    <w:qFormat/>
    <w:rsid w:val="0036157D"/>
    <w:rPr>
      <w:color w:val="0000FF"/>
      <w:u w:val="single"/>
    </w:rPr>
  </w:style>
  <w:style w:type="character" w:styleId="ab">
    <w:name w:val="annotation reference"/>
    <w:basedOn w:val="a1"/>
    <w:uiPriority w:val="99"/>
    <w:semiHidden/>
    <w:unhideWhenUsed/>
    <w:qFormat/>
    <w:rsid w:val="0036157D"/>
    <w:rPr>
      <w:sz w:val="21"/>
      <w:szCs w:val="21"/>
    </w:rPr>
  </w:style>
  <w:style w:type="paragraph" w:styleId="ac">
    <w:name w:val="List Paragraph"/>
    <w:basedOn w:val="a"/>
    <w:uiPriority w:val="34"/>
    <w:qFormat/>
    <w:rsid w:val="0036157D"/>
    <w:pPr>
      <w:ind w:firstLineChars="200" w:firstLine="420"/>
    </w:pPr>
  </w:style>
  <w:style w:type="paragraph" w:customStyle="1" w:styleId="Default">
    <w:name w:val="Default"/>
    <w:qFormat/>
    <w:rsid w:val="0036157D"/>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Char2">
    <w:name w:val="页眉 Char"/>
    <w:basedOn w:val="a1"/>
    <w:link w:val="a6"/>
    <w:uiPriority w:val="99"/>
    <w:qFormat/>
    <w:rsid w:val="0036157D"/>
    <w:rPr>
      <w:sz w:val="18"/>
      <w:szCs w:val="18"/>
    </w:rPr>
  </w:style>
  <w:style w:type="character" w:customStyle="1" w:styleId="Char1">
    <w:name w:val="页脚 Char"/>
    <w:basedOn w:val="a1"/>
    <w:link w:val="a5"/>
    <w:uiPriority w:val="99"/>
    <w:qFormat/>
    <w:rsid w:val="0036157D"/>
    <w:rPr>
      <w:sz w:val="18"/>
      <w:szCs w:val="18"/>
    </w:rPr>
  </w:style>
  <w:style w:type="character" w:customStyle="1" w:styleId="Char">
    <w:name w:val="批注框文本 Char"/>
    <w:basedOn w:val="a1"/>
    <w:link w:val="a0"/>
    <w:uiPriority w:val="99"/>
    <w:semiHidden/>
    <w:qFormat/>
    <w:rsid w:val="0036157D"/>
    <w:rPr>
      <w:sz w:val="18"/>
      <w:szCs w:val="18"/>
    </w:rPr>
  </w:style>
  <w:style w:type="character" w:customStyle="1" w:styleId="5Char">
    <w:name w:val="标题 5 Char"/>
    <w:basedOn w:val="a1"/>
    <w:link w:val="5"/>
    <w:uiPriority w:val="9"/>
    <w:qFormat/>
    <w:rsid w:val="0036157D"/>
    <w:rPr>
      <w:rFonts w:ascii="宋体" w:eastAsia="宋体" w:hAnsi="宋体" w:cs="宋体"/>
      <w:b/>
      <w:bCs/>
      <w:kern w:val="0"/>
      <w:sz w:val="20"/>
      <w:szCs w:val="20"/>
    </w:rPr>
  </w:style>
  <w:style w:type="character" w:customStyle="1" w:styleId="Char0">
    <w:name w:val="批注文字 Char"/>
    <w:basedOn w:val="a1"/>
    <w:link w:val="a4"/>
    <w:uiPriority w:val="99"/>
    <w:semiHidden/>
    <w:qFormat/>
    <w:rsid w:val="0036157D"/>
  </w:style>
  <w:style w:type="character" w:customStyle="1" w:styleId="Char3">
    <w:name w:val="批注主题 Char"/>
    <w:basedOn w:val="Char0"/>
    <w:link w:val="a8"/>
    <w:uiPriority w:val="99"/>
    <w:semiHidden/>
    <w:qFormat/>
    <w:rsid w:val="0036157D"/>
    <w:rPr>
      <w:b/>
      <w:bCs/>
    </w:rPr>
  </w:style>
  <w:style w:type="character" w:customStyle="1" w:styleId="1">
    <w:name w:val="未处理的提及1"/>
    <w:basedOn w:val="a1"/>
    <w:uiPriority w:val="99"/>
    <w:semiHidden/>
    <w:unhideWhenUsed/>
    <w:qFormat/>
    <w:rsid w:val="0036157D"/>
    <w:rPr>
      <w:color w:val="605E5C"/>
      <w:shd w:val="clear" w:color="auto" w:fill="E1DFDD"/>
    </w:rPr>
  </w:style>
  <w:style w:type="paragraph" w:customStyle="1" w:styleId="10">
    <w:name w:val="修订1"/>
    <w:hidden/>
    <w:uiPriority w:val="99"/>
    <w:semiHidden/>
    <w:qFormat/>
    <w:rsid w:val="0036157D"/>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ft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B5917-95E4-42C3-9C60-7A1AC4B0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2375</Characters>
  <Application>Microsoft Office Word</Application>
  <DocSecurity>4</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Mofey</dc:creator>
  <cp:lastModifiedBy>ZHONGM</cp:lastModifiedBy>
  <cp:revision>2</cp:revision>
  <cp:lastPrinted>2021-08-20T04:59:00Z</cp:lastPrinted>
  <dcterms:created xsi:type="dcterms:W3CDTF">2024-08-04T16:00:00Z</dcterms:created>
  <dcterms:modified xsi:type="dcterms:W3CDTF">2024-08-04T16:00:00Z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BFD5E4E3D4C9445C96D93A70648DB146</vt:lpwstr>
  </property>
</Properties>
</file>