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4B9C" w:rsidRDefault="001563F0">
      <w:pPr>
        <w:spacing w:line="360" w:lineRule="auto"/>
        <w:jc w:val="center"/>
        <w:rPr>
          <w:rFonts w:asciiTheme="minorEastAsia" w:hAnsiTheme="minorEastAsia"/>
          <w:b/>
          <w:bCs/>
          <w:sz w:val="24"/>
        </w:rPr>
      </w:pPr>
      <w:r>
        <w:rPr>
          <w:rFonts w:asciiTheme="minorEastAsia" w:hAnsiTheme="minorEastAsia" w:hint="eastAsia"/>
          <w:b/>
          <w:bCs/>
          <w:sz w:val="24"/>
        </w:rPr>
        <w:t>渤海汇金证券资产管理有限公司</w:t>
      </w:r>
    </w:p>
    <w:p w:rsidR="00A33D7A" w:rsidRDefault="00B84B9C">
      <w:pPr>
        <w:spacing w:line="360" w:lineRule="auto"/>
        <w:jc w:val="center"/>
        <w:rPr>
          <w:rFonts w:asciiTheme="minorEastAsia" w:hAnsiTheme="minorEastAsia"/>
          <w:b/>
          <w:bCs/>
          <w:sz w:val="24"/>
        </w:rPr>
      </w:pPr>
      <w:r w:rsidRPr="00B84B9C">
        <w:rPr>
          <w:rFonts w:asciiTheme="minorEastAsia" w:hAnsiTheme="minorEastAsia" w:hint="eastAsia"/>
          <w:b/>
          <w:bCs/>
          <w:sz w:val="24"/>
        </w:rPr>
        <w:t>关于喜鹊财富基金销售有限公司终止代销旗下基金的公告</w:t>
      </w:r>
    </w:p>
    <w:p w:rsidR="00A33D7A" w:rsidRDefault="00A33D7A">
      <w:pPr>
        <w:spacing w:line="360" w:lineRule="auto"/>
        <w:jc w:val="center"/>
        <w:rPr>
          <w:rFonts w:asciiTheme="minorEastAsia" w:hAnsiTheme="minorEastAsia"/>
          <w:b/>
          <w:bCs/>
          <w:sz w:val="24"/>
        </w:rPr>
      </w:pPr>
    </w:p>
    <w:p w:rsidR="00B84B9C" w:rsidRPr="00B84B9C" w:rsidRDefault="00B84B9C" w:rsidP="00B84B9C">
      <w:pPr>
        <w:spacing w:line="360" w:lineRule="auto"/>
        <w:ind w:firstLineChars="200" w:firstLine="480"/>
        <w:rPr>
          <w:rFonts w:asciiTheme="minorEastAsia" w:hAnsiTheme="minorEastAsia"/>
          <w:sz w:val="24"/>
        </w:rPr>
      </w:pPr>
      <w:r w:rsidRPr="00B84B9C">
        <w:rPr>
          <w:rFonts w:asciiTheme="minorEastAsia" w:hAnsiTheme="minorEastAsia" w:hint="eastAsia"/>
          <w:sz w:val="24"/>
        </w:rPr>
        <w:t>为维护投资者利益，根据渤海汇金证券资产管理有限公司（以下简称“本公司”）与喜鹊财富基金销售有限公司（以下简称“喜鹊基金”）签署的基金销售协议中有关“协议的修改和终止” 的相关约定，经和喜鹊基金协商一致，本公司终止喜鹊基金办理旗下基金销售业务。自 2024 年</w:t>
      </w:r>
      <w:r w:rsidR="00726B18">
        <w:rPr>
          <w:rFonts w:asciiTheme="minorEastAsia" w:hAnsiTheme="minorEastAsia"/>
          <w:sz w:val="24"/>
        </w:rPr>
        <w:t>8</w:t>
      </w:r>
      <w:r w:rsidRPr="00B84B9C">
        <w:rPr>
          <w:rFonts w:asciiTheme="minorEastAsia" w:hAnsiTheme="minorEastAsia" w:hint="eastAsia"/>
          <w:sz w:val="24"/>
        </w:rPr>
        <w:t xml:space="preserve"> 月 </w:t>
      </w:r>
      <w:r w:rsidR="00693402">
        <w:rPr>
          <w:rFonts w:asciiTheme="minorEastAsia" w:hAnsiTheme="minorEastAsia"/>
          <w:sz w:val="24"/>
        </w:rPr>
        <w:t>6</w:t>
      </w:r>
      <w:r w:rsidRPr="00B84B9C">
        <w:rPr>
          <w:rFonts w:asciiTheme="minorEastAsia" w:hAnsiTheme="minorEastAsia" w:hint="eastAsia"/>
          <w:sz w:val="24"/>
        </w:rPr>
        <w:t>日起，喜鹊基金不再销售本公司旗下产品。</w:t>
      </w:r>
    </w:p>
    <w:p w:rsidR="00B84B9C" w:rsidRDefault="00B84B9C" w:rsidP="00B84B9C">
      <w:pPr>
        <w:spacing w:line="360" w:lineRule="auto"/>
        <w:ind w:firstLineChars="200" w:firstLine="480"/>
        <w:rPr>
          <w:rFonts w:asciiTheme="minorEastAsia" w:hAnsiTheme="minorEastAsia"/>
          <w:sz w:val="24"/>
        </w:rPr>
      </w:pPr>
      <w:r w:rsidRPr="00B84B9C">
        <w:rPr>
          <w:rFonts w:ascii="微软雅黑" w:eastAsia="微软雅黑" w:hAnsi="微软雅黑" w:cs="微软雅黑" w:hint="eastAsia"/>
          <w:sz w:val="24"/>
        </w:rPr>
        <w:t>⼀</w:t>
      </w:r>
      <w:r w:rsidRPr="00B84B9C">
        <w:rPr>
          <w:rFonts w:ascii="宋体" w:eastAsia="宋体" w:hAnsi="宋体" w:cs="宋体" w:hint="eastAsia"/>
          <w:sz w:val="24"/>
        </w:rPr>
        <w:t>、自</w:t>
      </w:r>
      <w:r w:rsidRPr="00B84B9C">
        <w:rPr>
          <w:rFonts w:asciiTheme="minorEastAsia" w:hAnsiTheme="minorEastAsia"/>
          <w:sz w:val="24"/>
        </w:rPr>
        <w:t xml:space="preserve"> 2024 </w:t>
      </w:r>
      <w:r w:rsidRPr="00B84B9C">
        <w:rPr>
          <w:rFonts w:asciiTheme="minorEastAsia" w:hAnsiTheme="minorEastAsia" w:hint="eastAsia"/>
          <w:sz w:val="24"/>
        </w:rPr>
        <w:t>年</w:t>
      </w:r>
      <w:r w:rsidRPr="00B84B9C">
        <w:rPr>
          <w:rFonts w:asciiTheme="minorEastAsia" w:hAnsiTheme="minorEastAsia"/>
          <w:sz w:val="24"/>
        </w:rPr>
        <w:t xml:space="preserve"> </w:t>
      </w:r>
      <w:r w:rsidR="00726B18">
        <w:rPr>
          <w:rFonts w:asciiTheme="minorEastAsia" w:hAnsiTheme="minorEastAsia"/>
          <w:sz w:val="24"/>
        </w:rPr>
        <w:t>8</w:t>
      </w:r>
      <w:r w:rsidRPr="00B84B9C">
        <w:rPr>
          <w:rFonts w:asciiTheme="minorEastAsia" w:hAnsiTheme="minorEastAsia"/>
          <w:sz w:val="24"/>
        </w:rPr>
        <w:t xml:space="preserve"> </w:t>
      </w:r>
      <w:r w:rsidRPr="00B84B9C">
        <w:rPr>
          <w:rFonts w:asciiTheme="minorEastAsia" w:hAnsiTheme="minorEastAsia" w:hint="eastAsia"/>
          <w:sz w:val="24"/>
        </w:rPr>
        <w:t>月</w:t>
      </w:r>
      <w:r w:rsidRPr="00B84B9C">
        <w:rPr>
          <w:rFonts w:asciiTheme="minorEastAsia" w:hAnsiTheme="minorEastAsia"/>
          <w:sz w:val="24"/>
        </w:rPr>
        <w:t xml:space="preserve"> </w:t>
      </w:r>
      <w:r w:rsidR="00693402">
        <w:rPr>
          <w:rFonts w:asciiTheme="minorEastAsia" w:hAnsiTheme="minorEastAsia"/>
          <w:sz w:val="24"/>
        </w:rPr>
        <w:t>6</w:t>
      </w:r>
      <w:r w:rsidRPr="00B84B9C">
        <w:rPr>
          <w:rFonts w:asciiTheme="minorEastAsia" w:hAnsiTheme="minorEastAsia" w:hint="eastAsia"/>
          <w:sz w:val="24"/>
        </w:rPr>
        <w:t>日起，投资者将无法通过喜鹊基金办理本公司旗下基金申购、赎回等业务，基金更新招募说明书或其他公告情况将不再列示该销售机构信息，请投资者妥善作好交易安排。</w:t>
      </w:r>
    </w:p>
    <w:p w:rsidR="00B84B9C" w:rsidRDefault="00B84B9C" w:rsidP="00B84B9C">
      <w:pPr>
        <w:spacing w:line="360" w:lineRule="auto"/>
        <w:ind w:firstLineChars="200" w:firstLine="480"/>
        <w:rPr>
          <w:rFonts w:asciiTheme="minorEastAsia" w:hAnsiTheme="minorEastAsia"/>
          <w:sz w:val="24"/>
        </w:rPr>
      </w:pPr>
    </w:p>
    <w:p w:rsidR="00A33D7A" w:rsidRDefault="00B84B9C" w:rsidP="00B84B9C">
      <w:pPr>
        <w:spacing w:line="360" w:lineRule="auto"/>
        <w:ind w:firstLineChars="200" w:firstLine="480"/>
        <w:rPr>
          <w:rFonts w:asciiTheme="minorEastAsia" w:hAnsiTheme="minorEastAsia"/>
          <w:sz w:val="24"/>
        </w:rPr>
      </w:pPr>
      <w:r>
        <w:rPr>
          <w:rFonts w:asciiTheme="minorEastAsia" w:hAnsiTheme="minorEastAsia" w:hint="eastAsia"/>
          <w:sz w:val="24"/>
        </w:rPr>
        <w:t>二</w:t>
      </w:r>
      <w:r w:rsidR="001563F0">
        <w:rPr>
          <w:rFonts w:asciiTheme="minorEastAsia" w:hAnsiTheme="minorEastAsia"/>
          <w:sz w:val="24"/>
        </w:rPr>
        <w:t>、</w:t>
      </w:r>
      <w:r w:rsidR="001563F0">
        <w:rPr>
          <w:rFonts w:asciiTheme="minorEastAsia" w:hAnsiTheme="minorEastAsia" w:hint="eastAsia"/>
          <w:sz w:val="24"/>
        </w:rPr>
        <w:t>投资者可通过以下途径咨询有关详情：</w:t>
      </w:r>
    </w:p>
    <w:p w:rsidR="00A33D7A" w:rsidRDefault="001563F0">
      <w:pPr>
        <w:spacing w:line="360" w:lineRule="auto"/>
        <w:ind w:firstLineChars="200" w:firstLine="480"/>
        <w:rPr>
          <w:rFonts w:asciiTheme="minorEastAsia" w:hAnsiTheme="minorEastAsia"/>
          <w:sz w:val="24"/>
        </w:rPr>
      </w:pPr>
      <w:r>
        <w:rPr>
          <w:rFonts w:asciiTheme="minorEastAsia" w:hAnsiTheme="minorEastAsia" w:hint="eastAsia"/>
          <w:sz w:val="24"/>
        </w:rPr>
        <w:t>1、</w:t>
      </w:r>
      <w:r w:rsidR="00BA3070" w:rsidRPr="00BA3070">
        <w:rPr>
          <w:rFonts w:asciiTheme="minorEastAsia" w:hAnsiTheme="minorEastAsia" w:hint="eastAsia"/>
          <w:sz w:val="24"/>
        </w:rPr>
        <w:t>喜鹊财富基金销售有限公司</w:t>
      </w:r>
    </w:p>
    <w:p w:rsidR="00A33D7A" w:rsidRDefault="001563F0">
      <w:pPr>
        <w:spacing w:line="360" w:lineRule="auto"/>
        <w:ind w:firstLineChars="200" w:firstLine="480"/>
        <w:rPr>
          <w:rFonts w:asciiTheme="minorEastAsia" w:hAnsiTheme="minorEastAsia"/>
          <w:sz w:val="24"/>
        </w:rPr>
      </w:pPr>
      <w:r>
        <w:rPr>
          <w:rFonts w:asciiTheme="minorEastAsia" w:hAnsiTheme="minorEastAsia" w:hint="eastAsia"/>
          <w:sz w:val="24"/>
        </w:rPr>
        <w:t>网址：</w:t>
      </w:r>
      <w:hyperlink r:id="rId7" w:history="1">
        <w:r w:rsidR="003D199D" w:rsidRPr="00D054D2">
          <w:rPr>
            <w:rStyle w:val="a7"/>
            <w:rFonts w:asciiTheme="minorEastAsia" w:hAnsiTheme="minorEastAsia"/>
            <w:sz w:val="24"/>
          </w:rPr>
          <w:t>www.xiquefund.com</w:t>
        </w:r>
      </w:hyperlink>
    </w:p>
    <w:p w:rsidR="00A33D7A" w:rsidRDefault="001563F0">
      <w:pPr>
        <w:spacing w:line="360" w:lineRule="auto"/>
        <w:ind w:firstLineChars="200" w:firstLine="480"/>
        <w:rPr>
          <w:rFonts w:asciiTheme="minorEastAsia" w:hAnsiTheme="minorEastAsia"/>
          <w:sz w:val="24"/>
        </w:rPr>
      </w:pPr>
      <w:r>
        <w:rPr>
          <w:rFonts w:asciiTheme="minorEastAsia" w:hAnsiTheme="minorEastAsia" w:hint="eastAsia"/>
          <w:sz w:val="24"/>
        </w:rPr>
        <w:t>客服电话:</w:t>
      </w:r>
      <w:r>
        <w:rPr>
          <w:rFonts w:asciiTheme="minorEastAsia" w:hAnsiTheme="minorEastAsia"/>
          <w:sz w:val="24"/>
        </w:rPr>
        <w:t xml:space="preserve"> </w:t>
      </w:r>
      <w:r w:rsidR="009E33A7" w:rsidRPr="009E33A7">
        <w:rPr>
          <w:rFonts w:asciiTheme="minorEastAsia" w:hAnsiTheme="minorEastAsia"/>
          <w:sz w:val="24"/>
        </w:rPr>
        <w:t>400</w:t>
      </w:r>
      <w:r w:rsidR="00BE7B56">
        <w:rPr>
          <w:rFonts w:asciiTheme="minorEastAsia" w:hAnsiTheme="minorEastAsia"/>
          <w:sz w:val="24"/>
        </w:rPr>
        <w:t>-</w:t>
      </w:r>
      <w:r w:rsidR="009E33A7" w:rsidRPr="009E33A7">
        <w:rPr>
          <w:rFonts w:asciiTheme="minorEastAsia" w:hAnsiTheme="minorEastAsia"/>
          <w:sz w:val="24"/>
        </w:rPr>
        <w:t>699</w:t>
      </w:r>
      <w:r w:rsidR="00BE7B56">
        <w:rPr>
          <w:rFonts w:asciiTheme="minorEastAsia" w:hAnsiTheme="minorEastAsia"/>
          <w:sz w:val="24"/>
        </w:rPr>
        <w:t>-</w:t>
      </w:r>
      <w:r w:rsidR="009E33A7" w:rsidRPr="009E33A7">
        <w:rPr>
          <w:rFonts w:asciiTheme="minorEastAsia" w:hAnsiTheme="minorEastAsia"/>
          <w:sz w:val="24"/>
        </w:rPr>
        <w:t>7719</w:t>
      </w:r>
    </w:p>
    <w:p w:rsidR="00A33D7A" w:rsidRDefault="001563F0">
      <w:pPr>
        <w:spacing w:line="360" w:lineRule="auto"/>
        <w:ind w:firstLineChars="200" w:firstLine="480"/>
        <w:rPr>
          <w:rFonts w:asciiTheme="minorEastAsia" w:hAnsiTheme="minorEastAsia"/>
          <w:sz w:val="24"/>
        </w:rPr>
      </w:pPr>
      <w:r>
        <w:rPr>
          <w:rFonts w:asciiTheme="minorEastAsia" w:hAnsiTheme="minorEastAsia" w:hint="eastAsia"/>
          <w:sz w:val="24"/>
        </w:rPr>
        <w:t>2、渤海汇金证券资产管理有限公司</w:t>
      </w:r>
    </w:p>
    <w:p w:rsidR="00A33D7A" w:rsidRDefault="001563F0">
      <w:pPr>
        <w:spacing w:line="360" w:lineRule="auto"/>
        <w:ind w:firstLineChars="200" w:firstLine="480"/>
        <w:rPr>
          <w:rFonts w:asciiTheme="minorEastAsia" w:hAnsiTheme="minorEastAsia"/>
          <w:color w:val="0070C0"/>
          <w:sz w:val="24"/>
        </w:rPr>
      </w:pPr>
      <w:r>
        <w:rPr>
          <w:rFonts w:asciiTheme="minorEastAsia" w:hAnsiTheme="minorEastAsia" w:hint="eastAsia"/>
          <w:sz w:val="24"/>
        </w:rPr>
        <w:t>网址：</w:t>
      </w:r>
      <w:hyperlink r:id="rId8" w:history="1">
        <w:r>
          <w:rPr>
            <w:rStyle w:val="a7"/>
            <w:rFonts w:asciiTheme="minorEastAsia" w:hAnsiTheme="minorEastAsia"/>
            <w:color w:val="0070C0"/>
            <w:sz w:val="24"/>
          </w:rPr>
          <w:t>http://www.bhhjamc.com/</w:t>
        </w:r>
      </w:hyperlink>
    </w:p>
    <w:p w:rsidR="00A33D7A" w:rsidRDefault="001563F0">
      <w:pPr>
        <w:spacing w:line="360" w:lineRule="auto"/>
        <w:ind w:firstLineChars="200" w:firstLine="480"/>
        <w:rPr>
          <w:rFonts w:asciiTheme="minorEastAsia" w:hAnsiTheme="minorEastAsia"/>
          <w:sz w:val="24"/>
        </w:rPr>
      </w:pPr>
      <w:r>
        <w:rPr>
          <w:rFonts w:asciiTheme="minorEastAsia" w:hAnsiTheme="minorEastAsia" w:hint="eastAsia"/>
          <w:sz w:val="24"/>
        </w:rPr>
        <w:t>客服电话：</w:t>
      </w:r>
      <w:r>
        <w:rPr>
          <w:rFonts w:asciiTheme="minorEastAsia" w:hAnsiTheme="minorEastAsia"/>
          <w:sz w:val="24"/>
        </w:rPr>
        <w:t>400-651-1717</w:t>
      </w:r>
    </w:p>
    <w:p w:rsidR="00A33D7A" w:rsidRDefault="00A33D7A">
      <w:pPr>
        <w:spacing w:line="360" w:lineRule="auto"/>
        <w:ind w:firstLineChars="200" w:firstLine="480"/>
        <w:rPr>
          <w:rFonts w:asciiTheme="minorEastAsia" w:hAnsiTheme="minorEastAsia"/>
          <w:sz w:val="24"/>
        </w:rPr>
      </w:pPr>
    </w:p>
    <w:p w:rsidR="00A33D7A" w:rsidRDefault="001563F0">
      <w:pPr>
        <w:spacing w:line="360" w:lineRule="auto"/>
        <w:ind w:firstLineChars="200" w:firstLine="480"/>
        <w:rPr>
          <w:rFonts w:asciiTheme="minorEastAsia" w:hAnsiTheme="minorEastAsia"/>
          <w:sz w:val="24"/>
        </w:rPr>
      </w:pPr>
      <w:r>
        <w:rPr>
          <w:rFonts w:asciiTheme="minorEastAsia" w:hAnsiTheme="minorEastAsia" w:hint="eastAsia"/>
          <w:sz w:val="24"/>
        </w:rPr>
        <w:t>风险提示：本基金管理人承诺依照恪尽职守、诚实信用、谨慎勤勉的原则管理和运用基金财产，但不保证投资本基金一定盈利，也不保证最低收益。基金的过往业绩并不预示其未来表现，基金管理人管理的其他基金的业绩并不构成对本基金业绩表现的保证。</w:t>
      </w:r>
    </w:p>
    <w:p w:rsidR="00A33D7A" w:rsidRDefault="001563F0">
      <w:pPr>
        <w:spacing w:line="360" w:lineRule="auto"/>
        <w:ind w:firstLineChars="200" w:firstLine="480"/>
        <w:rPr>
          <w:rFonts w:asciiTheme="minorEastAsia" w:hAnsiTheme="minorEastAsia"/>
          <w:sz w:val="24"/>
        </w:rPr>
      </w:pPr>
      <w:r>
        <w:rPr>
          <w:rFonts w:asciiTheme="minorEastAsia" w:hAnsiTheme="minorEastAsia" w:hint="eastAsia"/>
          <w:sz w:val="24"/>
        </w:rPr>
        <w:t>投资有风险，投资者根据所持有的基金份额享受基金收益，同时承担相应的投资风险。投资者在投资本基金之前，请仔细阅读本基金的招募说明书和基金合同等信息披露文件，全面认识本基金的风险收益特征和产品特性，并充分考虑自身的风险承受能力，理性判断市场，谨慎做出投资决策，自行承担投资风险。敬请投资者注意投资风险。</w:t>
      </w:r>
    </w:p>
    <w:p w:rsidR="00A33D7A" w:rsidRDefault="001563F0">
      <w:pPr>
        <w:spacing w:line="360" w:lineRule="auto"/>
        <w:ind w:firstLineChars="200" w:firstLine="480"/>
        <w:rPr>
          <w:rFonts w:asciiTheme="minorEastAsia" w:hAnsiTheme="minorEastAsia"/>
          <w:sz w:val="24"/>
        </w:rPr>
      </w:pPr>
      <w:r>
        <w:rPr>
          <w:rFonts w:asciiTheme="minorEastAsia" w:hAnsiTheme="minorEastAsia" w:hint="eastAsia"/>
          <w:sz w:val="24"/>
        </w:rPr>
        <w:lastRenderedPageBreak/>
        <w:t>特此公告。</w:t>
      </w:r>
    </w:p>
    <w:p w:rsidR="00A33D7A" w:rsidRDefault="001563F0">
      <w:pPr>
        <w:spacing w:line="360" w:lineRule="auto"/>
        <w:ind w:firstLineChars="200" w:firstLine="480"/>
        <w:jc w:val="right"/>
        <w:rPr>
          <w:rFonts w:asciiTheme="minorEastAsia" w:hAnsiTheme="minorEastAsia"/>
          <w:sz w:val="24"/>
        </w:rPr>
      </w:pPr>
      <w:r>
        <w:rPr>
          <w:rFonts w:asciiTheme="minorEastAsia" w:hAnsiTheme="minorEastAsia" w:hint="eastAsia"/>
          <w:sz w:val="24"/>
        </w:rPr>
        <w:t>渤海汇金证券资产管理有限公司</w:t>
      </w:r>
    </w:p>
    <w:p w:rsidR="00A33D7A" w:rsidRDefault="00EE76C6">
      <w:pPr>
        <w:spacing w:line="360" w:lineRule="auto"/>
        <w:ind w:firstLineChars="200" w:firstLine="480"/>
        <w:jc w:val="right"/>
        <w:rPr>
          <w:rFonts w:asciiTheme="minorEastAsia" w:hAnsiTheme="minorEastAsia"/>
          <w:sz w:val="24"/>
        </w:rPr>
      </w:pPr>
      <w:bookmarkStart w:id="0" w:name="_GoBack"/>
      <w:bookmarkEnd w:id="0"/>
      <w:r>
        <w:rPr>
          <w:rFonts w:asciiTheme="minorEastAsia" w:hAnsiTheme="minorEastAsia" w:hint="eastAsia"/>
          <w:sz w:val="24"/>
        </w:rPr>
        <w:t>2</w:t>
      </w:r>
      <w:r>
        <w:rPr>
          <w:rFonts w:asciiTheme="minorEastAsia" w:hAnsiTheme="minorEastAsia"/>
          <w:sz w:val="24"/>
        </w:rPr>
        <w:t>02</w:t>
      </w:r>
      <w:r w:rsidR="00B84B9C">
        <w:rPr>
          <w:rFonts w:asciiTheme="minorEastAsia" w:hAnsiTheme="minorEastAsia"/>
          <w:sz w:val="24"/>
        </w:rPr>
        <w:t>4</w:t>
      </w:r>
      <w:r w:rsidR="001563F0">
        <w:rPr>
          <w:rFonts w:asciiTheme="minorEastAsia" w:hAnsiTheme="minorEastAsia" w:hint="eastAsia"/>
          <w:sz w:val="24"/>
        </w:rPr>
        <w:t>年</w:t>
      </w:r>
      <w:r w:rsidR="00726B18">
        <w:rPr>
          <w:rFonts w:asciiTheme="minorEastAsia" w:hAnsiTheme="minorEastAsia"/>
          <w:sz w:val="24"/>
        </w:rPr>
        <w:t>8</w:t>
      </w:r>
      <w:r w:rsidR="001563F0">
        <w:rPr>
          <w:rFonts w:asciiTheme="minorEastAsia" w:hAnsiTheme="minorEastAsia" w:hint="eastAsia"/>
          <w:sz w:val="24"/>
        </w:rPr>
        <w:t>月</w:t>
      </w:r>
      <w:r w:rsidR="00693402">
        <w:rPr>
          <w:rFonts w:asciiTheme="minorEastAsia" w:hAnsiTheme="minorEastAsia"/>
          <w:sz w:val="24"/>
        </w:rPr>
        <w:t>5</w:t>
      </w:r>
      <w:r w:rsidR="001563F0">
        <w:rPr>
          <w:rFonts w:asciiTheme="minorEastAsia" w:hAnsiTheme="minorEastAsia" w:hint="eastAsia"/>
          <w:sz w:val="24"/>
        </w:rPr>
        <w:t>日</w:t>
      </w:r>
    </w:p>
    <w:sectPr w:rsidR="00A33D7A" w:rsidSect="00B216FA">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1E6" w:rsidRDefault="000531E6">
      <w:r>
        <w:separator/>
      </w:r>
    </w:p>
  </w:endnote>
  <w:endnote w:type="continuationSeparator" w:id="0">
    <w:p w:rsidR="000531E6" w:rsidRDefault="000531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Calibri Light">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1E6" w:rsidRDefault="000531E6">
      <w:r>
        <w:separator/>
      </w:r>
    </w:p>
  </w:footnote>
  <w:footnote w:type="continuationSeparator" w:id="0">
    <w:p w:rsidR="000531E6" w:rsidRDefault="000531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3D7A" w:rsidRDefault="001563F0">
    <w:pPr>
      <w:pStyle w:val="a5"/>
    </w:pPr>
    <w:r>
      <w:rPr>
        <w:rFonts w:ascii="华文楷体" w:eastAsia="华文楷体" w:hAnsi="华文楷体"/>
        <w:noProof/>
        <w:sz w:val="22"/>
        <w:szCs w:val="22"/>
      </w:rPr>
      <w:drawing>
        <wp:anchor distT="0" distB="0" distL="114300" distR="114300" simplePos="0" relativeHeight="251659264" behindDoc="0" locked="0" layoutInCell="1" allowOverlap="1">
          <wp:simplePos x="0" y="0"/>
          <wp:positionH relativeFrom="column">
            <wp:posOffset>0</wp:posOffset>
          </wp:positionH>
          <wp:positionV relativeFrom="paragraph">
            <wp:posOffset>-209550</wp:posOffset>
          </wp:positionV>
          <wp:extent cx="2917825" cy="556260"/>
          <wp:effectExtent l="0" t="0" r="0" b="0"/>
          <wp:wrapSquare wrapText="bothSides"/>
          <wp:docPr id="2" name="图片 0" descr="渤海汇金资管logo带slogan-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渤海汇金资管logo带slogan-03.png"/>
                  <pic:cNvPicPr>
                    <a:picLocks noChangeAspect="1"/>
                  </pic:cNvPicPr>
                </pic:nvPicPr>
                <pic:blipFill>
                  <a:blip r:embed="rId1"/>
                  <a:stretch>
                    <a:fillRect/>
                  </a:stretch>
                </pic:blipFill>
                <pic:spPr>
                  <a:xfrm>
                    <a:off x="0" y="0"/>
                    <a:ext cx="2917825" cy="556260"/>
                  </a:xfrm>
                  <a:prstGeom prst="rect">
                    <a:avLst/>
                  </a:prstGeom>
                </pic:spPr>
              </pic:pic>
            </a:graphicData>
          </a:graphic>
        </wp:anchor>
      </w:drawing>
    </w:r>
    <w:r>
      <w:rPr>
        <w:rFonts w:hint="eastAsia"/>
      </w:rPr>
      <w:t xml:space="preserve"> </w:t>
    </w:r>
    <w:r>
      <w:t xml:space="preserve">                   </w:t>
    </w:r>
  </w:p>
  <w:p w:rsidR="00A33D7A" w:rsidRDefault="001563F0">
    <w:pPr>
      <w:pStyle w:val="a5"/>
      <w:rPr>
        <w:rFonts w:asciiTheme="minorEastAsia" w:hAnsiTheme="minorEastAsia"/>
      </w:rPr>
    </w:pPr>
    <w:r>
      <w:rPr>
        <w:rFonts w:hint="eastAsia"/>
      </w:rPr>
      <w:t xml:space="preserve">                            </w:t>
    </w:r>
    <w:r>
      <w:t xml:space="preserve">                                                     </w:t>
    </w:r>
    <w:r>
      <w:rPr>
        <w:rFonts w:asciiTheme="minorEastAsia" w:hAnsiTheme="minorEastAsia" w:hint="eastAsia"/>
      </w:rPr>
      <w:t>临时公告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3077"/>
    <w:rsid w:val="00000648"/>
    <w:rsid w:val="00004566"/>
    <w:rsid w:val="000155B6"/>
    <w:rsid w:val="00025042"/>
    <w:rsid w:val="000531E6"/>
    <w:rsid w:val="000930F3"/>
    <w:rsid w:val="000F195D"/>
    <w:rsid w:val="001051B3"/>
    <w:rsid w:val="00142EE0"/>
    <w:rsid w:val="001464C4"/>
    <w:rsid w:val="001563F0"/>
    <w:rsid w:val="001834D2"/>
    <w:rsid w:val="00193077"/>
    <w:rsid w:val="00193125"/>
    <w:rsid w:val="001B30BD"/>
    <w:rsid w:val="0020315D"/>
    <w:rsid w:val="0025137E"/>
    <w:rsid w:val="00282B95"/>
    <w:rsid w:val="002C4422"/>
    <w:rsid w:val="002D0E47"/>
    <w:rsid w:val="002E1356"/>
    <w:rsid w:val="002E7A2F"/>
    <w:rsid w:val="00312575"/>
    <w:rsid w:val="00317D1B"/>
    <w:rsid w:val="00327658"/>
    <w:rsid w:val="003A7E27"/>
    <w:rsid w:val="003C1726"/>
    <w:rsid w:val="003D199D"/>
    <w:rsid w:val="003F233F"/>
    <w:rsid w:val="004B3CC0"/>
    <w:rsid w:val="004C4143"/>
    <w:rsid w:val="004D49E4"/>
    <w:rsid w:val="00547BBB"/>
    <w:rsid w:val="00564446"/>
    <w:rsid w:val="005E0D1D"/>
    <w:rsid w:val="00644922"/>
    <w:rsid w:val="0065786F"/>
    <w:rsid w:val="00693402"/>
    <w:rsid w:val="006D5DB7"/>
    <w:rsid w:val="006E7E76"/>
    <w:rsid w:val="00726B18"/>
    <w:rsid w:val="00781099"/>
    <w:rsid w:val="007D26F9"/>
    <w:rsid w:val="007F1F18"/>
    <w:rsid w:val="008333A7"/>
    <w:rsid w:val="00841664"/>
    <w:rsid w:val="0084447A"/>
    <w:rsid w:val="0088392E"/>
    <w:rsid w:val="008B1088"/>
    <w:rsid w:val="00940FB6"/>
    <w:rsid w:val="009C6EF1"/>
    <w:rsid w:val="009E33A7"/>
    <w:rsid w:val="00A33D7A"/>
    <w:rsid w:val="00A42268"/>
    <w:rsid w:val="00A60EE9"/>
    <w:rsid w:val="00A911F0"/>
    <w:rsid w:val="00AA4C5A"/>
    <w:rsid w:val="00AD57AB"/>
    <w:rsid w:val="00B10007"/>
    <w:rsid w:val="00B216FA"/>
    <w:rsid w:val="00B33976"/>
    <w:rsid w:val="00B54D3A"/>
    <w:rsid w:val="00B63C65"/>
    <w:rsid w:val="00B84B9C"/>
    <w:rsid w:val="00BA3070"/>
    <w:rsid w:val="00BE7B56"/>
    <w:rsid w:val="00C676C1"/>
    <w:rsid w:val="00C772E2"/>
    <w:rsid w:val="00CF34B7"/>
    <w:rsid w:val="00CF5EE9"/>
    <w:rsid w:val="00D4339F"/>
    <w:rsid w:val="00D65B39"/>
    <w:rsid w:val="00DD4D24"/>
    <w:rsid w:val="00DE46B3"/>
    <w:rsid w:val="00E05D7B"/>
    <w:rsid w:val="00E15951"/>
    <w:rsid w:val="00E16196"/>
    <w:rsid w:val="00E30B53"/>
    <w:rsid w:val="00E472CB"/>
    <w:rsid w:val="00EA151C"/>
    <w:rsid w:val="00EE76C6"/>
    <w:rsid w:val="00EF69F4"/>
    <w:rsid w:val="00F6634F"/>
    <w:rsid w:val="0DBB764E"/>
    <w:rsid w:val="48F37E32"/>
    <w:rsid w:val="74E447A9"/>
    <w:rsid w:val="768676B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HTML Preformatted"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16FA"/>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B216FA"/>
    <w:rPr>
      <w:rFonts w:ascii="Times New Roman" w:hAnsi="Times New Roman" w:cs="Times New Roman"/>
      <w:sz w:val="24"/>
    </w:rPr>
  </w:style>
  <w:style w:type="paragraph" w:styleId="a4">
    <w:name w:val="footer"/>
    <w:basedOn w:val="a"/>
    <w:link w:val="Char0"/>
    <w:uiPriority w:val="99"/>
    <w:unhideWhenUsed/>
    <w:qFormat/>
    <w:rsid w:val="00B216FA"/>
    <w:pPr>
      <w:tabs>
        <w:tab w:val="center" w:pos="4153"/>
        <w:tab w:val="right" w:pos="8306"/>
      </w:tabs>
      <w:snapToGrid w:val="0"/>
      <w:jc w:val="left"/>
    </w:pPr>
    <w:rPr>
      <w:sz w:val="18"/>
      <w:szCs w:val="18"/>
    </w:rPr>
  </w:style>
  <w:style w:type="paragraph" w:styleId="a5">
    <w:name w:val="header"/>
    <w:basedOn w:val="a"/>
    <w:link w:val="Char1"/>
    <w:uiPriority w:val="99"/>
    <w:unhideWhenUsed/>
    <w:rsid w:val="00B216F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iPriority w:val="99"/>
    <w:semiHidden/>
    <w:unhideWhenUsed/>
    <w:qFormat/>
    <w:rsid w:val="00B216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rPr>
  </w:style>
  <w:style w:type="table" w:styleId="a6">
    <w:name w:val="Table Grid"/>
    <w:basedOn w:val="a1"/>
    <w:uiPriority w:val="39"/>
    <w:qFormat/>
    <w:rsid w:val="00B21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rsid w:val="00B216FA"/>
    <w:rPr>
      <w:color w:val="0563C1" w:themeColor="hyperlink"/>
      <w:u w:val="single"/>
    </w:rPr>
  </w:style>
  <w:style w:type="character" w:customStyle="1" w:styleId="Char1">
    <w:name w:val="页眉 Char"/>
    <w:basedOn w:val="a0"/>
    <w:link w:val="a5"/>
    <w:uiPriority w:val="99"/>
    <w:rsid w:val="00B216FA"/>
    <w:rPr>
      <w:sz w:val="18"/>
      <w:szCs w:val="18"/>
    </w:rPr>
  </w:style>
  <w:style w:type="character" w:customStyle="1" w:styleId="Char0">
    <w:name w:val="页脚 Char"/>
    <w:basedOn w:val="a0"/>
    <w:link w:val="a4"/>
    <w:uiPriority w:val="99"/>
    <w:rsid w:val="00B216FA"/>
    <w:rPr>
      <w:sz w:val="18"/>
      <w:szCs w:val="18"/>
    </w:rPr>
  </w:style>
  <w:style w:type="character" w:customStyle="1" w:styleId="HTMLChar">
    <w:name w:val="HTML 预设格式 Char"/>
    <w:basedOn w:val="a0"/>
    <w:link w:val="HTML"/>
    <w:uiPriority w:val="99"/>
    <w:semiHidden/>
    <w:qFormat/>
    <w:rsid w:val="00B216FA"/>
    <w:rPr>
      <w:rFonts w:ascii="宋体" w:eastAsia="宋体" w:hAnsi="宋体" w:cs="宋体"/>
      <w:kern w:val="0"/>
      <w:sz w:val="24"/>
      <w:szCs w:val="24"/>
    </w:rPr>
  </w:style>
  <w:style w:type="paragraph" w:styleId="a8">
    <w:name w:val="List Paragraph"/>
    <w:basedOn w:val="a"/>
    <w:uiPriority w:val="34"/>
    <w:qFormat/>
    <w:rsid w:val="00B216FA"/>
    <w:pPr>
      <w:ind w:firstLineChars="200" w:firstLine="420"/>
    </w:pPr>
  </w:style>
  <w:style w:type="character" w:customStyle="1" w:styleId="1">
    <w:name w:val="未处理的提及1"/>
    <w:basedOn w:val="a0"/>
    <w:uiPriority w:val="99"/>
    <w:semiHidden/>
    <w:unhideWhenUsed/>
    <w:qFormat/>
    <w:rsid w:val="00B216FA"/>
    <w:rPr>
      <w:color w:val="605E5C"/>
      <w:shd w:val="clear" w:color="auto" w:fill="E1DFDD"/>
    </w:rPr>
  </w:style>
  <w:style w:type="character" w:customStyle="1" w:styleId="Char">
    <w:name w:val="文档结构图 Char"/>
    <w:basedOn w:val="a0"/>
    <w:link w:val="a3"/>
    <w:uiPriority w:val="99"/>
    <w:semiHidden/>
    <w:qFormat/>
    <w:rsid w:val="00B216FA"/>
    <w:rPr>
      <w:rFonts w:ascii="Times New Roman" w:hAnsi="Times New Roman" w:cs="Times New Roman"/>
      <w:sz w:val="24"/>
      <w:szCs w:val="24"/>
    </w:rPr>
  </w:style>
  <w:style w:type="character" w:customStyle="1" w:styleId="UnresolvedMention">
    <w:name w:val="Unresolved Mention"/>
    <w:basedOn w:val="a0"/>
    <w:uiPriority w:val="99"/>
    <w:semiHidden/>
    <w:unhideWhenUsed/>
    <w:rsid w:val="003D199D"/>
    <w:rPr>
      <w:color w:val="605E5C"/>
      <w:shd w:val="clear" w:color="auto" w:fill="E1DFDD"/>
    </w:rPr>
  </w:style>
  <w:style w:type="character" w:styleId="a9">
    <w:name w:val="FollowedHyperlink"/>
    <w:basedOn w:val="a0"/>
    <w:uiPriority w:val="99"/>
    <w:semiHidden/>
    <w:unhideWhenUsed/>
    <w:rsid w:val="00B10007"/>
    <w:rPr>
      <w:color w:val="954F72" w:themeColor="followedHyperlink"/>
      <w:u w:val="single"/>
    </w:rPr>
  </w:style>
  <w:style w:type="character" w:styleId="aa">
    <w:name w:val="Strong"/>
    <w:basedOn w:val="a0"/>
    <w:uiPriority w:val="22"/>
    <w:qFormat/>
    <w:rsid w:val="009E33A7"/>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hjamc.com/" TargetMode="External"/><Relationship Id="rId3" Type="http://schemas.openxmlformats.org/officeDocument/2006/relationships/settings" Target="settings.xml"/><Relationship Id="rId7" Type="http://schemas.openxmlformats.org/officeDocument/2006/relationships/hyperlink" Target="http://www.xiquefund.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680</Characters>
  <Application>Microsoft Office Word</Application>
  <DocSecurity>4</DocSecurity>
  <Lines>5</Lines>
  <Paragraphs>1</Paragraphs>
  <ScaleCrop>false</ScaleCrop>
  <Company/>
  <LinksUpToDate>false</LinksUpToDate>
  <CharactersWithSpaces>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ZHONGM</cp:lastModifiedBy>
  <cp:revision>2</cp:revision>
  <dcterms:created xsi:type="dcterms:W3CDTF">2024-08-04T16:00:00Z</dcterms:created>
  <dcterms:modified xsi:type="dcterms:W3CDTF">2024-08-04T16:00:00Z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