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B32" w:rsidRDefault="00382EC1">
      <w:pPr>
        <w:widowControl/>
        <w:shd w:val="clear" w:color="auto" w:fill="FFFFFF"/>
        <w:spacing w:line="515" w:lineRule="atLeast"/>
        <w:jc w:val="center"/>
        <w:rPr>
          <w:rFonts w:ascii="宋体" w:eastAsia="宋体" w:hAnsi="宋体" w:cs="宋体"/>
          <w:b/>
          <w:bCs/>
          <w:color w:val="000000"/>
          <w:kern w:val="0"/>
          <w:sz w:val="28"/>
          <w:szCs w:val="28"/>
          <w:shd w:val="clear" w:color="auto" w:fill="FFFFFF"/>
        </w:rPr>
      </w:pPr>
      <w:r>
        <w:rPr>
          <w:rFonts w:ascii="宋体" w:eastAsia="宋体" w:hAnsi="宋体" w:cs="宋体" w:hint="eastAsia"/>
          <w:b/>
          <w:bCs/>
          <w:color w:val="000000"/>
          <w:kern w:val="0"/>
          <w:sz w:val="28"/>
          <w:szCs w:val="28"/>
          <w:shd w:val="clear" w:color="auto" w:fill="FFFFFF"/>
        </w:rPr>
        <w:t>新华基金管理股份有限公司</w:t>
      </w:r>
    </w:p>
    <w:p w:rsidR="005E2B32" w:rsidRDefault="00382EC1">
      <w:pPr>
        <w:widowControl/>
        <w:shd w:val="clear" w:color="auto" w:fill="FFFFFF"/>
        <w:spacing w:line="515" w:lineRule="atLeast"/>
        <w:jc w:val="center"/>
        <w:rPr>
          <w:rFonts w:ascii="宋体" w:eastAsia="宋体" w:hAnsi="宋体" w:cs="宋体"/>
          <w:b/>
          <w:bCs/>
          <w:color w:val="000000"/>
          <w:kern w:val="0"/>
          <w:sz w:val="28"/>
          <w:szCs w:val="28"/>
          <w:shd w:val="clear" w:color="auto" w:fill="FFFFFF"/>
        </w:rPr>
      </w:pPr>
      <w:r>
        <w:rPr>
          <w:rFonts w:ascii="宋体" w:eastAsia="宋体" w:hAnsi="宋体" w:cs="宋体" w:hint="eastAsia"/>
          <w:b/>
          <w:bCs/>
          <w:color w:val="000000"/>
          <w:kern w:val="0"/>
          <w:sz w:val="28"/>
          <w:szCs w:val="28"/>
          <w:shd w:val="clear" w:color="auto" w:fill="FFFFFF"/>
        </w:rPr>
        <w:t>关于旗下部分基金增加</w:t>
      </w:r>
      <w:r>
        <w:rPr>
          <w:rFonts w:ascii="宋体" w:eastAsia="宋体" w:hAnsi="宋体" w:cs="宋体" w:hint="eastAsia"/>
          <w:b/>
          <w:bCs/>
          <w:color w:val="000000"/>
          <w:kern w:val="0"/>
          <w:sz w:val="28"/>
          <w:szCs w:val="28"/>
          <w:shd w:val="clear" w:color="auto" w:fill="FFFFFF"/>
        </w:rPr>
        <w:t>上海国信嘉利基金销售有限公司</w:t>
      </w:r>
    </w:p>
    <w:p w:rsidR="005E2B32" w:rsidRDefault="00382EC1">
      <w:pPr>
        <w:widowControl/>
        <w:shd w:val="clear" w:color="auto" w:fill="FFFFFF"/>
        <w:spacing w:line="515" w:lineRule="atLeast"/>
        <w:jc w:val="center"/>
        <w:rPr>
          <w:rFonts w:ascii="宋体" w:eastAsia="宋体" w:hAnsi="宋体" w:cs="宋体"/>
          <w:kern w:val="0"/>
          <w:sz w:val="28"/>
          <w:szCs w:val="28"/>
        </w:rPr>
      </w:pPr>
      <w:r>
        <w:rPr>
          <w:rFonts w:ascii="宋体" w:eastAsia="宋体" w:hAnsi="宋体" w:cs="宋体" w:hint="eastAsia"/>
          <w:b/>
          <w:bCs/>
          <w:color w:val="000000"/>
          <w:kern w:val="0"/>
          <w:sz w:val="28"/>
          <w:szCs w:val="28"/>
          <w:shd w:val="clear" w:color="auto" w:fill="FFFFFF"/>
        </w:rPr>
        <w:t>为代销机构的公告</w:t>
      </w:r>
    </w:p>
    <w:p w:rsidR="005E2B32" w:rsidRDefault="00382EC1">
      <w:pPr>
        <w:widowControl/>
        <w:spacing w:line="510" w:lineRule="atLeast"/>
        <w:jc w:val="center"/>
        <w:rPr>
          <w:rFonts w:ascii="宋体" w:eastAsia="宋体" w:hAnsi="宋体" w:cs="宋体"/>
          <w:color w:val="000000"/>
          <w:kern w:val="0"/>
          <w:sz w:val="22"/>
        </w:rPr>
      </w:pPr>
      <w:r>
        <w:rPr>
          <w:rFonts w:ascii="宋体" w:eastAsia="宋体" w:hAnsi="宋体" w:cs="宋体" w:hint="eastAsia"/>
          <w:color w:val="000000"/>
          <w:kern w:val="0"/>
          <w:sz w:val="22"/>
        </w:rPr>
        <w:t>公告送出日期：</w:t>
      </w:r>
      <w:r>
        <w:rPr>
          <w:rFonts w:ascii="宋体" w:eastAsia="宋体" w:hAnsi="宋体" w:cs="宋体" w:hint="eastAsia"/>
          <w:color w:val="000000"/>
          <w:kern w:val="0"/>
          <w:sz w:val="22"/>
        </w:rPr>
        <w:t>202</w:t>
      </w:r>
      <w:r>
        <w:rPr>
          <w:rFonts w:ascii="宋体" w:eastAsia="宋体" w:hAnsi="宋体" w:cs="宋体" w:hint="eastAsia"/>
          <w:color w:val="000000"/>
          <w:kern w:val="0"/>
          <w:sz w:val="22"/>
        </w:rPr>
        <w:t>4</w:t>
      </w:r>
      <w:r>
        <w:rPr>
          <w:rFonts w:ascii="宋体" w:eastAsia="宋体" w:hAnsi="宋体" w:cs="宋体" w:hint="eastAsia"/>
          <w:color w:val="000000"/>
          <w:kern w:val="0"/>
          <w:sz w:val="22"/>
        </w:rPr>
        <w:t>年</w:t>
      </w:r>
      <w:r>
        <w:rPr>
          <w:rFonts w:ascii="宋体" w:eastAsia="宋体" w:hAnsi="宋体" w:cs="宋体" w:hint="eastAsia"/>
          <w:color w:val="000000"/>
          <w:kern w:val="0"/>
          <w:sz w:val="22"/>
        </w:rPr>
        <w:t>7</w:t>
      </w:r>
      <w:r>
        <w:rPr>
          <w:rFonts w:ascii="宋体" w:eastAsia="宋体" w:hAnsi="宋体" w:cs="宋体" w:hint="eastAsia"/>
          <w:color w:val="000000"/>
          <w:kern w:val="0"/>
          <w:sz w:val="22"/>
        </w:rPr>
        <w:t>月</w:t>
      </w:r>
      <w:r>
        <w:rPr>
          <w:rFonts w:ascii="宋体" w:eastAsia="宋体" w:hAnsi="宋体" w:cs="宋体" w:hint="eastAsia"/>
          <w:color w:val="000000"/>
          <w:kern w:val="0"/>
          <w:sz w:val="22"/>
        </w:rPr>
        <w:t>31</w:t>
      </w:r>
      <w:r>
        <w:rPr>
          <w:rFonts w:ascii="宋体" w:eastAsia="宋体" w:hAnsi="宋体" w:cs="宋体" w:hint="eastAsia"/>
          <w:color w:val="000000"/>
          <w:kern w:val="0"/>
          <w:sz w:val="22"/>
        </w:rPr>
        <w:t>日</w:t>
      </w:r>
    </w:p>
    <w:p w:rsidR="005E2B32" w:rsidRDefault="005E2B32">
      <w:pPr>
        <w:widowControl/>
        <w:spacing w:line="460" w:lineRule="exact"/>
        <w:ind w:firstLine="442"/>
        <w:rPr>
          <w:rFonts w:ascii="宋体" w:eastAsia="宋体" w:hAnsi="宋体" w:cs="宋体"/>
          <w:color w:val="000000"/>
          <w:kern w:val="0"/>
          <w:sz w:val="24"/>
          <w:szCs w:val="24"/>
        </w:rPr>
      </w:pPr>
    </w:p>
    <w:p w:rsidR="005E2B32" w:rsidRDefault="00382EC1">
      <w:pPr>
        <w:widowControl/>
        <w:spacing w:line="460" w:lineRule="exact"/>
        <w:ind w:firstLine="442"/>
        <w:rPr>
          <w:rFonts w:ascii="宋体" w:eastAsia="宋体" w:hAnsi="宋体" w:cs="宋体"/>
          <w:color w:val="000000"/>
          <w:kern w:val="0"/>
          <w:sz w:val="24"/>
          <w:szCs w:val="24"/>
        </w:rPr>
      </w:pPr>
      <w:r>
        <w:rPr>
          <w:rFonts w:ascii="宋体" w:eastAsia="宋体" w:hAnsi="宋体" w:cs="宋体" w:hint="eastAsia"/>
          <w:color w:val="000000"/>
          <w:kern w:val="0"/>
          <w:sz w:val="24"/>
          <w:szCs w:val="24"/>
        </w:rPr>
        <w:t>根据新华基金管理股份有限公司（以下简称“本公司”）与</w:t>
      </w:r>
      <w:r>
        <w:rPr>
          <w:rFonts w:ascii="宋体" w:eastAsia="宋体" w:hAnsi="宋体" w:cs="宋体" w:hint="eastAsia"/>
          <w:color w:val="000000"/>
          <w:kern w:val="0"/>
          <w:sz w:val="24"/>
          <w:szCs w:val="24"/>
        </w:rPr>
        <w:t>上海国信嘉利基金销售有限公司</w:t>
      </w:r>
      <w:r>
        <w:rPr>
          <w:rFonts w:ascii="宋体" w:eastAsia="宋体" w:hAnsi="宋体" w:cs="宋体" w:hint="eastAsia"/>
          <w:color w:val="000000"/>
          <w:kern w:val="0"/>
          <w:sz w:val="24"/>
          <w:szCs w:val="24"/>
        </w:rPr>
        <w:t>（以下简称“</w:t>
      </w:r>
      <w:r>
        <w:rPr>
          <w:rFonts w:ascii="宋体" w:eastAsia="宋体" w:hAnsi="宋体" w:cs="宋体" w:hint="eastAsia"/>
          <w:color w:val="000000"/>
          <w:kern w:val="0"/>
          <w:sz w:val="24"/>
          <w:szCs w:val="24"/>
        </w:rPr>
        <w:t>国信嘉利</w:t>
      </w:r>
      <w:r>
        <w:rPr>
          <w:rFonts w:ascii="宋体" w:eastAsia="宋体" w:hAnsi="宋体" w:cs="宋体" w:hint="eastAsia"/>
          <w:color w:val="000000"/>
          <w:kern w:val="0"/>
          <w:sz w:val="24"/>
          <w:szCs w:val="24"/>
        </w:rPr>
        <w:t>”）签署的销售协议</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自</w:t>
      </w:r>
      <w:r>
        <w:rPr>
          <w:rFonts w:ascii="宋体" w:eastAsia="宋体" w:hAnsi="宋体" w:cs="宋体" w:hint="eastAsia"/>
          <w:color w:val="000000"/>
          <w:kern w:val="0"/>
          <w:sz w:val="24"/>
          <w:szCs w:val="24"/>
        </w:rPr>
        <w:t>202</w:t>
      </w: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rPr>
        <w:t>31</w:t>
      </w:r>
      <w:r>
        <w:rPr>
          <w:rFonts w:ascii="宋体" w:eastAsia="宋体" w:hAnsi="宋体" w:cs="宋体" w:hint="eastAsia"/>
          <w:color w:val="000000"/>
          <w:kern w:val="0"/>
          <w:sz w:val="24"/>
          <w:szCs w:val="24"/>
        </w:rPr>
        <w:t>日起，本公司将增加</w:t>
      </w:r>
      <w:r>
        <w:rPr>
          <w:rFonts w:ascii="宋体" w:eastAsia="宋体" w:hAnsi="宋体" w:cs="宋体" w:hint="eastAsia"/>
          <w:color w:val="000000"/>
          <w:kern w:val="0"/>
          <w:sz w:val="24"/>
          <w:szCs w:val="24"/>
        </w:rPr>
        <w:t>国信嘉利</w:t>
      </w:r>
      <w:r>
        <w:rPr>
          <w:rFonts w:ascii="宋体" w:eastAsia="宋体" w:hAnsi="宋体" w:cs="宋体" w:hint="eastAsia"/>
          <w:color w:val="000000"/>
          <w:kern w:val="0"/>
          <w:sz w:val="24"/>
          <w:szCs w:val="24"/>
        </w:rPr>
        <w:t>为旗下部分基金销售机构并开通相关业务。同时，为满足广大投资者的理财需求，经本公司与</w:t>
      </w:r>
      <w:r>
        <w:rPr>
          <w:rFonts w:ascii="宋体" w:eastAsia="宋体" w:hAnsi="宋体" w:cs="宋体" w:hint="eastAsia"/>
          <w:color w:val="000000"/>
          <w:kern w:val="0"/>
          <w:sz w:val="24"/>
          <w:szCs w:val="24"/>
        </w:rPr>
        <w:t>国信嘉利</w:t>
      </w:r>
      <w:r>
        <w:rPr>
          <w:rFonts w:ascii="宋体" w:eastAsia="宋体" w:hAnsi="宋体" w:cs="宋体" w:hint="eastAsia"/>
          <w:color w:val="000000"/>
          <w:kern w:val="0"/>
          <w:sz w:val="24"/>
          <w:szCs w:val="24"/>
        </w:rPr>
        <w:t>协商一致，自</w:t>
      </w:r>
      <w:r>
        <w:rPr>
          <w:rFonts w:ascii="宋体" w:eastAsia="宋体" w:hAnsi="宋体" w:cs="宋体" w:hint="eastAsia"/>
          <w:color w:val="000000"/>
          <w:kern w:val="0"/>
          <w:sz w:val="24"/>
          <w:szCs w:val="24"/>
        </w:rPr>
        <w:t>202</w:t>
      </w: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rPr>
        <w:t>31</w:t>
      </w:r>
      <w:r>
        <w:rPr>
          <w:rFonts w:ascii="宋体" w:eastAsia="宋体" w:hAnsi="宋体" w:cs="宋体" w:hint="eastAsia"/>
          <w:color w:val="000000"/>
          <w:kern w:val="0"/>
          <w:sz w:val="24"/>
          <w:szCs w:val="24"/>
        </w:rPr>
        <w:t>日起，本公司旗下</w:t>
      </w:r>
      <w:r>
        <w:rPr>
          <w:rFonts w:ascii="宋体" w:eastAsia="宋体" w:hAnsi="宋体" w:cs="宋体" w:hint="eastAsia"/>
          <w:color w:val="000000"/>
          <w:kern w:val="0"/>
          <w:sz w:val="24"/>
          <w:szCs w:val="24"/>
        </w:rPr>
        <w:t>部分</w:t>
      </w:r>
      <w:r>
        <w:rPr>
          <w:rFonts w:ascii="宋体" w:eastAsia="宋体" w:hAnsi="宋体" w:cs="宋体" w:hint="eastAsia"/>
          <w:color w:val="000000"/>
          <w:kern w:val="0"/>
          <w:sz w:val="24"/>
          <w:szCs w:val="24"/>
        </w:rPr>
        <w:t>基金参加</w:t>
      </w:r>
      <w:r>
        <w:rPr>
          <w:rFonts w:ascii="宋体" w:eastAsia="宋体" w:hAnsi="宋体" w:cs="宋体" w:hint="eastAsia"/>
          <w:color w:val="000000"/>
          <w:kern w:val="0"/>
          <w:sz w:val="24"/>
          <w:szCs w:val="24"/>
        </w:rPr>
        <w:t>国信嘉利</w:t>
      </w:r>
      <w:r>
        <w:rPr>
          <w:rFonts w:ascii="宋体" w:eastAsia="宋体" w:hAnsi="宋体" w:cs="宋体" w:hint="eastAsia"/>
          <w:color w:val="000000"/>
          <w:kern w:val="0"/>
          <w:sz w:val="24"/>
          <w:szCs w:val="24"/>
        </w:rPr>
        <w:t>费率优惠活动。</w:t>
      </w:r>
    </w:p>
    <w:p w:rsidR="005E2B32" w:rsidRDefault="005E2B32">
      <w:pPr>
        <w:widowControl/>
        <w:shd w:val="clear" w:color="auto" w:fill="FFFFFF"/>
        <w:spacing w:line="460" w:lineRule="exact"/>
        <w:ind w:firstLine="420"/>
        <w:jc w:val="left"/>
        <w:rPr>
          <w:rFonts w:ascii="宋体" w:eastAsia="宋体" w:hAnsi="宋体" w:cs="宋体"/>
          <w:b/>
          <w:color w:val="000000"/>
          <w:kern w:val="0"/>
          <w:sz w:val="24"/>
          <w:szCs w:val="24"/>
        </w:rPr>
      </w:pPr>
    </w:p>
    <w:p w:rsidR="005E2B32" w:rsidRDefault="00382EC1">
      <w:pPr>
        <w:widowControl/>
        <w:shd w:val="clear" w:color="auto" w:fill="FFFFFF"/>
        <w:spacing w:line="460" w:lineRule="exact"/>
        <w:ind w:firstLine="420"/>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一、新增代销基金如下：</w:t>
      </w:r>
    </w:p>
    <w:tbl>
      <w:tblPr>
        <w:tblW w:w="9336" w:type="dxa"/>
        <w:tblInd w:w="96" w:type="dxa"/>
        <w:tblLook w:val="04A0"/>
      </w:tblPr>
      <w:tblGrid>
        <w:gridCol w:w="540"/>
        <w:gridCol w:w="1368"/>
        <w:gridCol w:w="3588"/>
        <w:gridCol w:w="960"/>
        <w:gridCol w:w="960"/>
        <w:gridCol w:w="960"/>
        <w:gridCol w:w="960"/>
      </w:tblGrid>
      <w:tr w:rsidR="005E2B32">
        <w:trPr>
          <w:trHeight w:val="900"/>
        </w:trPr>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序号</w:t>
            </w:r>
          </w:p>
        </w:tc>
        <w:tc>
          <w:tcPr>
            <w:tcW w:w="1368" w:type="dxa"/>
            <w:tcBorders>
              <w:top w:val="single" w:sz="8" w:space="0" w:color="000000"/>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基金代码</w:t>
            </w:r>
          </w:p>
        </w:tc>
        <w:tc>
          <w:tcPr>
            <w:tcW w:w="3588" w:type="dxa"/>
            <w:tcBorders>
              <w:top w:val="single" w:sz="8" w:space="0" w:color="000000"/>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基金名称</w:t>
            </w:r>
          </w:p>
        </w:tc>
        <w:tc>
          <w:tcPr>
            <w:tcW w:w="960" w:type="dxa"/>
            <w:tcBorders>
              <w:top w:val="single" w:sz="8" w:space="0" w:color="000000"/>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申购赎回业务</w:t>
            </w:r>
          </w:p>
        </w:tc>
        <w:tc>
          <w:tcPr>
            <w:tcW w:w="960" w:type="dxa"/>
            <w:tcBorders>
              <w:top w:val="single" w:sz="8" w:space="0" w:color="000000"/>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定期定额投资</w:t>
            </w:r>
          </w:p>
        </w:tc>
        <w:tc>
          <w:tcPr>
            <w:tcW w:w="960" w:type="dxa"/>
            <w:tcBorders>
              <w:top w:val="single" w:sz="8" w:space="0" w:color="000000"/>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b/>
                <w:bCs/>
                <w:color w:val="000000"/>
                <w:kern w:val="0"/>
                <w:sz w:val="22"/>
                <w:lang/>
              </w:rPr>
            </w:pPr>
            <w:r>
              <w:rPr>
                <w:rFonts w:ascii="宋体" w:eastAsia="宋体" w:hAnsi="宋体" w:cs="宋体" w:hint="eastAsia"/>
                <w:b/>
                <w:bCs/>
                <w:color w:val="000000"/>
                <w:kern w:val="0"/>
                <w:sz w:val="22"/>
                <w:lang/>
              </w:rPr>
              <w:t>转换</w:t>
            </w:r>
          </w:p>
          <w:p w:rsidR="005E2B32" w:rsidRDefault="00382EC1">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业务</w:t>
            </w:r>
          </w:p>
        </w:tc>
        <w:tc>
          <w:tcPr>
            <w:tcW w:w="960" w:type="dxa"/>
            <w:tcBorders>
              <w:top w:val="single" w:sz="8" w:space="0" w:color="000000"/>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是否参加费率优惠</w:t>
            </w:r>
          </w:p>
        </w:tc>
      </w:tr>
      <w:tr w:rsidR="005E2B32">
        <w:trPr>
          <w:trHeight w:val="56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136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000434</w:t>
            </w:r>
          </w:p>
        </w:tc>
        <w:tc>
          <w:tcPr>
            <w:tcW w:w="358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新华壹诺宝货币市场基金</w:t>
            </w:r>
            <w:r>
              <w:rPr>
                <w:rFonts w:ascii="宋体" w:eastAsia="宋体" w:hAnsi="宋体" w:cs="宋体" w:hint="eastAsia"/>
                <w:color w:val="000000"/>
                <w:kern w:val="0"/>
                <w:sz w:val="22"/>
                <w:lang/>
              </w:rPr>
              <w:t>A</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参加</w:t>
            </w:r>
          </w:p>
        </w:tc>
      </w:tr>
      <w:tr w:rsidR="005E2B32">
        <w:trPr>
          <w:trHeight w:val="56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136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003267</w:t>
            </w:r>
          </w:p>
        </w:tc>
        <w:tc>
          <w:tcPr>
            <w:tcW w:w="358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新华壹诺宝货币市场基金</w:t>
            </w:r>
            <w:r>
              <w:rPr>
                <w:rFonts w:ascii="宋体" w:eastAsia="宋体" w:hAnsi="宋体" w:cs="宋体" w:hint="eastAsia"/>
                <w:color w:val="000000"/>
                <w:kern w:val="0"/>
                <w:sz w:val="22"/>
                <w:lang/>
              </w:rPr>
              <w:t>B</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参加</w:t>
            </w:r>
          </w:p>
        </w:tc>
      </w:tr>
      <w:tr w:rsidR="005E2B32">
        <w:trPr>
          <w:trHeight w:val="56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136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000903</w:t>
            </w:r>
          </w:p>
        </w:tc>
        <w:tc>
          <w:tcPr>
            <w:tcW w:w="358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新华活期添利货币市场基金</w:t>
            </w:r>
            <w:r>
              <w:rPr>
                <w:rFonts w:ascii="宋体" w:eastAsia="宋体" w:hAnsi="宋体" w:cs="宋体" w:hint="eastAsia"/>
                <w:color w:val="000000"/>
                <w:kern w:val="0"/>
                <w:sz w:val="22"/>
                <w:lang/>
              </w:rPr>
              <w:t>A</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参加</w:t>
            </w:r>
          </w:p>
        </w:tc>
      </w:tr>
      <w:tr w:rsidR="005E2B32">
        <w:trPr>
          <w:trHeight w:val="56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136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003264</w:t>
            </w:r>
          </w:p>
        </w:tc>
        <w:tc>
          <w:tcPr>
            <w:tcW w:w="358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新华活期添利货币市场基金</w:t>
            </w:r>
            <w:r>
              <w:rPr>
                <w:rFonts w:ascii="宋体" w:eastAsia="宋体" w:hAnsi="宋体" w:cs="宋体" w:hint="eastAsia"/>
                <w:color w:val="000000"/>
                <w:kern w:val="0"/>
                <w:sz w:val="22"/>
                <w:lang/>
              </w:rPr>
              <w:t>B</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参加</w:t>
            </w:r>
          </w:p>
        </w:tc>
      </w:tr>
      <w:tr w:rsidR="005E2B32">
        <w:trPr>
          <w:trHeight w:val="56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136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000973</w:t>
            </w:r>
          </w:p>
        </w:tc>
        <w:tc>
          <w:tcPr>
            <w:tcW w:w="358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新华增盈回报债券型证券投资基金</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参加</w:t>
            </w:r>
          </w:p>
        </w:tc>
      </w:tr>
      <w:tr w:rsidR="005E2B32">
        <w:trPr>
          <w:trHeight w:val="56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136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002765</w:t>
            </w:r>
          </w:p>
        </w:tc>
        <w:tc>
          <w:tcPr>
            <w:tcW w:w="358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新华双利债券型证券投资基金</w:t>
            </w:r>
            <w:r>
              <w:rPr>
                <w:rFonts w:ascii="宋体" w:eastAsia="宋体" w:hAnsi="宋体" w:cs="宋体" w:hint="eastAsia"/>
                <w:color w:val="000000"/>
                <w:kern w:val="0"/>
                <w:sz w:val="22"/>
                <w:lang/>
              </w:rPr>
              <w:t>A</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参加</w:t>
            </w:r>
          </w:p>
        </w:tc>
      </w:tr>
      <w:tr w:rsidR="005E2B32">
        <w:trPr>
          <w:trHeight w:val="56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c>
          <w:tcPr>
            <w:tcW w:w="136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002766</w:t>
            </w:r>
          </w:p>
        </w:tc>
        <w:tc>
          <w:tcPr>
            <w:tcW w:w="358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新华双利债券型证券投资基金</w:t>
            </w:r>
            <w:r>
              <w:rPr>
                <w:rFonts w:ascii="宋体" w:eastAsia="宋体" w:hAnsi="宋体" w:cs="宋体" w:hint="eastAsia"/>
                <w:color w:val="000000"/>
                <w:kern w:val="0"/>
                <w:sz w:val="22"/>
                <w:lang/>
              </w:rPr>
              <w:t>C</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参加</w:t>
            </w:r>
          </w:p>
        </w:tc>
      </w:tr>
      <w:tr w:rsidR="005E2B32">
        <w:trPr>
          <w:trHeight w:val="56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w:t>
            </w:r>
          </w:p>
        </w:tc>
        <w:tc>
          <w:tcPr>
            <w:tcW w:w="136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003221</w:t>
            </w:r>
          </w:p>
        </w:tc>
        <w:tc>
          <w:tcPr>
            <w:tcW w:w="358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新华丰利债券型证券投资基金</w:t>
            </w:r>
            <w:r>
              <w:rPr>
                <w:rFonts w:ascii="宋体" w:eastAsia="宋体" w:hAnsi="宋体" w:cs="宋体" w:hint="eastAsia"/>
                <w:color w:val="000000"/>
                <w:kern w:val="0"/>
                <w:sz w:val="22"/>
                <w:lang/>
              </w:rPr>
              <w:t>A</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参加</w:t>
            </w:r>
          </w:p>
        </w:tc>
      </w:tr>
      <w:tr w:rsidR="005E2B32">
        <w:trPr>
          <w:trHeight w:val="56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w:t>
            </w:r>
          </w:p>
        </w:tc>
        <w:tc>
          <w:tcPr>
            <w:tcW w:w="136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003222</w:t>
            </w:r>
          </w:p>
        </w:tc>
        <w:tc>
          <w:tcPr>
            <w:tcW w:w="358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新华丰利债券型证券投资基金</w:t>
            </w:r>
            <w:r>
              <w:rPr>
                <w:rFonts w:ascii="宋体" w:eastAsia="宋体" w:hAnsi="宋体" w:cs="宋体" w:hint="eastAsia"/>
                <w:color w:val="000000"/>
                <w:kern w:val="0"/>
                <w:sz w:val="22"/>
                <w:lang/>
              </w:rPr>
              <w:t>C</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参加</w:t>
            </w:r>
          </w:p>
        </w:tc>
      </w:tr>
      <w:tr w:rsidR="005E2B32">
        <w:trPr>
          <w:trHeight w:val="591"/>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w:t>
            </w:r>
          </w:p>
        </w:tc>
        <w:tc>
          <w:tcPr>
            <w:tcW w:w="136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004567</w:t>
            </w:r>
          </w:p>
        </w:tc>
        <w:tc>
          <w:tcPr>
            <w:tcW w:w="358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新华安享惠泽</w:t>
            </w:r>
            <w:r>
              <w:rPr>
                <w:rFonts w:ascii="宋体" w:eastAsia="宋体" w:hAnsi="宋体" w:cs="宋体" w:hint="eastAsia"/>
                <w:color w:val="000000"/>
                <w:kern w:val="0"/>
                <w:sz w:val="22"/>
                <w:lang/>
              </w:rPr>
              <w:t>39</w:t>
            </w:r>
            <w:r>
              <w:rPr>
                <w:rFonts w:ascii="宋体" w:eastAsia="宋体" w:hAnsi="宋体" w:cs="宋体" w:hint="eastAsia"/>
                <w:color w:val="000000"/>
                <w:kern w:val="0"/>
                <w:sz w:val="22"/>
                <w:lang/>
              </w:rPr>
              <w:t>个月定期开放债券型证券投资基金</w:t>
            </w:r>
            <w:r>
              <w:rPr>
                <w:rFonts w:ascii="宋体" w:eastAsia="宋体" w:hAnsi="宋体" w:cs="宋体" w:hint="eastAsia"/>
                <w:color w:val="000000"/>
                <w:kern w:val="0"/>
                <w:sz w:val="22"/>
                <w:lang/>
              </w:rPr>
              <w:t>A</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参加</w:t>
            </w:r>
          </w:p>
        </w:tc>
      </w:tr>
      <w:tr w:rsidR="005E2B32">
        <w:trPr>
          <w:trHeight w:val="591"/>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w:t>
            </w:r>
          </w:p>
        </w:tc>
        <w:tc>
          <w:tcPr>
            <w:tcW w:w="136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008808</w:t>
            </w:r>
          </w:p>
        </w:tc>
        <w:tc>
          <w:tcPr>
            <w:tcW w:w="358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新华安享惠泽</w:t>
            </w:r>
            <w:r>
              <w:rPr>
                <w:rFonts w:ascii="宋体" w:eastAsia="宋体" w:hAnsi="宋体" w:cs="宋体" w:hint="eastAsia"/>
                <w:color w:val="000000"/>
                <w:kern w:val="0"/>
                <w:sz w:val="22"/>
                <w:lang/>
              </w:rPr>
              <w:t>39</w:t>
            </w:r>
            <w:r>
              <w:rPr>
                <w:rFonts w:ascii="宋体" w:eastAsia="宋体" w:hAnsi="宋体" w:cs="宋体" w:hint="eastAsia"/>
                <w:color w:val="000000"/>
                <w:kern w:val="0"/>
                <w:sz w:val="22"/>
                <w:lang/>
              </w:rPr>
              <w:t>个月定期开放债券型证券投资基金</w:t>
            </w:r>
            <w:r>
              <w:rPr>
                <w:rFonts w:ascii="宋体" w:eastAsia="宋体" w:hAnsi="宋体" w:cs="宋体" w:hint="eastAsia"/>
                <w:color w:val="000000"/>
                <w:kern w:val="0"/>
                <w:sz w:val="22"/>
                <w:lang/>
              </w:rPr>
              <w:t>C</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参加</w:t>
            </w:r>
          </w:p>
        </w:tc>
      </w:tr>
      <w:tr w:rsidR="005E2B32">
        <w:trPr>
          <w:trHeight w:val="591"/>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12</w:t>
            </w:r>
          </w:p>
        </w:tc>
        <w:tc>
          <w:tcPr>
            <w:tcW w:w="136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009979</w:t>
            </w:r>
          </w:p>
        </w:tc>
        <w:tc>
          <w:tcPr>
            <w:tcW w:w="358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新华安享惠融</w:t>
            </w:r>
            <w:r>
              <w:rPr>
                <w:rFonts w:ascii="宋体" w:eastAsia="宋体" w:hAnsi="宋体" w:cs="宋体" w:hint="eastAsia"/>
                <w:color w:val="000000"/>
                <w:kern w:val="0"/>
                <w:sz w:val="22"/>
                <w:lang/>
              </w:rPr>
              <w:t>88</w:t>
            </w:r>
            <w:r>
              <w:rPr>
                <w:rFonts w:ascii="宋体" w:eastAsia="宋体" w:hAnsi="宋体" w:cs="宋体" w:hint="eastAsia"/>
                <w:color w:val="000000"/>
                <w:kern w:val="0"/>
                <w:sz w:val="22"/>
                <w:lang/>
              </w:rPr>
              <w:t>个月定期开放债券型证券投资基金</w:t>
            </w:r>
            <w:r>
              <w:rPr>
                <w:rFonts w:ascii="宋体" w:eastAsia="宋体" w:hAnsi="宋体" w:cs="宋体" w:hint="eastAsia"/>
                <w:color w:val="000000"/>
                <w:kern w:val="0"/>
                <w:sz w:val="22"/>
                <w:lang/>
              </w:rPr>
              <w:t>A</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参加</w:t>
            </w:r>
          </w:p>
        </w:tc>
      </w:tr>
      <w:tr w:rsidR="005E2B32">
        <w:trPr>
          <w:trHeight w:val="591"/>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w:t>
            </w:r>
          </w:p>
        </w:tc>
        <w:tc>
          <w:tcPr>
            <w:tcW w:w="136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009980</w:t>
            </w:r>
          </w:p>
        </w:tc>
        <w:tc>
          <w:tcPr>
            <w:tcW w:w="358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新华安享惠融</w:t>
            </w:r>
            <w:r>
              <w:rPr>
                <w:rFonts w:ascii="宋体" w:eastAsia="宋体" w:hAnsi="宋体" w:cs="宋体" w:hint="eastAsia"/>
                <w:color w:val="000000"/>
                <w:kern w:val="0"/>
                <w:sz w:val="22"/>
                <w:lang/>
              </w:rPr>
              <w:t>88</w:t>
            </w:r>
            <w:r>
              <w:rPr>
                <w:rFonts w:ascii="宋体" w:eastAsia="宋体" w:hAnsi="宋体" w:cs="宋体" w:hint="eastAsia"/>
                <w:color w:val="000000"/>
                <w:kern w:val="0"/>
                <w:sz w:val="22"/>
                <w:lang/>
              </w:rPr>
              <w:t>个月定期开放债券型证券投资基金</w:t>
            </w:r>
            <w:r>
              <w:rPr>
                <w:rFonts w:ascii="宋体" w:eastAsia="宋体" w:hAnsi="宋体" w:cs="宋体" w:hint="eastAsia"/>
                <w:color w:val="000000"/>
                <w:kern w:val="0"/>
                <w:sz w:val="22"/>
                <w:lang/>
              </w:rPr>
              <w:t>C</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参加</w:t>
            </w:r>
          </w:p>
        </w:tc>
      </w:tr>
      <w:tr w:rsidR="005E2B32">
        <w:trPr>
          <w:trHeight w:val="56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w:t>
            </w:r>
          </w:p>
        </w:tc>
        <w:tc>
          <w:tcPr>
            <w:tcW w:w="136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004647</w:t>
            </w:r>
          </w:p>
        </w:tc>
        <w:tc>
          <w:tcPr>
            <w:tcW w:w="358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新华鼎利债券型证券投资基金</w:t>
            </w:r>
            <w:r>
              <w:rPr>
                <w:rFonts w:ascii="宋体" w:eastAsia="宋体" w:hAnsi="宋体" w:cs="宋体" w:hint="eastAsia"/>
                <w:color w:val="000000"/>
                <w:kern w:val="0"/>
                <w:sz w:val="22"/>
                <w:lang/>
              </w:rPr>
              <w:t>A</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参加</w:t>
            </w:r>
          </w:p>
        </w:tc>
      </w:tr>
      <w:tr w:rsidR="005E2B32">
        <w:trPr>
          <w:trHeight w:val="56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w:t>
            </w:r>
          </w:p>
        </w:tc>
        <w:tc>
          <w:tcPr>
            <w:tcW w:w="136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014265</w:t>
            </w:r>
          </w:p>
        </w:tc>
        <w:tc>
          <w:tcPr>
            <w:tcW w:w="358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新华鼎利债券型证券投资基金</w:t>
            </w:r>
            <w:r>
              <w:rPr>
                <w:rFonts w:ascii="宋体" w:eastAsia="宋体" w:hAnsi="宋体" w:cs="宋体" w:hint="eastAsia"/>
                <w:color w:val="000000"/>
                <w:kern w:val="0"/>
                <w:sz w:val="22"/>
                <w:lang/>
              </w:rPr>
              <w:t>E</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参加</w:t>
            </w:r>
          </w:p>
        </w:tc>
      </w:tr>
      <w:tr w:rsidR="005E2B32">
        <w:trPr>
          <w:trHeight w:val="56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w:t>
            </w:r>
          </w:p>
        </w:tc>
        <w:tc>
          <w:tcPr>
            <w:tcW w:w="136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004981</w:t>
            </w:r>
          </w:p>
        </w:tc>
        <w:tc>
          <w:tcPr>
            <w:tcW w:w="358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新华鑫日享中短债债券型证券投资基金</w:t>
            </w:r>
            <w:r>
              <w:rPr>
                <w:rFonts w:ascii="宋体" w:eastAsia="宋体" w:hAnsi="宋体" w:cs="宋体" w:hint="eastAsia"/>
                <w:color w:val="000000"/>
                <w:kern w:val="0"/>
                <w:sz w:val="22"/>
                <w:lang/>
              </w:rPr>
              <w:t>A</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参加</w:t>
            </w:r>
          </w:p>
        </w:tc>
      </w:tr>
      <w:tr w:rsidR="005E2B32">
        <w:trPr>
          <w:trHeight w:val="56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w:t>
            </w:r>
          </w:p>
        </w:tc>
        <w:tc>
          <w:tcPr>
            <w:tcW w:w="136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007912</w:t>
            </w:r>
          </w:p>
        </w:tc>
        <w:tc>
          <w:tcPr>
            <w:tcW w:w="358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新华鑫日享中短债债券型证券投资基金</w:t>
            </w:r>
            <w:r>
              <w:rPr>
                <w:rFonts w:ascii="宋体" w:eastAsia="宋体" w:hAnsi="宋体" w:cs="宋体" w:hint="eastAsia"/>
                <w:color w:val="000000"/>
                <w:kern w:val="0"/>
                <w:sz w:val="22"/>
                <w:lang/>
              </w:rPr>
              <w:t>B</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参加</w:t>
            </w:r>
          </w:p>
        </w:tc>
      </w:tr>
      <w:tr w:rsidR="005E2B32">
        <w:trPr>
          <w:trHeight w:val="56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w:t>
            </w:r>
          </w:p>
        </w:tc>
        <w:tc>
          <w:tcPr>
            <w:tcW w:w="136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004982</w:t>
            </w:r>
          </w:p>
        </w:tc>
        <w:tc>
          <w:tcPr>
            <w:tcW w:w="358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新华安享多裕定期开放灵活配置混合型证券投资基金</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参加</w:t>
            </w:r>
          </w:p>
        </w:tc>
      </w:tr>
      <w:tr w:rsidR="005E2B32">
        <w:trPr>
          <w:trHeight w:val="56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w:t>
            </w:r>
          </w:p>
        </w:tc>
        <w:tc>
          <w:tcPr>
            <w:tcW w:w="136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006896</w:t>
            </w:r>
          </w:p>
        </w:tc>
        <w:tc>
          <w:tcPr>
            <w:tcW w:w="358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新华聚利债券型证券投资基金</w:t>
            </w:r>
            <w:r>
              <w:rPr>
                <w:rFonts w:ascii="宋体" w:eastAsia="宋体" w:hAnsi="宋体" w:cs="宋体" w:hint="eastAsia"/>
                <w:color w:val="000000"/>
                <w:kern w:val="0"/>
                <w:sz w:val="22"/>
                <w:lang/>
              </w:rPr>
              <w:t>A</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参加</w:t>
            </w:r>
          </w:p>
        </w:tc>
      </w:tr>
      <w:tr w:rsidR="005E2B32">
        <w:trPr>
          <w:trHeight w:val="56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w:t>
            </w:r>
          </w:p>
        </w:tc>
        <w:tc>
          <w:tcPr>
            <w:tcW w:w="136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017044</w:t>
            </w:r>
          </w:p>
        </w:tc>
        <w:tc>
          <w:tcPr>
            <w:tcW w:w="358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新华聚利债券型证券投资基金</w:t>
            </w:r>
            <w:r>
              <w:rPr>
                <w:rFonts w:ascii="宋体" w:eastAsia="宋体" w:hAnsi="宋体" w:cs="宋体" w:hint="eastAsia"/>
                <w:color w:val="000000"/>
                <w:kern w:val="0"/>
                <w:sz w:val="22"/>
                <w:lang/>
              </w:rPr>
              <w:t>E</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参加</w:t>
            </w:r>
          </w:p>
        </w:tc>
      </w:tr>
      <w:tr w:rsidR="005E2B32">
        <w:trPr>
          <w:trHeight w:val="56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w:t>
            </w:r>
          </w:p>
        </w:tc>
        <w:tc>
          <w:tcPr>
            <w:tcW w:w="136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011038</w:t>
            </w:r>
          </w:p>
        </w:tc>
        <w:tc>
          <w:tcPr>
            <w:tcW w:w="358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新华利率债债券型证券投资基金</w:t>
            </w:r>
            <w:r>
              <w:rPr>
                <w:rFonts w:ascii="宋体" w:eastAsia="宋体" w:hAnsi="宋体" w:cs="宋体" w:hint="eastAsia"/>
                <w:color w:val="000000"/>
                <w:kern w:val="0"/>
                <w:sz w:val="22"/>
                <w:lang/>
              </w:rPr>
              <w:t>A</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参加</w:t>
            </w:r>
          </w:p>
        </w:tc>
      </w:tr>
      <w:tr w:rsidR="005E2B32">
        <w:trPr>
          <w:trHeight w:val="56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22</w:t>
            </w:r>
          </w:p>
        </w:tc>
        <w:tc>
          <w:tcPr>
            <w:tcW w:w="136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016295</w:t>
            </w:r>
          </w:p>
        </w:tc>
        <w:tc>
          <w:tcPr>
            <w:tcW w:w="358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新华利率债债券型证券投资基金</w:t>
            </w:r>
            <w:r>
              <w:rPr>
                <w:rFonts w:ascii="宋体" w:eastAsia="宋体" w:hAnsi="宋体" w:cs="宋体" w:hint="eastAsia"/>
                <w:color w:val="000000"/>
                <w:kern w:val="0"/>
                <w:sz w:val="22"/>
                <w:lang/>
              </w:rPr>
              <w:t>E</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参加</w:t>
            </w:r>
          </w:p>
        </w:tc>
      </w:tr>
      <w:tr w:rsidR="005E2B32">
        <w:trPr>
          <w:trHeight w:val="56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23</w:t>
            </w:r>
          </w:p>
        </w:tc>
        <w:tc>
          <w:tcPr>
            <w:tcW w:w="136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011973</w:t>
            </w:r>
          </w:p>
        </w:tc>
        <w:tc>
          <w:tcPr>
            <w:tcW w:w="358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新华中债</w:t>
            </w:r>
            <w:r>
              <w:rPr>
                <w:rFonts w:ascii="宋体" w:eastAsia="宋体" w:hAnsi="宋体" w:cs="宋体" w:hint="eastAsia"/>
                <w:color w:val="000000"/>
                <w:kern w:val="0"/>
                <w:sz w:val="22"/>
                <w:lang/>
              </w:rPr>
              <w:t>1-5</w:t>
            </w:r>
            <w:r>
              <w:rPr>
                <w:rFonts w:ascii="宋体" w:eastAsia="宋体" w:hAnsi="宋体" w:cs="宋体" w:hint="eastAsia"/>
                <w:color w:val="000000"/>
                <w:kern w:val="0"/>
                <w:sz w:val="22"/>
                <w:lang/>
              </w:rPr>
              <w:t>年农发行债券指数证券投资基金</w:t>
            </w:r>
            <w:r>
              <w:rPr>
                <w:rFonts w:ascii="宋体" w:eastAsia="宋体" w:hAnsi="宋体" w:cs="宋体" w:hint="eastAsia"/>
                <w:color w:val="000000"/>
                <w:kern w:val="0"/>
                <w:sz w:val="22"/>
                <w:lang/>
              </w:rPr>
              <w:t>A</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参加</w:t>
            </w:r>
          </w:p>
        </w:tc>
      </w:tr>
      <w:tr w:rsidR="005E2B32">
        <w:trPr>
          <w:trHeight w:val="56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24</w:t>
            </w:r>
          </w:p>
        </w:tc>
        <w:tc>
          <w:tcPr>
            <w:tcW w:w="136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011974</w:t>
            </w:r>
          </w:p>
        </w:tc>
        <w:tc>
          <w:tcPr>
            <w:tcW w:w="358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新华中债</w:t>
            </w:r>
            <w:r>
              <w:rPr>
                <w:rFonts w:ascii="宋体" w:eastAsia="宋体" w:hAnsi="宋体" w:cs="宋体" w:hint="eastAsia"/>
                <w:color w:val="000000"/>
                <w:kern w:val="0"/>
                <w:sz w:val="22"/>
                <w:lang/>
              </w:rPr>
              <w:t>1-5</w:t>
            </w:r>
            <w:r>
              <w:rPr>
                <w:rFonts w:ascii="宋体" w:eastAsia="宋体" w:hAnsi="宋体" w:cs="宋体" w:hint="eastAsia"/>
                <w:color w:val="000000"/>
                <w:kern w:val="0"/>
                <w:sz w:val="22"/>
                <w:lang/>
              </w:rPr>
              <w:t>年农发行债券指数证券投资基金</w:t>
            </w:r>
            <w:r>
              <w:rPr>
                <w:rFonts w:ascii="宋体" w:eastAsia="宋体" w:hAnsi="宋体" w:cs="宋体" w:hint="eastAsia"/>
                <w:color w:val="000000"/>
                <w:kern w:val="0"/>
                <w:sz w:val="22"/>
                <w:lang/>
              </w:rPr>
              <w:t>C</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参加</w:t>
            </w:r>
          </w:p>
        </w:tc>
      </w:tr>
      <w:tr w:rsidR="005E2B32">
        <w:trPr>
          <w:trHeight w:val="56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25</w:t>
            </w:r>
          </w:p>
        </w:tc>
        <w:tc>
          <w:tcPr>
            <w:tcW w:w="136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011796</w:t>
            </w:r>
          </w:p>
        </w:tc>
        <w:tc>
          <w:tcPr>
            <w:tcW w:w="358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新华中债</w:t>
            </w:r>
            <w:r>
              <w:rPr>
                <w:rFonts w:ascii="宋体" w:eastAsia="宋体" w:hAnsi="宋体" w:cs="宋体" w:hint="eastAsia"/>
                <w:color w:val="000000"/>
                <w:kern w:val="0"/>
                <w:sz w:val="22"/>
                <w:lang/>
              </w:rPr>
              <w:t>0-3</w:t>
            </w:r>
            <w:r>
              <w:rPr>
                <w:rFonts w:ascii="宋体" w:eastAsia="宋体" w:hAnsi="宋体" w:cs="宋体" w:hint="eastAsia"/>
                <w:color w:val="000000"/>
                <w:kern w:val="0"/>
                <w:sz w:val="22"/>
                <w:lang/>
              </w:rPr>
              <w:t>年政策性金融债指数证券投资基金</w:t>
            </w:r>
            <w:r>
              <w:rPr>
                <w:rFonts w:ascii="宋体" w:eastAsia="宋体" w:hAnsi="宋体" w:cs="宋体" w:hint="eastAsia"/>
                <w:color w:val="000000"/>
                <w:kern w:val="0"/>
                <w:sz w:val="22"/>
                <w:lang/>
              </w:rPr>
              <w:t>A</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参加</w:t>
            </w:r>
          </w:p>
        </w:tc>
      </w:tr>
      <w:tr w:rsidR="005E2B32">
        <w:trPr>
          <w:trHeight w:val="56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26</w:t>
            </w:r>
          </w:p>
        </w:tc>
        <w:tc>
          <w:tcPr>
            <w:tcW w:w="136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011797</w:t>
            </w:r>
          </w:p>
        </w:tc>
        <w:tc>
          <w:tcPr>
            <w:tcW w:w="3588" w:type="dxa"/>
            <w:tcBorders>
              <w:top w:val="nil"/>
              <w:left w:val="nil"/>
              <w:bottom w:val="single" w:sz="8" w:space="0" w:color="000000"/>
              <w:right w:val="single" w:sz="8" w:space="0" w:color="000000"/>
            </w:tcBorders>
            <w:shd w:val="clear" w:color="auto" w:fill="auto"/>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新华中债</w:t>
            </w:r>
            <w:r>
              <w:rPr>
                <w:rFonts w:ascii="宋体" w:eastAsia="宋体" w:hAnsi="宋体" w:cs="宋体" w:hint="eastAsia"/>
                <w:color w:val="000000"/>
                <w:kern w:val="0"/>
                <w:sz w:val="22"/>
                <w:lang/>
              </w:rPr>
              <w:t>0-3</w:t>
            </w:r>
            <w:r>
              <w:rPr>
                <w:rFonts w:ascii="宋体" w:eastAsia="宋体" w:hAnsi="宋体" w:cs="宋体" w:hint="eastAsia"/>
                <w:color w:val="000000"/>
                <w:kern w:val="0"/>
                <w:sz w:val="22"/>
                <w:lang/>
              </w:rPr>
              <w:t>年政策性金融债指数证券投资基金</w:t>
            </w:r>
            <w:r>
              <w:rPr>
                <w:rFonts w:ascii="宋体" w:eastAsia="宋体" w:hAnsi="宋体" w:cs="宋体" w:hint="eastAsia"/>
                <w:color w:val="000000"/>
                <w:kern w:val="0"/>
                <w:sz w:val="22"/>
                <w:lang/>
              </w:rPr>
              <w:t>C</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开通</w:t>
            </w:r>
          </w:p>
        </w:tc>
        <w:tc>
          <w:tcPr>
            <w:tcW w:w="0" w:type="auto"/>
            <w:tcBorders>
              <w:top w:val="nil"/>
              <w:left w:val="nil"/>
              <w:bottom w:val="single" w:sz="8" w:space="0" w:color="000000"/>
              <w:right w:val="single" w:sz="8" w:space="0" w:color="000000"/>
            </w:tcBorders>
            <w:shd w:val="clear" w:color="auto" w:fill="auto"/>
            <w:noWrap/>
            <w:vAlign w:val="center"/>
          </w:tcPr>
          <w:p w:rsidR="005E2B32" w:rsidRDefault="00382E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参加</w:t>
            </w:r>
          </w:p>
        </w:tc>
      </w:tr>
    </w:tbl>
    <w:p w:rsidR="005E2B32" w:rsidRDefault="005E2B32">
      <w:pPr>
        <w:widowControl/>
        <w:spacing w:line="460" w:lineRule="exact"/>
        <w:rPr>
          <w:rFonts w:ascii="宋体" w:eastAsia="宋体" w:hAnsi="宋体" w:cs="宋体"/>
          <w:color w:val="000000"/>
          <w:kern w:val="0"/>
          <w:sz w:val="24"/>
          <w:szCs w:val="24"/>
        </w:rPr>
      </w:pPr>
    </w:p>
    <w:p w:rsidR="005E2B32" w:rsidRDefault="005E2B32">
      <w:pPr>
        <w:widowControl/>
        <w:shd w:val="clear" w:color="auto" w:fill="FFFFFF"/>
        <w:spacing w:line="460" w:lineRule="exact"/>
        <w:jc w:val="left"/>
        <w:rPr>
          <w:rFonts w:ascii="宋体" w:eastAsia="宋体" w:hAnsi="宋体" w:cs="宋体"/>
          <w:b/>
          <w:color w:val="000000"/>
          <w:kern w:val="0"/>
          <w:sz w:val="24"/>
          <w:szCs w:val="24"/>
        </w:rPr>
      </w:pPr>
    </w:p>
    <w:p w:rsidR="005E2B32" w:rsidRDefault="00382EC1">
      <w:pPr>
        <w:widowControl/>
        <w:shd w:val="clear" w:color="auto" w:fill="FFFFFF"/>
        <w:spacing w:line="460" w:lineRule="exact"/>
        <w:ind w:firstLine="420"/>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二</w:t>
      </w:r>
      <w:r>
        <w:rPr>
          <w:rFonts w:ascii="宋体" w:eastAsia="宋体" w:hAnsi="宋体" w:cs="宋体" w:hint="eastAsia"/>
          <w:b/>
          <w:color w:val="000000"/>
          <w:kern w:val="0"/>
          <w:sz w:val="24"/>
          <w:szCs w:val="24"/>
        </w:rPr>
        <w:t>、开通定期定额投资业务</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“定期定额投资”（以下简称“定投”）是基金申购的一种业务方式，指在一定的投资期间内投资者在固定时间、以固定金额定期申购基金。</w:t>
      </w:r>
      <w:r>
        <w:rPr>
          <w:rFonts w:ascii="宋体" w:eastAsia="宋体" w:hAnsi="宋体" w:cs="宋体" w:hint="eastAsia"/>
          <w:bCs/>
          <w:color w:val="000000"/>
          <w:kern w:val="0"/>
          <w:sz w:val="24"/>
          <w:szCs w:val="24"/>
        </w:rPr>
        <w:t>国信嘉利</w:t>
      </w:r>
      <w:r>
        <w:rPr>
          <w:rFonts w:ascii="宋体" w:eastAsia="宋体" w:hAnsi="宋体" w:cs="宋体" w:hint="eastAsia"/>
          <w:bCs/>
          <w:color w:val="000000"/>
          <w:kern w:val="0"/>
          <w:sz w:val="24"/>
          <w:szCs w:val="24"/>
        </w:rPr>
        <w:t>接受投资者的基金定投业务申请后，根据投资者指定的日期从投资者签约的资金账户内自动扣划约定的款项用以申购基金。投资者在开办上述基金定投业务的同时，仍然可以进行上述基金的日常申购、赎回业务。</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1</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定投业务的办理时间</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lastRenderedPageBreak/>
        <w:t>定投业务申请办理时间为该基金开放日的开放时间，具体办理时间详见</w:t>
      </w:r>
      <w:r>
        <w:rPr>
          <w:rFonts w:ascii="宋体" w:eastAsia="宋体" w:hAnsi="宋体" w:cs="宋体" w:hint="eastAsia"/>
          <w:bCs/>
          <w:color w:val="000000"/>
          <w:kern w:val="0"/>
          <w:sz w:val="24"/>
          <w:szCs w:val="24"/>
        </w:rPr>
        <w:t>国信嘉利</w:t>
      </w:r>
      <w:r>
        <w:rPr>
          <w:rFonts w:ascii="宋体" w:eastAsia="宋体" w:hAnsi="宋体" w:cs="宋体" w:hint="eastAsia"/>
          <w:bCs/>
          <w:color w:val="000000"/>
          <w:kern w:val="0"/>
          <w:sz w:val="24"/>
          <w:szCs w:val="24"/>
        </w:rPr>
        <w:t>的公告。</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2</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适用投资者范围</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定投业务适用于依据我国有关法律法规的规定和本基金的基金合同的约定可以投资证券投资基金的投资者。</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3</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申请方式</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3.1</w:t>
      </w:r>
      <w:r>
        <w:rPr>
          <w:rFonts w:ascii="宋体" w:eastAsia="宋体" w:hAnsi="宋体" w:cs="宋体" w:hint="eastAsia"/>
          <w:bCs/>
          <w:color w:val="000000"/>
          <w:kern w:val="0"/>
          <w:sz w:val="24"/>
          <w:szCs w:val="24"/>
        </w:rPr>
        <w:t>凡申请办理定投业务的投资者，须先开立本公司开放式基金账户（已开户者除外），具体开户程</w:t>
      </w:r>
      <w:r>
        <w:rPr>
          <w:rFonts w:ascii="宋体" w:eastAsia="宋体" w:hAnsi="宋体" w:cs="宋体" w:hint="eastAsia"/>
          <w:bCs/>
          <w:color w:val="000000"/>
          <w:kern w:val="0"/>
          <w:sz w:val="24"/>
          <w:szCs w:val="24"/>
        </w:rPr>
        <w:t>序请遵循</w:t>
      </w:r>
      <w:r>
        <w:rPr>
          <w:rFonts w:ascii="宋体" w:eastAsia="宋体" w:hAnsi="宋体" w:cs="宋体" w:hint="eastAsia"/>
          <w:bCs/>
          <w:color w:val="000000"/>
          <w:kern w:val="0"/>
          <w:sz w:val="24"/>
          <w:szCs w:val="24"/>
        </w:rPr>
        <w:t>国信嘉利</w:t>
      </w:r>
      <w:r>
        <w:rPr>
          <w:rFonts w:ascii="宋体" w:eastAsia="宋体" w:hAnsi="宋体" w:cs="宋体" w:hint="eastAsia"/>
          <w:bCs/>
          <w:color w:val="000000"/>
          <w:kern w:val="0"/>
          <w:sz w:val="24"/>
          <w:szCs w:val="24"/>
        </w:rPr>
        <w:t>的规定。</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3.2</w:t>
      </w:r>
      <w:r>
        <w:rPr>
          <w:rFonts w:ascii="宋体" w:eastAsia="宋体" w:hAnsi="宋体" w:cs="宋体" w:hint="eastAsia"/>
          <w:bCs/>
          <w:color w:val="000000"/>
          <w:kern w:val="0"/>
          <w:sz w:val="24"/>
          <w:szCs w:val="24"/>
        </w:rPr>
        <w:t>已开立本公司开放式基金账户的投资者，具体办理程序请遵循</w:t>
      </w:r>
      <w:r>
        <w:rPr>
          <w:rFonts w:ascii="宋体" w:eastAsia="宋体" w:hAnsi="宋体" w:cs="宋体" w:hint="eastAsia"/>
          <w:bCs/>
          <w:color w:val="000000"/>
          <w:kern w:val="0"/>
          <w:sz w:val="24"/>
          <w:szCs w:val="24"/>
        </w:rPr>
        <w:t>国信嘉利</w:t>
      </w:r>
      <w:r>
        <w:rPr>
          <w:rFonts w:ascii="宋体" w:eastAsia="宋体" w:hAnsi="宋体" w:cs="宋体" w:hint="eastAsia"/>
          <w:bCs/>
          <w:color w:val="000000"/>
          <w:kern w:val="0"/>
          <w:sz w:val="24"/>
          <w:szCs w:val="24"/>
        </w:rPr>
        <w:t>的规定。</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4</w:t>
      </w:r>
      <w:r>
        <w:rPr>
          <w:rFonts w:ascii="宋体" w:eastAsia="宋体" w:hAnsi="宋体" w:cs="宋体" w:hint="eastAsia"/>
          <w:bCs/>
          <w:color w:val="000000"/>
          <w:kern w:val="0"/>
          <w:sz w:val="24"/>
          <w:szCs w:val="24"/>
        </w:rPr>
        <w:t>、申购日期</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4.1</w:t>
      </w:r>
      <w:r>
        <w:rPr>
          <w:rFonts w:ascii="宋体" w:eastAsia="宋体" w:hAnsi="宋体" w:cs="宋体" w:hint="eastAsia"/>
          <w:bCs/>
          <w:color w:val="000000"/>
          <w:kern w:val="0"/>
          <w:sz w:val="24"/>
          <w:szCs w:val="24"/>
        </w:rPr>
        <w:t>投资者应遵循</w:t>
      </w:r>
      <w:r>
        <w:rPr>
          <w:rFonts w:ascii="宋体" w:eastAsia="宋体" w:hAnsi="宋体" w:cs="宋体" w:hint="eastAsia"/>
          <w:bCs/>
          <w:color w:val="000000"/>
          <w:kern w:val="0"/>
          <w:sz w:val="24"/>
          <w:szCs w:val="24"/>
        </w:rPr>
        <w:t>国信嘉利</w:t>
      </w:r>
      <w:r>
        <w:rPr>
          <w:rFonts w:ascii="宋体" w:eastAsia="宋体" w:hAnsi="宋体" w:cs="宋体" w:hint="eastAsia"/>
          <w:bCs/>
          <w:color w:val="000000"/>
          <w:kern w:val="0"/>
          <w:sz w:val="24"/>
          <w:szCs w:val="24"/>
        </w:rPr>
        <w:t>的规定与其约定每期扣款日期，该扣款日期视同为基金合同中约定的申购申请日（</w:t>
      </w:r>
      <w:r>
        <w:rPr>
          <w:rFonts w:ascii="宋体" w:eastAsia="宋体" w:hAnsi="宋体" w:cs="宋体" w:hint="eastAsia"/>
          <w:bCs/>
          <w:color w:val="000000"/>
          <w:kern w:val="0"/>
          <w:sz w:val="24"/>
          <w:szCs w:val="24"/>
        </w:rPr>
        <w:t>T</w:t>
      </w:r>
      <w:r>
        <w:rPr>
          <w:rFonts w:ascii="宋体" w:eastAsia="宋体" w:hAnsi="宋体" w:cs="宋体" w:hint="eastAsia"/>
          <w:bCs/>
          <w:color w:val="000000"/>
          <w:kern w:val="0"/>
          <w:sz w:val="24"/>
          <w:szCs w:val="24"/>
        </w:rPr>
        <w:t>日）；</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4.2</w:t>
      </w:r>
      <w:r>
        <w:rPr>
          <w:rFonts w:ascii="宋体" w:eastAsia="宋体" w:hAnsi="宋体" w:cs="宋体" w:hint="eastAsia"/>
          <w:bCs/>
          <w:color w:val="000000"/>
          <w:kern w:val="0"/>
          <w:sz w:val="24"/>
          <w:szCs w:val="24"/>
        </w:rPr>
        <w:t>国信嘉利</w:t>
      </w:r>
      <w:r>
        <w:rPr>
          <w:rFonts w:ascii="宋体" w:eastAsia="宋体" w:hAnsi="宋体" w:cs="宋体" w:hint="eastAsia"/>
          <w:bCs/>
          <w:color w:val="000000"/>
          <w:kern w:val="0"/>
          <w:sz w:val="24"/>
          <w:szCs w:val="24"/>
        </w:rPr>
        <w:t>将按照投资者申请时所约定的每期约定扣款日、扣款金额进行扣款。若遇非基金开放日则顺延到下一基金开放日，并以该日为基金申购申请日。</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5</w:t>
      </w:r>
      <w:r>
        <w:rPr>
          <w:rFonts w:ascii="宋体" w:eastAsia="宋体" w:hAnsi="宋体" w:cs="宋体" w:hint="eastAsia"/>
          <w:bCs/>
          <w:color w:val="000000"/>
          <w:kern w:val="0"/>
          <w:sz w:val="24"/>
          <w:szCs w:val="24"/>
        </w:rPr>
        <w:t>、定投业务起点</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通过</w:t>
      </w:r>
      <w:r>
        <w:rPr>
          <w:rFonts w:ascii="宋体" w:eastAsia="宋体" w:hAnsi="宋体" w:cs="宋体" w:hint="eastAsia"/>
          <w:bCs/>
          <w:color w:val="000000"/>
          <w:kern w:val="0"/>
          <w:sz w:val="24"/>
          <w:szCs w:val="24"/>
        </w:rPr>
        <w:t>国信嘉利</w:t>
      </w:r>
      <w:r>
        <w:rPr>
          <w:rFonts w:ascii="宋体" w:eastAsia="宋体" w:hAnsi="宋体" w:cs="宋体" w:hint="eastAsia"/>
          <w:bCs/>
          <w:color w:val="000000"/>
          <w:kern w:val="0"/>
          <w:sz w:val="24"/>
          <w:szCs w:val="24"/>
        </w:rPr>
        <w:t>办理本基金定投业务，每期最低申购额均为</w:t>
      </w:r>
      <w:r>
        <w:rPr>
          <w:rFonts w:ascii="宋体" w:eastAsia="宋体" w:hAnsi="宋体" w:cs="宋体" w:hint="eastAsia"/>
          <w:bCs/>
          <w:color w:val="000000"/>
          <w:kern w:val="0"/>
          <w:sz w:val="24"/>
          <w:szCs w:val="24"/>
        </w:rPr>
        <w:t>1</w:t>
      </w:r>
      <w:r>
        <w:rPr>
          <w:rFonts w:ascii="宋体" w:eastAsia="宋体" w:hAnsi="宋体" w:cs="宋体" w:hint="eastAsia"/>
          <w:bCs/>
          <w:color w:val="000000"/>
          <w:kern w:val="0"/>
          <w:sz w:val="24"/>
          <w:szCs w:val="24"/>
        </w:rPr>
        <w:t>元人民币。定投业务不受日常申购的最低数额限制与最高数额限制。</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6</w:t>
      </w:r>
      <w:r>
        <w:rPr>
          <w:rFonts w:ascii="宋体" w:eastAsia="宋体" w:hAnsi="宋体" w:cs="宋体" w:hint="eastAsia"/>
          <w:bCs/>
          <w:color w:val="000000"/>
          <w:kern w:val="0"/>
          <w:sz w:val="24"/>
          <w:szCs w:val="24"/>
        </w:rPr>
        <w:t>、交易确认</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6.1</w:t>
      </w:r>
      <w:r>
        <w:rPr>
          <w:rFonts w:ascii="宋体" w:eastAsia="宋体" w:hAnsi="宋体" w:cs="宋体" w:hint="eastAsia"/>
          <w:bCs/>
          <w:color w:val="000000"/>
          <w:kern w:val="0"/>
          <w:sz w:val="24"/>
          <w:szCs w:val="24"/>
        </w:rPr>
        <w:t>以每期实际扣款日（</w:t>
      </w:r>
      <w:r>
        <w:rPr>
          <w:rFonts w:ascii="宋体" w:eastAsia="宋体" w:hAnsi="宋体" w:cs="宋体" w:hint="eastAsia"/>
          <w:bCs/>
          <w:color w:val="000000"/>
          <w:kern w:val="0"/>
          <w:sz w:val="24"/>
          <w:szCs w:val="24"/>
        </w:rPr>
        <w:t>T</w:t>
      </w:r>
      <w:r>
        <w:rPr>
          <w:rFonts w:ascii="宋体" w:eastAsia="宋体" w:hAnsi="宋体" w:cs="宋体" w:hint="eastAsia"/>
          <w:bCs/>
          <w:color w:val="000000"/>
          <w:kern w:val="0"/>
          <w:sz w:val="24"/>
          <w:szCs w:val="24"/>
        </w:rPr>
        <w:t>日）的基金份额净值为基准计算申购份额。基金份额确认日为</w:t>
      </w:r>
      <w:r>
        <w:rPr>
          <w:rFonts w:ascii="宋体" w:eastAsia="宋体" w:hAnsi="宋体" w:cs="宋体" w:hint="eastAsia"/>
          <w:bCs/>
          <w:color w:val="000000"/>
          <w:kern w:val="0"/>
          <w:sz w:val="24"/>
          <w:szCs w:val="24"/>
        </w:rPr>
        <w:t>T</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1</w:t>
      </w:r>
      <w:r>
        <w:rPr>
          <w:rFonts w:ascii="宋体" w:eastAsia="宋体" w:hAnsi="宋体" w:cs="宋体" w:hint="eastAsia"/>
          <w:bCs/>
          <w:color w:val="000000"/>
          <w:kern w:val="0"/>
          <w:sz w:val="24"/>
          <w:szCs w:val="24"/>
        </w:rPr>
        <w:t>日，投资者可在</w:t>
      </w:r>
      <w:r>
        <w:rPr>
          <w:rFonts w:ascii="宋体" w:eastAsia="宋体" w:hAnsi="宋体" w:cs="宋体" w:hint="eastAsia"/>
          <w:bCs/>
          <w:color w:val="000000"/>
          <w:kern w:val="0"/>
          <w:sz w:val="24"/>
          <w:szCs w:val="24"/>
        </w:rPr>
        <w:t>T</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2</w:t>
      </w:r>
      <w:r>
        <w:rPr>
          <w:rFonts w:ascii="宋体" w:eastAsia="宋体" w:hAnsi="宋体" w:cs="宋体" w:hint="eastAsia"/>
          <w:bCs/>
          <w:color w:val="000000"/>
          <w:kern w:val="0"/>
          <w:sz w:val="24"/>
          <w:szCs w:val="24"/>
        </w:rPr>
        <w:t>日查询相应基金申购确认情况。</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6.2</w:t>
      </w:r>
      <w:r>
        <w:rPr>
          <w:rFonts w:ascii="宋体" w:eastAsia="宋体" w:hAnsi="宋体" w:cs="宋体" w:hint="eastAsia"/>
          <w:bCs/>
          <w:color w:val="000000"/>
          <w:kern w:val="0"/>
          <w:sz w:val="24"/>
          <w:szCs w:val="24"/>
        </w:rPr>
        <w:t>当发生限制申购或暂停申购的情形时，如无另行公告，定投业务也将做暂停处理。</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7</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定投业务</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的变更和终止</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投资者办理变更每期投资金额、申购日期、签约账户等事项，或者终止定投业务时，具体办理程序请遵循</w:t>
      </w:r>
      <w:r>
        <w:rPr>
          <w:rFonts w:ascii="宋体" w:eastAsia="宋体" w:hAnsi="宋体" w:cs="宋体" w:hint="eastAsia"/>
          <w:bCs/>
          <w:color w:val="000000"/>
          <w:kern w:val="0"/>
          <w:sz w:val="24"/>
          <w:szCs w:val="24"/>
        </w:rPr>
        <w:t>国信嘉利</w:t>
      </w:r>
      <w:r>
        <w:rPr>
          <w:rFonts w:ascii="宋体" w:eastAsia="宋体" w:hAnsi="宋体" w:cs="宋体" w:hint="eastAsia"/>
          <w:bCs/>
          <w:color w:val="000000"/>
          <w:kern w:val="0"/>
          <w:sz w:val="24"/>
          <w:szCs w:val="24"/>
        </w:rPr>
        <w:t>的有关规定。</w:t>
      </w:r>
    </w:p>
    <w:p w:rsidR="005E2B32" w:rsidRDefault="00382EC1">
      <w:pPr>
        <w:widowControl/>
        <w:shd w:val="clear" w:color="auto" w:fill="FFFFFF"/>
        <w:spacing w:line="460" w:lineRule="exact"/>
        <w:ind w:firstLine="420"/>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三</w:t>
      </w:r>
      <w:r>
        <w:rPr>
          <w:rFonts w:ascii="宋体" w:eastAsia="宋体" w:hAnsi="宋体" w:cs="宋体" w:hint="eastAsia"/>
          <w:b/>
          <w:color w:val="000000"/>
          <w:kern w:val="0"/>
          <w:sz w:val="24"/>
          <w:szCs w:val="24"/>
        </w:rPr>
        <w:t>、基金转换业务</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基金转换是指开放式基金份额持有人将其持有某只基金的部分或全部份额转换为同一基金管理人管理的另一只开放式基金的份额。</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1</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办理日常转换的开放日为上海证券交易所和深圳证券交易所交易日（本公司公告暂停申购或转换时除外）。由于销售机构系统及业务安排等原因，开放日的具体业务办理时间可能有所不同，投资者应参照销售机构的具体规定。</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2</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基金转换费用</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2.1</w:t>
      </w:r>
      <w:r>
        <w:rPr>
          <w:rFonts w:ascii="宋体" w:eastAsia="宋体" w:hAnsi="宋体" w:cs="宋体" w:hint="eastAsia"/>
          <w:bCs/>
          <w:color w:val="000000"/>
          <w:kern w:val="0"/>
          <w:sz w:val="24"/>
          <w:szCs w:val="24"/>
        </w:rPr>
        <w:t>每笔基金转换视为转出基金的一笔基金赎回和转入基金的一笔基金申购。基金转换费用由转出基金的赎回费用及转入基金的申购补差费用构成。</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2.2</w:t>
      </w:r>
      <w:r>
        <w:rPr>
          <w:rFonts w:ascii="宋体" w:eastAsia="宋体" w:hAnsi="宋体" w:cs="宋体" w:hint="eastAsia"/>
          <w:bCs/>
          <w:color w:val="000000"/>
          <w:kern w:val="0"/>
          <w:sz w:val="24"/>
          <w:szCs w:val="24"/>
        </w:rPr>
        <w:t>转入基金时</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从申购费用低的基金向申购费用高的基金转换时</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每次收取转入基金申购补差费用；从申购费用高的基金向申购费用低的基金转换时</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不收取申购补差费用。转入</w:t>
      </w:r>
      <w:r>
        <w:rPr>
          <w:rFonts w:ascii="宋体" w:eastAsia="宋体" w:hAnsi="宋体" w:cs="宋体" w:hint="eastAsia"/>
          <w:bCs/>
          <w:color w:val="000000"/>
          <w:kern w:val="0"/>
          <w:sz w:val="24"/>
          <w:szCs w:val="24"/>
        </w:rPr>
        <w:t>基金的申购补差费用按照转换金额对应的转出基金与转入基金的申购费率差额进行补差。</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2.3</w:t>
      </w:r>
      <w:r>
        <w:rPr>
          <w:rFonts w:ascii="宋体" w:eastAsia="宋体" w:hAnsi="宋体" w:cs="宋体" w:hint="eastAsia"/>
          <w:bCs/>
          <w:color w:val="000000"/>
          <w:kern w:val="0"/>
          <w:sz w:val="24"/>
          <w:szCs w:val="24"/>
        </w:rPr>
        <w:t>转出基金时</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如涉及的转出基金有赎回费用</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收取该基金的赎回费用。收取的赎回费用不低于</w:t>
      </w:r>
      <w:r>
        <w:rPr>
          <w:rFonts w:ascii="宋体" w:eastAsia="宋体" w:hAnsi="宋体" w:cs="宋体" w:hint="eastAsia"/>
          <w:bCs/>
          <w:color w:val="000000"/>
          <w:kern w:val="0"/>
          <w:sz w:val="24"/>
          <w:szCs w:val="24"/>
        </w:rPr>
        <w:t>25%</w:t>
      </w:r>
      <w:r>
        <w:rPr>
          <w:rFonts w:ascii="宋体" w:eastAsia="宋体" w:hAnsi="宋体" w:cs="宋体" w:hint="eastAsia"/>
          <w:bCs/>
          <w:color w:val="000000"/>
          <w:kern w:val="0"/>
          <w:sz w:val="24"/>
          <w:szCs w:val="24"/>
        </w:rPr>
        <w:t>的部分归入基金财产，其余部分用于支付注册登记费等相关手续费。</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2.4</w:t>
      </w:r>
      <w:r>
        <w:rPr>
          <w:rFonts w:ascii="宋体" w:eastAsia="宋体" w:hAnsi="宋体" w:cs="宋体" w:hint="eastAsia"/>
          <w:bCs/>
          <w:color w:val="000000"/>
          <w:kern w:val="0"/>
          <w:sz w:val="24"/>
          <w:szCs w:val="24"/>
        </w:rPr>
        <w:t>投资者可以发起多次基金转换业务，基金转换费用按每笔申请单独计算。</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2.5</w:t>
      </w:r>
      <w:r>
        <w:rPr>
          <w:rFonts w:ascii="宋体" w:eastAsia="宋体" w:hAnsi="宋体" w:cs="宋体" w:hint="eastAsia"/>
          <w:bCs/>
          <w:color w:val="000000"/>
          <w:kern w:val="0"/>
          <w:sz w:val="24"/>
          <w:szCs w:val="24"/>
        </w:rPr>
        <w:t>转换费用以人民币元为单位，计算结果按照截位法，保留小数点后两位。</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2.6</w:t>
      </w:r>
      <w:r>
        <w:rPr>
          <w:rFonts w:ascii="宋体" w:eastAsia="宋体" w:hAnsi="宋体" w:cs="宋体" w:hint="eastAsia"/>
          <w:bCs/>
          <w:color w:val="000000"/>
          <w:kern w:val="0"/>
          <w:sz w:val="24"/>
          <w:szCs w:val="24"/>
        </w:rPr>
        <w:t>转换份额的计算步骤及计算公式：</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第一步：计算转出金额</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1</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 xml:space="preserve"> </w:t>
      </w:r>
      <w:r>
        <w:rPr>
          <w:rFonts w:ascii="宋体" w:eastAsia="宋体" w:hAnsi="宋体" w:cs="宋体" w:hint="eastAsia"/>
          <w:bCs/>
          <w:color w:val="000000"/>
          <w:kern w:val="0"/>
          <w:sz w:val="24"/>
          <w:szCs w:val="24"/>
        </w:rPr>
        <w:t>非货币基金转换至货币基金</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 xml:space="preserve"> </w:t>
      </w:r>
      <w:r>
        <w:rPr>
          <w:rFonts w:ascii="宋体" w:eastAsia="宋体" w:hAnsi="宋体" w:cs="宋体" w:hint="eastAsia"/>
          <w:bCs/>
          <w:color w:val="000000"/>
          <w:kern w:val="0"/>
          <w:sz w:val="24"/>
          <w:szCs w:val="24"/>
        </w:rPr>
        <w:t>转出金额</w:t>
      </w:r>
      <w:r>
        <w:rPr>
          <w:rFonts w:ascii="宋体" w:eastAsia="宋体" w:hAnsi="宋体" w:cs="宋体" w:hint="eastAsia"/>
          <w:bCs/>
          <w:color w:val="000000"/>
          <w:kern w:val="0"/>
          <w:sz w:val="24"/>
          <w:szCs w:val="24"/>
        </w:rPr>
        <w:t xml:space="preserve"> </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 xml:space="preserve"> </w:t>
      </w:r>
      <w:r>
        <w:rPr>
          <w:rFonts w:ascii="宋体" w:eastAsia="宋体" w:hAnsi="宋体" w:cs="宋体" w:hint="eastAsia"/>
          <w:bCs/>
          <w:color w:val="000000"/>
          <w:kern w:val="0"/>
          <w:sz w:val="24"/>
          <w:szCs w:val="24"/>
        </w:rPr>
        <w:t>转出基金份额×转出基金当日基金份额净值</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2</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 xml:space="preserve"> </w:t>
      </w:r>
      <w:r>
        <w:rPr>
          <w:rFonts w:ascii="宋体" w:eastAsia="宋体" w:hAnsi="宋体" w:cs="宋体" w:hint="eastAsia"/>
          <w:bCs/>
          <w:color w:val="000000"/>
          <w:kern w:val="0"/>
          <w:sz w:val="24"/>
          <w:szCs w:val="24"/>
        </w:rPr>
        <w:t>货币基金转换至非货币基金</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 xml:space="preserve"> </w:t>
      </w:r>
      <w:r>
        <w:rPr>
          <w:rFonts w:ascii="宋体" w:eastAsia="宋体" w:hAnsi="宋体" w:cs="宋体" w:hint="eastAsia"/>
          <w:bCs/>
          <w:color w:val="000000"/>
          <w:kern w:val="0"/>
          <w:sz w:val="24"/>
          <w:szCs w:val="24"/>
        </w:rPr>
        <w:t>转出金额</w:t>
      </w:r>
      <w:r>
        <w:rPr>
          <w:rFonts w:ascii="宋体" w:eastAsia="宋体" w:hAnsi="宋体" w:cs="宋体" w:hint="eastAsia"/>
          <w:bCs/>
          <w:color w:val="000000"/>
          <w:kern w:val="0"/>
          <w:sz w:val="24"/>
          <w:szCs w:val="24"/>
        </w:rPr>
        <w:t xml:space="preserve"> </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 xml:space="preserve"> </w:t>
      </w:r>
      <w:r>
        <w:rPr>
          <w:rFonts w:ascii="宋体" w:eastAsia="宋体" w:hAnsi="宋体" w:cs="宋体" w:hint="eastAsia"/>
          <w:bCs/>
          <w:color w:val="000000"/>
          <w:kern w:val="0"/>
          <w:sz w:val="24"/>
          <w:szCs w:val="24"/>
        </w:rPr>
        <w:t>转出基金份额×转出基金当日基金份额净值＋货币市场基金应转出的累计未付收益</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 xml:space="preserve"> </w:t>
      </w:r>
      <w:r>
        <w:rPr>
          <w:rFonts w:ascii="宋体" w:eastAsia="宋体" w:hAnsi="宋体" w:cs="宋体" w:hint="eastAsia"/>
          <w:bCs/>
          <w:color w:val="000000"/>
          <w:kern w:val="0"/>
          <w:sz w:val="24"/>
          <w:szCs w:val="24"/>
        </w:rPr>
        <w:t>第二步：计算转换费用</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 xml:space="preserve"> </w:t>
      </w:r>
      <w:r>
        <w:rPr>
          <w:rFonts w:ascii="宋体" w:eastAsia="宋体" w:hAnsi="宋体" w:cs="宋体" w:hint="eastAsia"/>
          <w:bCs/>
          <w:color w:val="000000"/>
          <w:kern w:val="0"/>
          <w:sz w:val="24"/>
          <w:szCs w:val="24"/>
        </w:rPr>
        <w:t>转换费用＝赎回费用＋补差费用</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 xml:space="preserve"> </w:t>
      </w:r>
      <w:r>
        <w:rPr>
          <w:rFonts w:ascii="宋体" w:eastAsia="宋体" w:hAnsi="宋体" w:cs="宋体" w:hint="eastAsia"/>
          <w:bCs/>
          <w:color w:val="000000"/>
          <w:kern w:val="0"/>
          <w:sz w:val="24"/>
          <w:szCs w:val="24"/>
        </w:rPr>
        <w:t>赎回费用＝转出金额×赎回费率</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 xml:space="preserve"> </w:t>
      </w:r>
      <w:r>
        <w:rPr>
          <w:rFonts w:ascii="宋体" w:eastAsia="宋体" w:hAnsi="宋体" w:cs="宋体" w:hint="eastAsia"/>
          <w:bCs/>
          <w:color w:val="000000"/>
          <w:kern w:val="0"/>
          <w:sz w:val="24"/>
          <w:szCs w:val="24"/>
        </w:rPr>
        <w:t>补差费用：分别以下两种情况计算</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 xml:space="preserve"> </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1</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 xml:space="preserve"> </w:t>
      </w:r>
      <w:r>
        <w:rPr>
          <w:rFonts w:ascii="宋体" w:eastAsia="宋体" w:hAnsi="宋体" w:cs="宋体" w:hint="eastAsia"/>
          <w:bCs/>
          <w:color w:val="000000"/>
          <w:kern w:val="0"/>
          <w:sz w:val="24"/>
          <w:szCs w:val="24"/>
        </w:rPr>
        <w:t>转入基金的申购费率</w:t>
      </w:r>
      <w:r>
        <w:rPr>
          <w:rFonts w:ascii="宋体" w:eastAsia="宋体" w:hAnsi="宋体" w:cs="宋体" w:hint="eastAsia"/>
          <w:bCs/>
          <w:color w:val="000000"/>
          <w:kern w:val="0"/>
          <w:sz w:val="24"/>
          <w:szCs w:val="24"/>
        </w:rPr>
        <w:t>&gt;</w:t>
      </w:r>
      <w:r>
        <w:rPr>
          <w:rFonts w:ascii="宋体" w:eastAsia="宋体" w:hAnsi="宋体" w:cs="宋体" w:hint="eastAsia"/>
          <w:bCs/>
          <w:color w:val="000000"/>
          <w:kern w:val="0"/>
          <w:sz w:val="24"/>
          <w:szCs w:val="24"/>
        </w:rPr>
        <w:t>转出基金的申购费率</w:t>
      </w:r>
    </w:p>
    <w:p w:rsidR="005E2B32" w:rsidRDefault="00382EC1">
      <w:pPr>
        <w:widowControl/>
        <w:shd w:val="clear" w:color="auto" w:fill="FFFFFF"/>
        <w:spacing w:line="460" w:lineRule="exact"/>
        <w:ind w:firstLineChars="200" w:firstLine="48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补差费用＝（转出金额－赎回费用）×（转入基金申购费率－转出基金申购费率）／【</w:t>
      </w:r>
      <w:r>
        <w:rPr>
          <w:rFonts w:ascii="宋体" w:eastAsia="宋体" w:hAnsi="宋体" w:cs="宋体" w:hint="eastAsia"/>
          <w:bCs/>
          <w:color w:val="000000"/>
          <w:kern w:val="0"/>
          <w:sz w:val="24"/>
          <w:szCs w:val="24"/>
        </w:rPr>
        <w:t>1</w:t>
      </w:r>
      <w:r>
        <w:rPr>
          <w:rFonts w:ascii="宋体" w:eastAsia="宋体" w:hAnsi="宋体" w:cs="宋体" w:hint="eastAsia"/>
          <w:bCs/>
          <w:color w:val="000000"/>
          <w:kern w:val="0"/>
          <w:sz w:val="24"/>
          <w:szCs w:val="24"/>
        </w:rPr>
        <w:t>＋（转入基金申购费率－转出基金申购费率）】</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 xml:space="preserve"> </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2</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 xml:space="preserve"> </w:t>
      </w:r>
      <w:r>
        <w:rPr>
          <w:rFonts w:ascii="宋体" w:eastAsia="宋体" w:hAnsi="宋体" w:cs="宋体" w:hint="eastAsia"/>
          <w:bCs/>
          <w:color w:val="000000"/>
          <w:kern w:val="0"/>
          <w:sz w:val="24"/>
          <w:szCs w:val="24"/>
        </w:rPr>
        <w:t>转入基金的申购费率</w:t>
      </w:r>
      <w:r>
        <w:rPr>
          <w:rFonts w:ascii="宋体" w:eastAsia="宋体" w:hAnsi="宋体" w:cs="宋体" w:hint="eastAsia"/>
          <w:bCs/>
          <w:color w:val="000000"/>
          <w:kern w:val="0"/>
          <w:sz w:val="24"/>
          <w:szCs w:val="24"/>
        </w:rPr>
        <w:t xml:space="preserve"> </w:t>
      </w:r>
      <w:r>
        <w:rPr>
          <w:rFonts w:ascii="宋体" w:eastAsia="宋体" w:hAnsi="宋体" w:cs="宋体" w:hint="eastAsia"/>
          <w:bCs/>
          <w:color w:val="000000"/>
          <w:kern w:val="0"/>
          <w:sz w:val="24"/>
          <w:szCs w:val="24"/>
        </w:rPr>
        <w:t>≤转出基</w:t>
      </w:r>
      <w:r>
        <w:rPr>
          <w:rFonts w:ascii="宋体" w:eastAsia="宋体" w:hAnsi="宋体" w:cs="宋体" w:hint="eastAsia"/>
          <w:bCs/>
          <w:color w:val="000000"/>
          <w:kern w:val="0"/>
          <w:sz w:val="24"/>
          <w:szCs w:val="24"/>
        </w:rPr>
        <w:t>金的申购费率，补差费用＝</w:t>
      </w:r>
      <w:r>
        <w:rPr>
          <w:rFonts w:ascii="宋体" w:eastAsia="宋体" w:hAnsi="宋体" w:cs="宋体" w:hint="eastAsia"/>
          <w:bCs/>
          <w:color w:val="000000"/>
          <w:kern w:val="0"/>
          <w:sz w:val="24"/>
          <w:szCs w:val="24"/>
        </w:rPr>
        <w:t>0</w:t>
      </w:r>
    </w:p>
    <w:p w:rsidR="005E2B32" w:rsidRDefault="00382EC1">
      <w:pPr>
        <w:widowControl/>
        <w:shd w:val="clear" w:color="auto" w:fill="FFFFFF"/>
        <w:spacing w:line="460" w:lineRule="exact"/>
        <w:ind w:firstLineChars="200" w:firstLine="48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第三步：计算转入金额</w:t>
      </w:r>
    </w:p>
    <w:p w:rsidR="005E2B32" w:rsidRDefault="00382EC1">
      <w:pPr>
        <w:widowControl/>
        <w:shd w:val="clear" w:color="auto" w:fill="FFFFFF"/>
        <w:spacing w:line="460" w:lineRule="exact"/>
        <w:ind w:firstLineChars="200" w:firstLine="48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转入金额＝</w:t>
      </w:r>
      <w:r>
        <w:rPr>
          <w:rFonts w:ascii="宋体" w:eastAsia="宋体" w:hAnsi="宋体" w:cs="宋体" w:hint="eastAsia"/>
          <w:bCs/>
          <w:color w:val="000000"/>
          <w:kern w:val="0"/>
          <w:sz w:val="24"/>
          <w:szCs w:val="24"/>
        </w:rPr>
        <w:t xml:space="preserve"> </w:t>
      </w:r>
      <w:r>
        <w:rPr>
          <w:rFonts w:ascii="宋体" w:eastAsia="宋体" w:hAnsi="宋体" w:cs="宋体" w:hint="eastAsia"/>
          <w:bCs/>
          <w:color w:val="000000"/>
          <w:kern w:val="0"/>
          <w:sz w:val="24"/>
          <w:szCs w:val="24"/>
        </w:rPr>
        <w:t>转出金额</w:t>
      </w:r>
      <w:r>
        <w:rPr>
          <w:rFonts w:ascii="宋体" w:eastAsia="宋体" w:hAnsi="宋体" w:cs="宋体" w:hint="eastAsia"/>
          <w:bCs/>
          <w:color w:val="000000"/>
          <w:kern w:val="0"/>
          <w:sz w:val="24"/>
          <w:szCs w:val="24"/>
        </w:rPr>
        <w:t xml:space="preserve"> </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 xml:space="preserve"> </w:t>
      </w:r>
      <w:r>
        <w:rPr>
          <w:rFonts w:ascii="宋体" w:eastAsia="宋体" w:hAnsi="宋体" w:cs="宋体" w:hint="eastAsia"/>
          <w:bCs/>
          <w:color w:val="000000"/>
          <w:kern w:val="0"/>
          <w:sz w:val="24"/>
          <w:szCs w:val="24"/>
        </w:rPr>
        <w:t>转换费用</w:t>
      </w:r>
    </w:p>
    <w:p w:rsidR="005E2B32" w:rsidRDefault="00382EC1">
      <w:pPr>
        <w:widowControl/>
        <w:shd w:val="clear" w:color="auto" w:fill="FFFFFF"/>
        <w:spacing w:line="460" w:lineRule="exact"/>
        <w:ind w:firstLineChars="200" w:firstLine="48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第四步：计算转入份额</w:t>
      </w:r>
    </w:p>
    <w:p w:rsidR="005E2B32" w:rsidRDefault="00382EC1">
      <w:pPr>
        <w:widowControl/>
        <w:shd w:val="clear" w:color="auto" w:fill="FFFFFF"/>
        <w:spacing w:line="460" w:lineRule="exact"/>
        <w:ind w:firstLineChars="200" w:firstLine="48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转入份额＝</w:t>
      </w:r>
      <w:r>
        <w:rPr>
          <w:rFonts w:ascii="宋体" w:eastAsia="宋体" w:hAnsi="宋体" w:cs="宋体" w:hint="eastAsia"/>
          <w:bCs/>
          <w:color w:val="000000"/>
          <w:kern w:val="0"/>
          <w:sz w:val="24"/>
          <w:szCs w:val="24"/>
        </w:rPr>
        <w:t xml:space="preserve"> </w:t>
      </w:r>
      <w:r>
        <w:rPr>
          <w:rFonts w:ascii="宋体" w:eastAsia="宋体" w:hAnsi="宋体" w:cs="宋体" w:hint="eastAsia"/>
          <w:bCs/>
          <w:color w:val="000000"/>
          <w:kern w:val="0"/>
          <w:sz w:val="24"/>
          <w:szCs w:val="24"/>
        </w:rPr>
        <w:t>转入金额÷转入基金转入申请当日基金份额净值</w:t>
      </w:r>
    </w:p>
    <w:p w:rsidR="005E2B32" w:rsidRDefault="00382EC1">
      <w:pPr>
        <w:widowControl/>
        <w:shd w:val="clear" w:color="auto" w:fill="FFFFFF"/>
        <w:spacing w:line="460" w:lineRule="exact"/>
        <w:ind w:firstLineChars="200" w:firstLine="48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3</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基金转换业务交易规则</w:t>
      </w:r>
    </w:p>
    <w:p w:rsidR="005E2B32" w:rsidRDefault="00382EC1">
      <w:pPr>
        <w:widowControl/>
        <w:shd w:val="clear" w:color="auto" w:fill="FFFFFF"/>
        <w:spacing w:line="460" w:lineRule="exact"/>
        <w:ind w:firstLineChars="200" w:firstLine="48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3.1</w:t>
      </w:r>
      <w:r>
        <w:rPr>
          <w:rFonts w:ascii="宋体" w:eastAsia="宋体" w:hAnsi="宋体" w:cs="宋体" w:hint="eastAsia"/>
          <w:bCs/>
          <w:color w:val="000000"/>
          <w:kern w:val="0"/>
          <w:sz w:val="24"/>
          <w:szCs w:val="24"/>
        </w:rPr>
        <w:t>转换的两只基金必须都是由同一销售机构销售、同一基金管理人管理并在同一基金注册登记机构处注册登记的基金。</w:t>
      </w:r>
    </w:p>
    <w:p w:rsidR="005E2B32" w:rsidRDefault="00382EC1">
      <w:pPr>
        <w:widowControl/>
        <w:shd w:val="clear" w:color="auto" w:fill="FFFFFF"/>
        <w:spacing w:line="460" w:lineRule="exact"/>
        <w:ind w:firstLineChars="200" w:firstLine="48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3.2</w:t>
      </w:r>
      <w:r>
        <w:rPr>
          <w:rFonts w:ascii="宋体" w:eastAsia="宋体" w:hAnsi="宋体" w:cs="宋体" w:hint="eastAsia"/>
          <w:bCs/>
          <w:color w:val="000000"/>
          <w:kern w:val="0"/>
          <w:sz w:val="24"/>
          <w:szCs w:val="24"/>
        </w:rPr>
        <w:t>基金转换采取定向转换原则，即投资者必须指明基金转换的方向，明确指出转出基金和转入基金的名称。</w:t>
      </w:r>
    </w:p>
    <w:p w:rsidR="005E2B32" w:rsidRDefault="00382EC1">
      <w:pPr>
        <w:widowControl/>
        <w:shd w:val="clear" w:color="auto" w:fill="FFFFFF"/>
        <w:spacing w:line="460" w:lineRule="exact"/>
        <w:ind w:firstLineChars="200" w:firstLine="48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3.3</w:t>
      </w:r>
      <w:r>
        <w:rPr>
          <w:rFonts w:ascii="宋体" w:eastAsia="宋体" w:hAnsi="宋体" w:cs="宋体" w:hint="eastAsia"/>
          <w:bCs/>
          <w:color w:val="000000"/>
          <w:kern w:val="0"/>
          <w:sz w:val="24"/>
          <w:szCs w:val="24"/>
        </w:rPr>
        <w:t>单笔基金转换的最低申请份额及赎回时或赎回后在单个交易账户保留的基金份额的最低余额请参考上述基金的《基金合同</w:t>
      </w:r>
      <w:r>
        <w:rPr>
          <w:rFonts w:ascii="宋体" w:eastAsia="宋体" w:hAnsi="宋体" w:cs="宋体" w:hint="eastAsia"/>
          <w:bCs/>
          <w:color w:val="000000"/>
          <w:kern w:val="0"/>
          <w:sz w:val="24"/>
          <w:szCs w:val="24"/>
        </w:rPr>
        <w:t>》、《招募说明书》等法律文件。</w:t>
      </w:r>
    </w:p>
    <w:p w:rsidR="005E2B32" w:rsidRDefault="00382EC1">
      <w:pPr>
        <w:widowControl/>
        <w:shd w:val="clear" w:color="auto" w:fill="FFFFFF"/>
        <w:spacing w:line="460" w:lineRule="exact"/>
        <w:ind w:firstLineChars="200" w:firstLine="48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3.4</w:t>
      </w:r>
      <w:r>
        <w:rPr>
          <w:rFonts w:ascii="宋体" w:eastAsia="宋体" w:hAnsi="宋体" w:cs="宋体" w:hint="eastAsia"/>
          <w:bCs/>
          <w:color w:val="000000"/>
          <w:kern w:val="0"/>
          <w:sz w:val="24"/>
          <w:szCs w:val="24"/>
        </w:rPr>
        <w:t>基金转换以份额为单位进行申请。投资者办理基金转换业务时，转出方的基金必须处于可赎回状态，转入方的基金必须处于可申购状态。如果涉及转换的基金有一方不满足本状态要求，基金转换申请处理为失败。基金账户冻结期间，不受理基金转换交易申请。</w:t>
      </w:r>
    </w:p>
    <w:p w:rsidR="005E2B32" w:rsidRDefault="00382EC1">
      <w:pPr>
        <w:widowControl/>
        <w:shd w:val="clear" w:color="auto" w:fill="FFFFFF"/>
        <w:spacing w:line="460" w:lineRule="exact"/>
        <w:ind w:firstLineChars="200" w:firstLine="48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3.5</w:t>
      </w:r>
      <w:r>
        <w:rPr>
          <w:rFonts w:ascii="宋体" w:eastAsia="宋体" w:hAnsi="宋体" w:cs="宋体" w:hint="eastAsia"/>
          <w:bCs/>
          <w:color w:val="000000"/>
          <w:kern w:val="0"/>
          <w:sz w:val="24"/>
          <w:szCs w:val="24"/>
        </w:rPr>
        <w:t>基金转换采取未知价法，即最终转换份额的确认以申请受理当日转出、转入基金的基金份额净值为基础计算。</w:t>
      </w:r>
    </w:p>
    <w:p w:rsidR="005E2B32" w:rsidRDefault="00382EC1">
      <w:pPr>
        <w:widowControl/>
        <w:shd w:val="clear" w:color="auto" w:fill="FFFFFF"/>
        <w:spacing w:line="460" w:lineRule="exact"/>
        <w:ind w:firstLineChars="200" w:firstLine="48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3.6</w:t>
      </w:r>
      <w:r>
        <w:rPr>
          <w:rFonts w:ascii="宋体" w:eastAsia="宋体" w:hAnsi="宋体" w:cs="宋体" w:hint="eastAsia"/>
          <w:bCs/>
          <w:color w:val="000000"/>
          <w:kern w:val="0"/>
          <w:sz w:val="24"/>
          <w:szCs w:val="24"/>
        </w:rPr>
        <w:t>正常情况下，基金注册登记机构在Ｔ＋</w:t>
      </w:r>
      <w:r>
        <w:rPr>
          <w:rFonts w:ascii="宋体" w:eastAsia="宋体" w:hAnsi="宋体" w:cs="宋体" w:hint="eastAsia"/>
          <w:bCs/>
          <w:color w:val="000000"/>
          <w:kern w:val="0"/>
          <w:sz w:val="24"/>
          <w:szCs w:val="24"/>
        </w:rPr>
        <w:t>1</w:t>
      </w:r>
      <w:r>
        <w:rPr>
          <w:rFonts w:ascii="宋体" w:eastAsia="宋体" w:hAnsi="宋体" w:cs="宋体" w:hint="eastAsia"/>
          <w:bCs/>
          <w:color w:val="000000"/>
          <w:kern w:val="0"/>
          <w:sz w:val="24"/>
          <w:szCs w:val="24"/>
        </w:rPr>
        <w:t>日对投资者Ｔ日的基金转换业务申请进行有效性确认，并办理转出基金的权益扣除，以及转入基金的权益登记。在Ｔ＋</w:t>
      </w:r>
      <w:r>
        <w:rPr>
          <w:rFonts w:ascii="宋体" w:eastAsia="宋体" w:hAnsi="宋体" w:cs="宋体" w:hint="eastAsia"/>
          <w:bCs/>
          <w:color w:val="000000"/>
          <w:kern w:val="0"/>
          <w:sz w:val="24"/>
          <w:szCs w:val="24"/>
        </w:rPr>
        <w:t>2</w:t>
      </w:r>
      <w:r>
        <w:rPr>
          <w:rFonts w:ascii="宋体" w:eastAsia="宋体" w:hAnsi="宋体" w:cs="宋体" w:hint="eastAsia"/>
          <w:bCs/>
          <w:color w:val="000000"/>
          <w:kern w:val="0"/>
          <w:sz w:val="24"/>
          <w:szCs w:val="24"/>
        </w:rPr>
        <w:t>日后（包括该日）投资者可向销售机构查询基金转换的确认情况。基金转换成功后，投资者可于</w:t>
      </w:r>
      <w:r>
        <w:rPr>
          <w:rFonts w:ascii="宋体" w:eastAsia="宋体" w:hAnsi="宋体" w:cs="宋体" w:hint="eastAsia"/>
          <w:bCs/>
          <w:color w:val="000000"/>
          <w:kern w:val="0"/>
          <w:sz w:val="24"/>
          <w:szCs w:val="24"/>
        </w:rPr>
        <w:t>T</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2</w:t>
      </w:r>
      <w:r>
        <w:rPr>
          <w:rFonts w:ascii="宋体" w:eastAsia="宋体" w:hAnsi="宋体" w:cs="宋体" w:hint="eastAsia"/>
          <w:bCs/>
          <w:color w:val="000000"/>
          <w:kern w:val="0"/>
          <w:sz w:val="24"/>
          <w:szCs w:val="24"/>
        </w:rPr>
        <w:t>日起赎回转入基金。</w:t>
      </w:r>
    </w:p>
    <w:p w:rsidR="005E2B32" w:rsidRDefault="00382EC1">
      <w:pPr>
        <w:widowControl/>
        <w:shd w:val="clear" w:color="auto" w:fill="FFFFFF"/>
        <w:spacing w:line="460" w:lineRule="exact"/>
        <w:ind w:firstLineChars="200" w:firstLine="48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3.7</w:t>
      </w:r>
      <w:r>
        <w:rPr>
          <w:rFonts w:ascii="宋体" w:eastAsia="宋体" w:hAnsi="宋体" w:cs="宋体" w:hint="eastAsia"/>
          <w:bCs/>
          <w:color w:val="000000"/>
          <w:kern w:val="0"/>
          <w:sz w:val="24"/>
          <w:szCs w:val="24"/>
        </w:rPr>
        <w:t>单个开放日基金净赎回份额（该基金赎回申请总份额加上基金转换中转出申请总份额扣除申购申请总份额及基金转换中转入申请总份额后的余额）超过上一开放日基金总份额的</w:t>
      </w:r>
      <w:r>
        <w:rPr>
          <w:rFonts w:ascii="宋体" w:eastAsia="宋体" w:hAnsi="宋体" w:cs="宋体" w:hint="eastAsia"/>
          <w:bCs/>
          <w:color w:val="000000"/>
          <w:kern w:val="0"/>
          <w:sz w:val="24"/>
          <w:szCs w:val="24"/>
        </w:rPr>
        <w:t>10%</w:t>
      </w:r>
      <w:r>
        <w:rPr>
          <w:rFonts w:ascii="宋体" w:eastAsia="宋体" w:hAnsi="宋体" w:cs="宋体" w:hint="eastAsia"/>
          <w:bCs/>
          <w:color w:val="000000"/>
          <w:kern w:val="0"/>
          <w:sz w:val="24"/>
          <w:szCs w:val="24"/>
        </w:rPr>
        <w:t>时，为巨额赎回。发生巨额赎回时，基金转出与基金赎回具有相同的优先权，基金管理人可根据基金资产组</w:t>
      </w:r>
      <w:r>
        <w:rPr>
          <w:rFonts w:ascii="宋体" w:eastAsia="宋体" w:hAnsi="宋体" w:cs="宋体" w:hint="eastAsia"/>
          <w:bCs/>
          <w:color w:val="000000"/>
          <w:kern w:val="0"/>
          <w:sz w:val="24"/>
          <w:szCs w:val="24"/>
        </w:rPr>
        <w:t>合情况，决定全额转出或部分转出，并且对于基金转出和基金赎回，将采取相同的比例确认。在转出申请得到部分确认的情况下，未确认的转出申请将不予以顺延。</w:t>
      </w:r>
    </w:p>
    <w:p w:rsidR="005E2B32" w:rsidRDefault="00382EC1">
      <w:pPr>
        <w:widowControl/>
        <w:shd w:val="clear" w:color="auto" w:fill="FFFFFF"/>
        <w:spacing w:line="460" w:lineRule="exact"/>
        <w:ind w:firstLineChars="200" w:firstLine="48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3.8</w:t>
      </w:r>
      <w:r>
        <w:rPr>
          <w:rFonts w:ascii="宋体" w:eastAsia="宋体" w:hAnsi="宋体" w:cs="宋体" w:hint="eastAsia"/>
          <w:bCs/>
          <w:color w:val="000000"/>
          <w:kern w:val="0"/>
          <w:sz w:val="24"/>
          <w:szCs w:val="24"/>
        </w:rPr>
        <w:t>基金转换只能在相同收费模式下进行。前端收费模式的基金只能转换到前端收费模式的其他基金，后端收费模式的基金只能转换到后端收费模式的其他基金。货币市场基金与其他基金之间的转换不受本收费模式的限制。</w:t>
      </w:r>
    </w:p>
    <w:p w:rsidR="005E2B32" w:rsidRDefault="00382EC1">
      <w:pPr>
        <w:widowControl/>
        <w:shd w:val="clear" w:color="auto" w:fill="FFFFFF"/>
        <w:spacing w:line="460" w:lineRule="exact"/>
        <w:ind w:firstLineChars="200" w:firstLine="48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3.9</w:t>
      </w:r>
      <w:r>
        <w:rPr>
          <w:rFonts w:ascii="宋体" w:eastAsia="宋体" w:hAnsi="宋体" w:cs="宋体" w:hint="eastAsia"/>
          <w:bCs/>
          <w:color w:val="000000"/>
          <w:kern w:val="0"/>
          <w:sz w:val="24"/>
          <w:szCs w:val="24"/>
        </w:rPr>
        <w:t>当投资者将持有本公司旗下的货币基金份额转换为非货币基金份额时，若投资者将所持货币基金份额全部转出，则基金账户中货币基金全部累计未付收益一并转出；若投资者将所持货</w:t>
      </w:r>
      <w:r>
        <w:rPr>
          <w:rFonts w:ascii="宋体" w:eastAsia="宋体" w:hAnsi="宋体" w:cs="宋体" w:hint="eastAsia"/>
          <w:bCs/>
          <w:color w:val="000000"/>
          <w:kern w:val="0"/>
          <w:sz w:val="24"/>
          <w:szCs w:val="24"/>
        </w:rPr>
        <w:t>币基金份额部分转出，且投资者基金账户中货币基金累计未付收益为正收益，则累计未付收益继续保留在投资者基金账户；若投资者将所持货币基金份额部分转出，且投资者基金账户中货币基金累计收益为负收益，则根据基金转出份额占投资者所持全部货币基金份额的比例转出相应的累计未付收益。</w:t>
      </w:r>
    </w:p>
    <w:p w:rsidR="005E2B32" w:rsidRDefault="00382EC1">
      <w:pPr>
        <w:widowControl/>
        <w:shd w:val="clear" w:color="auto" w:fill="FFFFFF"/>
        <w:spacing w:line="460" w:lineRule="exact"/>
        <w:ind w:firstLineChars="200" w:firstLine="48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3.10</w:t>
      </w:r>
      <w:r>
        <w:rPr>
          <w:rFonts w:ascii="宋体" w:eastAsia="宋体" w:hAnsi="宋体" w:cs="宋体" w:hint="eastAsia"/>
          <w:bCs/>
          <w:color w:val="000000"/>
          <w:kern w:val="0"/>
          <w:sz w:val="24"/>
          <w:szCs w:val="24"/>
        </w:rPr>
        <w:t>基金转换业务遵循“先进先出”的业务规则，即首先转换持有时间最长的基金份额，如果同一投资者在基金转换申请当日，同时提出转出基金的赎回申请，则遵循先赎回后转换的处理原则。</w:t>
      </w:r>
    </w:p>
    <w:p w:rsidR="005E2B32" w:rsidRDefault="00382EC1">
      <w:pPr>
        <w:widowControl/>
        <w:shd w:val="clear" w:color="auto" w:fill="FFFFFF"/>
        <w:spacing w:line="460" w:lineRule="exact"/>
        <w:ind w:firstLineChars="200" w:firstLine="48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3.11</w:t>
      </w:r>
      <w:r>
        <w:rPr>
          <w:rFonts w:ascii="宋体" w:eastAsia="宋体" w:hAnsi="宋体" w:cs="宋体" w:hint="eastAsia"/>
          <w:bCs/>
          <w:color w:val="000000"/>
          <w:kern w:val="0"/>
          <w:sz w:val="24"/>
          <w:szCs w:val="24"/>
        </w:rPr>
        <w:t>基金转换视同为转出基金的赎回和转入基金的申购，因此暂停基金转换</w:t>
      </w:r>
      <w:r>
        <w:rPr>
          <w:rFonts w:ascii="宋体" w:eastAsia="宋体" w:hAnsi="宋体" w:cs="宋体" w:hint="eastAsia"/>
          <w:bCs/>
          <w:color w:val="000000"/>
          <w:kern w:val="0"/>
          <w:sz w:val="24"/>
          <w:szCs w:val="24"/>
        </w:rPr>
        <w:t>适用有关转出基金和转入基金关于暂停或拒绝申购、暂停赎回和巨额赎回的有关规定。</w:t>
      </w:r>
    </w:p>
    <w:p w:rsidR="005E2B32" w:rsidRDefault="005E2B32">
      <w:pPr>
        <w:widowControl/>
        <w:shd w:val="clear" w:color="auto" w:fill="FFFFFF"/>
        <w:spacing w:line="460" w:lineRule="exact"/>
        <w:jc w:val="left"/>
        <w:rPr>
          <w:rFonts w:ascii="宋体" w:eastAsia="宋体" w:hAnsi="宋体" w:cs="宋体"/>
          <w:bCs/>
          <w:color w:val="000000"/>
          <w:kern w:val="0"/>
          <w:sz w:val="24"/>
          <w:szCs w:val="24"/>
        </w:rPr>
      </w:pPr>
    </w:p>
    <w:p w:rsidR="005E2B32" w:rsidRDefault="00382EC1">
      <w:pPr>
        <w:widowControl/>
        <w:spacing w:line="460" w:lineRule="exact"/>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四</w:t>
      </w:r>
      <w:r>
        <w:rPr>
          <w:rFonts w:ascii="宋体" w:hAnsi="宋体" w:cs="宋体" w:hint="eastAsia"/>
          <w:b/>
          <w:color w:val="000000"/>
          <w:kern w:val="0"/>
          <w:sz w:val="24"/>
          <w:szCs w:val="24"/>
        </w:rPr>
        <w:t>、参加费率优惠活动</w:t>
      </w:r>
    </w:p>
    <w:p w:rsidR="005E2B32" w:rsidRDefault="00382EC1">
      <w:pPr>
        <w:widowControl/>
        <w:spacing w:line="460" w:lineRule="exact"/>
        <w:ind w:firstLineChars="200" w:firstLine="480"/>
        <w:rPr>
          <w:rFonts w:ascii="宋体" w:hAnsi="宋体" w:cs="宋体"/>
          <w:color w:val="000000"/>
          <w:kern w:val="0"/>
          <w:sz w:val="24"/>
          <w:szCs w:val="24"/>
        </w:rPr>
      </w:pPr>
      <w:r>
        <w:rPr>
          <w:rFonts w:ascii="宋体" w:hAnsi="宋体" w:cs="宋体" w:hint="eastAsia"/>
          <w:color w:val="000000"/>
          <w:kern w:val="0"/>
          <w:sz w:val="24"/>
          <w:szCs w:val="24"/>
        </w:rPr>
        <w:t>费率优惠活动自</w:t>
      </w:r>
      <w:r>
        <w:rPr>
          <w:rFonts w:ascii="宋体" w:hAnsi="宋体" w:cs="宋体" w:hint="eastAsia"/>
          <w:color w:val="000000"/>
          <w:kern w:val="0"/>
          <w:sz w:val="24"/>
          <w:szCs w:val="24"/>
        </w:rPr>
        <w:t>202</w:t>
      </w:r>
      <w:r>
        <w:rPr>
          <w:rFonts w:ascii="宋体" w:hAnsi="宋体" w:cs="宋体" w:hint="eastAsia"/>
          <w:color w:val="000000"/>
          <w:kern w:val="0"/>
          <w:sz w:val="24"/>
          <w:szCs w:val="24"/>
        </w:rPr>
        <w:t>4</w:t>
      </w:r>
      <w:r>
        <w:rPr>
          <w:rFonts w:ascii="宋体" w:hAnsi="宋体" w:cs="宋体" w:hint="eastAsia"/>
          <w:color w:val="000000"/>
          <w:kern w:val="0"/>
          <w:sz w:val="24"/>
          <w:szCs w:val="24"/>
        </w:rPr>
        <w:t>年</w:t>
      </w:r>
      <w:r>
        <w:rPr>
          <w:rFonts w:ascii="宋体" w:hAnsi="宋体" w:cs="宋体" w:hint="eastAsia"/>
          <w:color w:val="000000"/>
          <w:kern w:val="0"/>
          <w:sz w:val="24"/>
          <w:szCs w:val="24"/>
        </w:rPr>
        <w:t>7</w:t>
      </w:r>
      <w:r>
        <w:rPr>
          <w:rFonts w:ascii="宋体" w:hAnsi="宋体" w:cs="宋体" w:hint="eastAsia"/>
          <w:color w:val="000000"/>
          <w:kern w:val="0"/>
          <w:sz w:val="24"/>
          <w:szCs w:val="24"/>
        </w:rPr>
        <w:t>月</w:t>
      </w:r>
      <w:r>
        <w:rPr>
          <w:rFonts w:ascii="宋体" w:hAnsi="宋体" w:cs="宋体" w:hint="eastAsia"/>
          <w:color w:val="000000"/>
          <w:kern w:val="0"/>
          <w:sz w:val="24"/>
          <w:szCs w:val="24"/>
        </w:rPr>
        <w:t>31</w:t>
      </w:r>
      <w:r>
        <w:rPr>
          <w:rFonts w:ascii="宋体" w:hAnsi="宋体" w:cs="宋体" w:hint="eastAsia"/>
          <w:color w:val="000000"/>
          <w:kern w:val="0"/>
          <w:sz w:val="24"/>
          <w:szCs w:val="24"/>
        </w:rPr>
        <w:t>日起开展，暂不设截止日期，若有变动，以</w:t>
      </w:r>
      <w:r>
        <w:rPr>
          <w:rFonts w:ascii="宋体" w:hAnsi="宋体" w:cs="宋体" w:hint="eastAsia"/>
          <w:color w:val="000000"/>
          <w:kern w:val="0"/>
          <w:sz w:val="24"/>
          <w:szCs w:val="24"/>
        </w:rPr>
        <w:t>国信嘉利</w:t>
      </w:r>
      <w:r>
        <w:rPr>
          <w:rFonts w:ascii="宋体" w:hAnsi="宋体" w:cs="宋体" w:hint="eastAsia"/>
          <w:color w:val="000000"/>
          <w:kern w:val="0"/>
          <w:sz w:val="24"/>
          <w:szCs w:val="24"/>
        </w:rPr>
        <w:t>公告为准。</w:t>
      </w:r>
    </w:p>
    <w:p w:rsidR="005E2B32" w:rsidRDefault="00382EC1">
      <w:pPr>
        <w:widowControl/>
        <w:spacing w:line="460" w:lineRule="exact"/>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在</w:t>
      </w:r>
      <w:r>
        <w:rPr>
          <w:rFonts w:ascii="宋体" w:hAnsi="宋体" w:cs="宋体" w:hint="eastAsia"/>
          <w:color w:val="000000"/>
          <w:kern w:val="0"/>
          <w:sz w:val="24"/>
          <w:szCs w:val="24"/>
        </w:rPr>
        <w:t>国信嘉利</w:t>
      </w:r>
      <w:r>
        <w:rPr>
          <w:rFonts w:ascii="宋体" w:hAnsi="宋体" w:cs="宋体" w:hint="eastAsia"/>
          <w:color w:val="000000"/>
          <w:kern w:val="0"/>
          <w:sz w:val="24"/>
          <w:szCs w:val="24"/>
        </w:rPr>
        <w:t>上线代销的具有前</w:t>
      </w:r>
      <w:bookmarkStart w:id="0" w:name="_GoBack"/>
      <w:bookmarkEnd w:id="0"/>
      <w:r>
        <w:rPr>
          <w:rFonts w:ascii="宋体" w:hAnsi="宋体" w:cs="宋体" w:hint="eastAsia"/>
          <w:color w:val="000000"/>
          <w:kern w:val="0"/>
          <w:sz w:val="24"/>
          <w:szCs w:val="24"/>
        </w:rPr>
        <w:t>端申购费率且支持费率优惠的开放式基金参加本次申购及定投手续费率优惠活动。具体基金名称、基金代码及费率折扣标准可咨询</w:t>
      </w:r>
      <w:r>
        <w:rPr>
          <w:rFonts w:ascii="宋体" w:hAnsi="宋体" w:cs="宋体" w:hint="eastAsia"/>
          <w:color w:val="000000"/>
          <w:kern w:val="0"/>
          <w:sz w:val="24"/>
          <w:szCs w:val="24"/>
        </w:rPr>
        <w:t>国信嘉利</w:t>
      </w:r>
      <w:r>
        <w:rPr>
          <w:rFonts w:ascii="宋体" w:hAnsi="宋体" w:cs="宋体" w:hint="eastAsia"/>
          <w:color w:val="000000"/>
          <w:kern w:val="0"/>
          <w:sz w:val="24"/>
          <w:szCs w:val="24"/>
        </w:rPr>
        <w:t>客服或通过</w:t>
      </w:r>
      <w:r>
        <w:rPr>
          <w:rFonts w:ascii="宋体" w:hAnsi="宋体" w:cs="宋体" w:hint="eastAsia"/>
          <w:color w:val="000000"/>
          <w:kern w:val="0"/>
          <w:sz w:val="24"/>
          <w:szCs w:val="24"/>
        </w:rPr>
        <w:t>国信嘉利</w:t>
      </w:r>
      <w:r>
        <w:rPr>
          <w:rFonts w:ascii="宋体" w:hAnsi="宋体" w:cs="宋体" w:hint="eastAsia"/>
          <w:color w:val="000000"/>
          <w:kern w:val="0"/>
          <w:sz w:val="24"/>
          <w:szCs w:val="24"/>
        </w:rPr>
        <w:t>查询。</w:t>
      </w:r>
    </w:p>
    <w:p w:rsidR="005E2B32" w:rsidRDefault="00382EC1">
      <w:pPr>
        <w:widowControl/>
        <w:spacing w:line="460" w:lineRule="exact"/>
        <w:ind w:firstLineChars="200" w:firstLine="480"/>
        <w:rPr>
          <w:rFonts w:ascii="宋体" w:hAnsi="宋体" w:cs="宋体"/>
          <w:color w:val="000000"/>
          <w:kern w:val="0"/>
          <w:sz w:val="24"/>
          <w:szCs w:val="24"/>
        </w:rPr>
      </w:pPr>
      <w:r>
        <w:rPr>
          <w:rFonts w:ascii="宋体" w:hAnsi="宋体" w:cs="宋体" w:hint="eastAsia"/>
          <w:color w:val="000000"/>
          <w:kern w:val="0"/>
          <w:sz w:val="24"/>
          <w:szCs w:val="24"/>
        </w:rPr>
        <w:t>费率优惠活动期间，投资者通过</w:t>
      </w:r>
      <w:r>
        <w:rPr>
          <w:rFonts w:ascii="宋体" w:hAnsi="宋体" w:cs="宋体" w:hint="eastAsia"/>
          <w:color w:val="000000"/>
          <w:kern w:val="0"/>
          <w:sz w:val="24"/>
          <w:szCs w:val="24"/>
        </w:rPr>
        <w:t>国信嘉利</w:t>
      </w:r>
      <w:r>
        <w:rPr>
          <w:rFonts w:ascii="宋体" w:hAnsi="宋体" w:cs="宋体" w:hint="eastAsia"/>
          <w:color w:val="000000"/>
          <w:kern w:val="0"/>
          <w:sz w:val="24"/>
          <w:szCs w:val="24"/>
        </w:rPr>
        <w:t>申购我司上述适用基金（含定期定额投资），费率优惠具体折扣以</w:t>
      </w:r>
      <w:r>
        <w:rPr>
          <w:rFonts w:ascii="宋体" w:hAnsi="宋体" w:cs="宋体" w:hint="eastAsia"/>
          <w:color w:val="000000"/>
          <w:kern w:val="0"/>
          <w:sz w:val="24"/>
          <w:szCs w:val="24"/>
        </w:rPr>
        <w:t>国信嘉利</w:t>
      </w:r>
      <w:r>
        <w:rPr>
          <w:rFonts w:ascii="宋体" w:hAnsi="宋体" w:cs="宋体" w:hint="eastAsia"/>
          <w:color w:val="000000"/>
          <w:kern w:val="0"/>
          <w:sz w:val="24"/>
          <w:szCs w:val="24"/>
        </w:rPr>
        <w:t>公告为准。优惠前申购费率为固定费率的，则按原申购费率执行，不再享有费率折扣。</w:t>
      </w:r>
    </w:p>
    <w:p w:rsidR="005E2B32" w:rsidRDefault="00382EC1">
      <w:pPr>
        <w:widowControl/>
        <w:spacing w:line="460" w:lineRule="exact"/>
        <w:ind w:firstLineChars="200" w:firstLine="480"/>
        <w:rPr>
          <w:rFonts w:ascii="宋体" w:eastAsia="宋体" w:hAnsi="宋体" w:cs="宋体"/>
          <w:bCs/>
          <w:color w:val="000000"/>
          <w:kern w:val="0"/>
          <w:sz w:val="24"/>
          <w:szCs w:val="24"/>
        </w:rPr>
      </w:pPr>
      <w:r>
        <w:rPr>
          <w:rFonts w:ascii="宋体" w:hAnsi="宋体" w:cs="宋体" w:hint="eastAsia"/>
          <w:color w:val="000000"/>
          <w:kern w:val="0"/>
          <w:sz w:val="24"/>
          <w:szCs w:val="24"/>
        </w:rPr>
        <w:t>上述适用基金的原申购费率参见各基金的相关法律文件及本公司发布的最新相关公告。</w:t>
      </w:r>
    </w:p>
    <w:p w:rsidR="005E2B32" w:rsidRDefault="00382EC1">
      <w:pPr>
        <w:widowControl/>
        <w:shd w:val="clear" w:color="auto" w:fill="FFFFFF"/>
        <w:spacing w:line="460" w:lineRule="exact"/>
        <w:ind w:firstLine="420"/>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五、</w:t>
      </w:r>
      <w:r>
        <w:rPr>
          <w:rFonts w:ascii="宋体" w:eastAsia="宋体" w:hAnsi="宋体" w:cs="宋体" w:hint="eastAsia"/>
          <w:b/>
          <w:color w:val="000000"/>
          <w:kern w:val="0"/>
          <w:sz w:val="24"/>
          <w:szCs w:val="24"/>
        </w:rPr>
        <w:t>其他需要提示的事项</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1</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投资者在</w:t>
      </w:r>
      <w:r>
        <w:rPr>
          <w:rFonts w:ascii="宋体" w:eastAsia="宋体" w:hAnsi="宋体" w:cs="宋体" w:hint="eastAsia"/>
          <w:bCs/>
          <w:color w:val="000000"/>
          <w:kern w:val="0"/>
          <w:sz w:val="24"/>
          <w:szCs w:val="24"/>
        </w:rPr>
        <w:t>国信嘉利</w:t>
      </w:r>
      <w:r>
        <w:rPr>
          <w:rFonts w:ascii="宋体" w:eastAsia="宋体" w:hAnsi="宋体" w:cs="宋体" w:hint="eastAsia"/>
          <w:bCs/>
          <w:color w:val="000000"/>
          <w:kern w:val="0"/>
          <w:sz w:val="24"/>
          <w:szCs w:val="24"/>
        </w:rPr>
        <w:t>办理上述基金的申购（包括定期定额投资）、赎回等业务，具体办理规则请遵循</w:t>
      </w:r>
      <w:r>
        <w:rPr>
          <w:rFonts w:ascii="宋体" w:eastAsia="宋体" w:hAnsi="宋体" w:cs="宋体" w:hint="eastAsia"/>
          <w:bCs/>
          <w:color w:val="000000"/>
          <w:kern w:val="0"/>
          <w:sz w:val="24"/>
          <w:szCs w:val="24"/>
        </w:rPr>
        <w:t>国信嘉利</w:t>
      </w:r>
      <w:r>
        <w:rPr>
          <w:rFonts w:ascii="宋体" w:eastAsia="宋体" w:hAnsi="宋体" w:cs="宋体" w:hint="eastAsia"/>
          <w:bCs/>
          <w:color w:val="000000"/>
          <w:kern w:val="0"/>
          <w:sz w:val="24"/>
          <w:szCs w:val="24"/>
        </w:rPr>
        <w:t>的相关业务规定。</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2</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上述申购费率优惠活动的解释权归</w:t>
      </w:r>
      <w:r>
        <w:rPr>
          <w:rFonts w:ascii="宋体" w:eastAsia="宋体" w:hAnsi="宋体" w:cs="宋体" w:hint="eastAsia"/>
          <w:bCs/>
          <w:color w:val="000000"/>
          <w:kern w:val="0"/>
          <w:sz w:val="24"/>
          <w:szCs w:val="24"/>
        </w:rPr>
        <w:t>国信嘉利</w:t>
      </w:r>
      <w:r>
        <w:rPr>
          <w:rFonts w:ascii="宋体" w:eastAsia="宋体" w:hAnsi="宋体" w:cs="宋体" w:hint="eastAsia"/>
          <w:bCs/>
          <w:color w:val="000000"/>
          <w:kern w:val="0"/>
          <w:sz w:val="24"/>
          <w:szCs w:val="24"/>
        </w:rPr>
        <w:t>所有。</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3</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上述申购优惠活动的结束日期以</w:t>
      </w:r>
      <w:r>
        <w:rPr>
          <w:rFonts w:ascii="宋体" w:eastAsia="宋体" w:hAnsi="宋体" w:cs="宋体" w:hint="eastAsia"/>
          <w:bCs/>
          <w:color w:val="000000"/>
          <w:kern w:val="0"/>
          <w:sz w:val="24"/>
          <w:szCs w:val="24"/>
        </w:rPr>
        <w:t>国信嘉利</w:t>
      </w:r>
      <w:r>
        <w:rPr>
          <w:rFonts w:ascii="宋体" w:eastAsia="宋体" w:hAnsi="宋体" w:cs="宋体" w:hint="eastAsia"/>
          <w:bCs/>
          <w:color w:val="000000"/>
          <w:kern w:val="0"/>
          <w:sz w:val="24"/>
          <w:szCs w:val="24"/>
        </w:rPr>
        <w:t>公告为准。</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4</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本公司可以根据市场情况调整转换的业务规则及有关限制，届时本公司将另行公告。</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5</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投资者欲了解上述基金产品的详细情况，请仔细阅读刊登于本公司网站（</w:t>
      </w:r>
      <w:r>
        <w:rPr>
          <w:rFonts w:ascii="宋体" w:eastAsia="宋体" w:hAnsi="宋体" w:cs="宋体" w:hint="eastAsia"/>
          <w:bCs/>
          <w:color w:val="000000"/>
          <w:kern w:val="0"/>
          <w:sz w:val="24"/>
          <w:szCs w:val="24"/>
        </w:rPr>
        <w:t>www.ncfund.com.cn</w:t>
      </w:r>
      <w:r>
        <w:rPr>
          <w:rFonts w:ascii="宋体" w:eastAsia="宋体" w:hAnsi="宋体" w:cs="宋体" w:hint="eastAsia"/>
          <w:bCs/>
          <w:color w:val="000000"/>
          <w:kern w:val="0"/>
          <w:sz w:val="24"/>
          <w:szCs w:val="24"/>
        </w:rPr>
        <w:t>）的基金《基金合同》、《招募说明书》、《产品资料概要》等法律文件，以及相关业务公告。</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6</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投资者可以通过以下途径咨询有关事宜</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1</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上海国信嘉利基金销售有限公司</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客服电话：</w:t>
      </w:r>
      <w:r>
        <w:rPr>
          <w:rFonts w:ascii="宋体" w:eastAsia="宋体" w:hAnsi="宋体" w:cs="宋体" w:hint="eastAsia"/>
          <w:bCs/>
          <w:color w:val="000000"/>
          <w:kern w:val="0"/>
          <w:sz w:val="24"/>
          <w:szCs w:val="24"/>
        </w:rPr>
        <w:t xml:space="preserve">021-68809999 </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网址：</w:t>
      </w:r>
      <w:r>
        <w:rPr>
          <w:rFonts w:ascii="宋体" w:eastAsia="宋体" w:hAnsi="宋体" w:cs="宋体" w:hint="eastAsia"/>
          <w:bCs/>
          <w:color w:val="000000"/>
          <w:kern w:val="0"/>
          <w:sz w:val="24"/>
          <w:szCs w:val="24"/>
        </w:rPr>
        <w:t>www.gxjlcn.com</w:t>
      </w:r>
    </w:p>
    <w:p w:rsidR="005E2B32" w:rsidRDefault="005E2B32">
      <w:pPr>
        <w:widowControl/>
        <w:shd w:val="clear" w:color="auto" w:fill="FFFFFF"/>
        <w:spacing w:line="460" w:lineRule="exact"/>
        <w:ind w:firstLine="420"/>
        <w:jc w:val="left"/>
        <w:rPr>
          <w:rFonts w:ascii="宋体" w:eastAsia="宋体" w:hAnsi="宋体" w:cs="宋体"/>
          <w:bCs/>
          <w:color w:val="000000"/>
          <w:kern w:val="0"/>
          <w:sz w:val="24"/>
          <w:szCs w:val="24"/>
        </w:rPr>
      </w:pP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2</w:t>
      </w:r>
      <w:r>
        <w:rPr>
          <w:rFonts w:ascii="宋体" w:eastAsia="宋体" w:hAnsi="宋体" w:cs="宋体" w:hint="eastAsia"/>
          <w:bCs/>
          <w:color w:val="000000"/>
          <w:kern w:val="0"/>
          <w:sz w:val="24"/>
          <w:szCs w:val="24"/>
        </w:rPr>
        <w:t>）新华基金管理股份有限公司</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客服电话：</w:t>
      </w:r>
      <w:r>
        <w:rPr>
          <w:rFonts w:ascii="宋体" w:eastAsia="宋体" w:hAnsi="宋体" w:cs="宋体" w:hint="eastAsia"/>
          <w:bCs/>
          <w:color w:val="000000"/>
          <w:kern w:val="0"/>
          <w:sz w:val="24"/>
          <w:szCs w:val="24"/>
        </w:rPr>
        <w:t>400-819-8866</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网址：</w:t>
      </w:r>
      <w:r>
        <w:rPr>
          <w:rFonts w:ascii="宋体" w:eastAsia="宋体" w:hAnsi="宋体" w:cs="宋体" w:hint="eastAsia"/>
          <w:bCs/>
          <w:color w:val="000000"/>
          <w:kern w:val="0"/>
          <w:sz w:val="24"/>
          <w:szCs w:val="24"/>
        </w:rPr>
        <w:t>www.ncfund.com.cn</w:t>
      </w:r>
    </w:p>
    <w:p w:rsidR="005E2B32" w:rsidRDefault="005E2B32">
      <w:pPr>
        <w:widowControl/>
        <w:shd w:val="clear" w:color="auto" w:fill="FFFFFF"/>
        <w:spacing w:line="460" w:lineRule="exact"/>
        <w:jc w:val="left"/>
        <w:rPr>
          <w:rFonts w:ascii="宋体" w:eastAsia="宋体" w:hAnsi="宋体" w:cs="宋体"/>
          <w:bCs/>
          <w:color w:val="000000"/>
          <w:kern w:val="0"/>
          <w:sz w:val="24"/>
          <w:szCs w:val="24"/>
        </w:rPr>
      </w:pPr>
    </w:p>
    <w:p w:rsidR="005E2B32" w:rsidRDefault="00382EC1">
      <w:pPr>
        <w:widowControl/>
        <w:shd w:val="clear" w:color="auto" w:fill="FFFFFF"/>
        <w:spacing w:line="460" w:lineRule="exact"/>
        <w:ind w:firstLine="420"/>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六、</w:t>
      </w:r>
      <w:r>
        <w:rPr>
          <w:rFonts w:ascii="宋体" w:eastAsia="宋体" w:hAnsi="宋体" w:cs="宋体" w:hint="eastAsia"/>
          <w:b/>
          <w:color w:val="000000"/>
          <w:kern w:val="0"/>
          <w:sz w:val="24"/>
          <w:szCs w:val="24"/>
        </w:rPr>
        <w:t>风险提示</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本公司承诺以诚实信用、勤勉尽责的原则管理和运用基金资产，但不保证基金一定盈利，也不保证最低收益。本公司充分重视投资者教育工作，以保障投资者利益为己任，特此提醒广大投资者正确认识投资基金所存在的风险，慎重考虑、谨慎决策，选择与自身风险承受能力相匹配的产品，做理性的基金投资者，享受长期投资理财的快乐！</w:t>
      </w:r>
    </w:p>
    <w:p w:rsidR="005E2B32" w:rsidRDefault="00382EC1">
      <w:pPr>
        <w:widowControl/>
        <w:shd w:val="clear" w:color="auto" w:fill="FFFFFF"/>
        <w:spacing w:line="460" w:lineRule="exact"/>
        <w:ind w:firstLine="42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特此公告。</w:t>
      </w:r>
      <w:r>
        <w:rPr>
          <w:rFonts w:ascii="宋体" w:eastAsia="宋体" w:hAnsi="宋体" w:cs="宋体" w:hint="eastAsia"/>
          <w:bCs/>
          <w:color w:val="000000"/>
          <w:kern w:val="0"/>
          <w:sz w:val="24"/>
          <w:szCs w:val="24"/>
        </w:rPr>
        <w:t xml:space="preserve"> </w:t>
      </w:r>
    </w:p>
    <w:p w:rsidR="005E2B32" w:rsidRDefault="00382EC1">
      <w:pPr>
        <w:widowControl/>
        <w:shd w:val="clear" w:color="auto" w:fill="FFFFFF"/>
        <w:spacing w:line="460" w:lineRule="exact"/>
        <w:ind w:firstLine="420"/>
        <w:jc w:val="righ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 xml:space="preserve"> </w:t>
      </w:r>
    </w:p>
    <w:p w:rsidR="005E2B32" w:rsidRDefault="00382EC1">
      <w:pPr>
        <w:widowControl/>
        <w:shd w:val="clear" w:color="auto" w:fill="FFFFFF"/>
        <w:spacing w:line="460" w:lineRule="exact"/>
        <w:ind w:firstLine="420"/>
        <w:jc w:val="righ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新华基金管理股份有限公司</w:t>
      </w:r>
    </w:p>
    <w:p w:rsidR="005E2B32" w:rsidRDefault="005E2B32">
      <w:pPr>
        <w:widowControl/>
        <w:shd w:val="clear" w:color="auto" w:fill="FFFFFF"/>
        <w:spacing w:line="460" w:lineRule="exact"/>
        <w:ind w:firstLine="420"/>
        <w:jc w:val="right"/>
        <w:rPr>
          <w:rFonts w:ascii="宋体" w:eastAsia="宋体" w:hAnsi="宋体" w:cs="宋体"/>
          <w:b/>
          <w:color w:val="000000"/>
          <w:kern w:val="0"/>
          <w:sz w:val="24"/>
          <w:szCs w:val="24"/>
        </w:rPr>
      </w:pPr>
    </w:p>
    <w:p w:rsidR="005E2B32" w:rsidRDefault="00382EC1">
      <w:pPr>
        <w:widowControl/>
        <w:shd w:val="clear" w:color="auto" w:fill="FFFFFF"/>
        <w:spacing w:line="460" w:lineRule="exact"/>
        <w:ind w:firstLine="420"/>
        <w:jc w:val="righ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202</w:t>
      </w:r>
      <w:r>
        <w:rPr>
          <w:rFonts w:ascii="宋体" w:eastAsia="宋体" w:hAnsi="宋体" w:cs="宋体" w:hint="eastAsia"/>
          <w:b/>
          <w:color w:val="000000"/>
          <w:kern w:val="0"/>
          <w:sz w:val="24"/>
          <w:szCs w:val="24"/>
        </w:rPr>
        <w:t>4</w:t>
      </w:r>
      <w:r>
        <w:rPr>
          <w:rFonts w:ascii="宋体" w:eastAsia="宋体" w:hAnsi="宋体" w:cs="宋体" w:hint="eastAsia"/>
          <w:b/>
          <w:color w:val="000000"/>
          <w:kern w:val="0"/>
          <w:sz w:val="24"/>
          <w:szCs w:val="24"/>
        </w:rPr>
        <w:t>年</w:t>
      </w:r>
      <w:r>
        <w:rPr>
          <w:rFonts w:ascii="宋体" w:eastAsia="宋体" w:hAnsi="宋体" w:cs="宋体" w:hint="eastAsia"/>
          <w:b/>
          <w:color w:val="000000"/>
          <w:kern w:val="0"/>
          <w:sz w:val="24"/>
          <w:szCs w:val="24"/>
        </w:rPr>
        <w:t>7</w:t>
      </w:r>
      <w:r>
        <w:rPr>
          <w:rFonts w:ascii="宋体" w:eastAsia="宋体" w:hAnsi="宋体" w:cs="宋体" w:hint="eastAsia"/>
          <w:b/>
          <w:color w:val="000000"/>
          <w:kern w:val="0"/>
          <w:sz w:val="24"/>
          <w:szCs w:val="24"/>
        </w:rPr>
        <w:t>月</w:t>
      </w:r>
      <w:r>
        <w:rPr>
          <w:rFonts w:ascii="宋体" w:eastAsia="宋体" w:hAnsi="宋体" w:cs="宋体" w:hint="eastAsia"/>
          <w:b/>
          <w:color w:val="000000"/>
          <w:kern w:val="0"/>
          <w:sz w:val="24"/>
          <w:szCs w:val="24"/>
        </w:rPr>
        <w:t>31</w:t>
      </w:r>
      <w:r>
        <w:rPr>
          <w:rFonts w:ascii="宋体" w:eastAsia="宋体" w:hAnsi="宋体" w:cs="宋体" w:hint="eastAsia"/>
          <w:b/>
          <w:color w:val="000000"/>
          <w:kern w:val="0"/>
          <w:sz w:val="24"/>
          <w:szCs w:val="24"/>
        </w:rPr>
        <w:t>日</w:t>
      </w:r>
    </w:p>
    <w:sectPr w:rsidR="005E2B32" w:rsidSect="005E2B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JmZWEwZWY5MzRkMzdlNTExOTJhZGJmOGUwOTMxZDMifQ=="/>
    <w:docVar w:name="KSO_WPS_MARK_KEY" w:val="51e3c24a-2f6b-4ceb-8671-d13fcc78a0c0"/>
  </w:docVars>
  <w:rsids>
    <w:rsidRoot w:val="00172A27"/>
    <w:rsid w:val="00017E09"/>
    <w:rsid w:val="000243C0"/>
    <w:rsid w:val="00033AC4"/>
    <w:rsid w:val="0003521B"/>
    <w:rsid w:val="0004553A"/>
    <w:rsid w:val="00047108"/>
    <w:rsid w:val="00052EF4"/>
    <w:rsid w:val="00073438"/>
    <w:rsid w:val="000804B8"/>
    <w:rsid w:val="000872F9"/>
    <w:rsid w:val="000A0159"/>
    <w:rsid w:val="000A41F6"/>
    <w:rsid w:val="000A43F7"/>
    <w:rsid w:val="000A6567"/>
    <w:rsid w:val="000A6B7F"/>
    <w:rsid w:val="000B7222"/>
    <w:rsid w:val="000C5DA3"/>
    <w:rsid w:val="000C79C7"/>
    <w:rsid w:val="000D45B5"/>
    <w:rsid w:val="000E5DC4"/>
    <w:rsid w:val="00113389"/>
    <w:rsid w:val="0012133B"/>
    <w:rsid w:val="00123D9D"/>
    <w:rsid w:val="001459A6"/>
    <w:rsid w:val="00165159"/>
    <w:rsid w:val="001713E6"/>
    <w:rsid w:val="00172A27"/>
    <w:rsid w:val="00174146"/>
    <w:rsid w:val="00191068"/>
    <w:rsid w:val="00194FF0"/>
    <w:rsid w:val="001A0A7B"/>
    <w:rsid w:val="001A460F"/>
    <w:rsid w:val="001A540E"/>
    <w:rsid w:val="001A785D"/>
    <w:rsid w:val="001B3B0B"/>
    <w:rsid w:val="001C0AAA"/>
    <w:rsid w:val="001C16E5"/>
    <w:rsid w:val="001C33ED"/>
    <w:rsid w:val="001E10C9"/>
    <w:rsid w:val="001E2FEF"/>
    <w:rsid w:val="001E5C98"/>
    <w:rsid w:val="001E75A7"/>
    <w:rsid w:val="00203266"/>
    <w:rsid w:val="00204ADE"/>
    <w:rsid w:val="002078E5"/>
    <w:rsid w:val="00213757"/>
    <w:rsid w:val="002157E2"/>
    <w:rsid w:val="00226FDA"/>
    <w:rsid w:val="00227270"/>
    <w:rsid w:val="002308FD"/>
    <w:rsid w:val="002458BC"/>
    <w:rsid w:val="002458D4"/>
    <w:rsid w:val="00250C92"/>
    <w:rsid w:val="00251A52"/>
    <w:rsid w:val="0026231D"/>
    <w:rsid w:val="0029303A"/>
    <w:rsid w:val="00296ACB"/>
    <w:rsid w:val="002A68BB"/>
    <w:rsid w:val="002B0B46"/>
    <w:rsid w:val="002B17CC"/>
    <w:rsid w:val="002D09EF"/>
    <w:rsid w:val="002D71BF"/>
    <w:rsid w:val="002E5990"/>
    <w:rsid w:val="002F54A2"/>
    <w:rsid w:val="002F7A57"/>
    <w:rsid w:val="002F7BC8"/>
    <w:rsid w:val="00301B5F"/>
    <w:rsid w:val="00303C9F"/>
    <w:rsid w:val="003052EE"/>
    <w:rsid w:val="00310C38"/>
    <w:rsid w:val="00317BB0"/>
    <w:rsid w:val="00320402"/>
    <w:rsid w:val="003219CD"/>
    <w:rsid w:val="00323962"/>
    <w:rsid w:val="00324C66"/>
    <w:rsid w:val="003344B6"/>
    <w:rsid w:val="00334672"/>
    <w:rsid w:val="003457DB"/>
    <w:rsid w:val="003743E6"/>
    <w:rsid w:val="00377C7D"/>
    <w:rsid w:val="00382EC1"/>
    <w:rsid w:val="00394CD2"/>
    <w:rsid w:val="003A5500"/>
    <w:rsid w:val="003A5DEC"/>
    <w:rsid w:val="003B3C3A"/>
    <w:rsid w:val="003E54D1"/>
    <w:rsid w:val="003F36A8"/>
    <w:rsid w:val="003F706E"/>
    <w:rsid w:val="003F7BB4"/>
    <w:rsid w:val="0040024A"/>
    <w:rsid w:val="00421FB9"/>
    <w:rsid w:val="004332E7"/>
    <w:rsid w:val="004403B8"/>
    <w:rsid w:val="004420EA"/>
    <w:rsid w:val="0046012F"/>
    <w:rsid w:val="00465053"/>
    <w:rsid w:val="00465A43"/>
    <w:rsid w:val="004744AE"/>
    <w:rsid w:val="00481FE2"/>
    <w:rsid w:val="00483B93"/>
    <w:rsid w:val="00492241"/>
    <w:rsid w:val="004949C0"/>
    <w:rsid w:val="00496176"/>
    <w:rsid w:val="004A6F77"/>
    <w:rsid w:val="004A734B"/>
    <w:rsid w:val="004B743F"/>
    <w:rsid w:val="004C7FCD"/>
    <w:rsid w:val="004D6586"/>
    <w:rsid w:val="004D6F48"/>
    <w:rsid w:val="004E2D75"/>
    <w:rsid w:val="00514D4A"/>
    <w:rsid w:val="00522273"/>
    <w:rsid w:val="00535F66"/>
    <w:rsid w:val="0055045B"/>
    <w:rsid w:val="00557FA6"/>
    <w:rsid w:val="005612B6"/>
    <w:rsid w:val="005753CE"/>
    <w:rsid w:val="00576F47"/>
    <w:rsid w:val="005846E9"/>
    <w:rsid w:val="0059212F"/>
    <w:rsid w:val="00593342"/>
    <w:rsid w:val="005A0DDF"/>
    <w:rsid w:val="005A5099"/>
    <w:rsid w:val="005B60E9"/>
    <w:rsid w:val="005B75F8"/>
    <w:rsid w:val="005C3C5D"/>
    <w:rsid w:val="005D236F"/>
    <w:rsid w:val="005E0537"/>
    <w:rsid w:val="005E1B5C"/>
    <w:rsid w:val="005E2B32"/>
    <w:rsid w:val="005E5F8D"/>
    <w:rsid w:val="005F1C01"/>
    <w:rsid w:val="00602B56"/>
    <w:rsid w:val="00606A9A"/>
    <w:rsid w:val="006153FE"/>
    <w:rsid w:val="006171B6"/>
    <w:rsid w:val="00617882"/>
    <w:rsid w:val="00621005"/>
    <w:rsid w:val="006235B7"/>
    <w:rsid w:val="00624EE7"/>
    <w:rsid w:val="00627BF1"/>
    <w:rsid w:val="006407E6"/>
    <w:rsid w:val="00646379"/>
    <w:rsid w:val="0065006A"/>
    <w:rsid w:val="00654BA0"/>
    <w:rsid w:val="00657CC6"/>
    <w:rsid w:val="00661A3A"/>
    <w:rsid w:val="00661B56"/>
    <w:rsid w:val="006727CB"/>
    <w:rsid w:val="006820EC"/>
    <w:rsid w:val="006854F0"/>
    <w:rsid w:val="00695AAE"/>
    <w:rsid w:val="0069655D"/>
    <w:rsid w:val="00697952"/>
    <w:rsid w:val="006A1D6E"/>
    <w:rsid w:val="006A361E"/>
    <w:rsid w:val="006A6E5E"/>
    <w:rsid w:val="006C2289"/>
    <w:rsid w:val="006C6862"/>
    <w:rsid w:val="006C724C"/>
    <w:rsid w:val="006D1A6E"/>
    <w:rsid w:val="006E6007"/>
    <w:rsid w:val="006E60AA"/>
    <w:rsid w:val="006E75BB"/>
    <w:rsid w:val="006F2333"/>
    <w:rsid w:val="006F3BB0"/>
    <w:rsid w:val="007011B6"/>
    <w:rsid w:val="00706F53"/>
    <w:rsid w:val="00720BB9"/>
    <w:rsid w:val="00724044"/>
    <w:rsid w:val="00733715"/>
    <w:rsid w:val="00735557"/>
    <w:rsid w:val="00742F7B"/>
    <w:rsid w:val="00751E43"/>
    <w:rsid w:val="00762CFD"/>
    <w:rsid w:val="00765342"/>
    <w:rsid w:val="007708A5"/>
    <w:rsid w:val="00780F56"/>
    <w:rsid w:val="007A14AE"/>
    <w:rsid w:val="007A232A"/>
    <w:rsid w:val="007B1118"/>
    <w:rsid w:val="007B5D34"/>
    <w:rsid w:val="007B6AFD"/>
    <w:rsid w:val="007B6C5E"/>
    <w:rsid w:val="007C3CB7"/>
    <w:rsid w:val="007C6CB7"/>
    <w:rsid w:val="007D1C08"/>
    <w:rsid w:val="0081413B"/>
    <w:rsid w:val="00814637"/>
    <w:rsid w:val="00827564"/>
    <w:rsid w:val="00834542"/>
    <w:rsid w:val="008355DE"/>
    <w:rsid w:val="00842CFA"/>
    <w:rsid w:val="00845EE7"/>
    <w:rsid w:val="00850707"/>
    <w:rsid w:val="00857F33"/>
    <w:rsid w:val="0086464C"/>
    <w:rsid w:val="0086547D"/>
    <w:rsid w:val="00874457"/>
    <w:rsid w:val="00887C91"/>
    <w:rsid w:val="00890F43"/>
    <w:rsid w:val="00892744"/>
    <w:rsid w:val="00894FBB"/>
    <w:rsid w:val="008A68DC"/>
    <w:rsid w:val="008A76DE"/>
    <w:rsid w:val="008B1C1A"/>
    <w:rsid w:val="008B3131"/>
    <w:rsid w:val="008B49D8"/>
    <w:rsid w:val="008B7D23"/>
    <w:rsid w:val="008C100B"/>
    <w:rsid w:val="008C27DA"/>
    <w:rsid w:val="008C48CE"/>
    <w:rsid w:val="008C7550"/>
    <w:rsid w:val="008D41FE"/>
    <w:rsid w:val="008D4AB7"/>
    <w:rsid w:val="008D7650"/>
    <w:rsid w:val="008F3243"/>
    <w:rsid w:val="00904D5E"/>
    <w:rsid w:val="0091200C"/>
    <w:rsid w:val="009130DA"/>
    <w:rsid w:val="00915AF8"/>
    <w:rsid w:val="00930BAD"/>
    <w:rsid w:val="009517AE"/>
    <w:rsid w:val="00960700"/>
    <w:rsid w:val="009857A8"/>
    <w:rsid w:val="00987B1A"/>
    <w:rsid w:val="00990854"/>
    <w:rsid w:val="009A3EB5"/>
    <w:rsid w:val="009A66AF"/>
    <w:rsid w:val="009B2C4B"/>
    <w:rsid w:val="009C1CDA"/>
    <w:rsid w:val="009C2CD0"/>
    <w:rsid w:val="009D286D"/>
    <w:rsid w:val="009F0F35"/>
    <w:rsid w:val="009F159C"/>
    <w:rsid w:val="009F764C"/>
    <w:rsid w:val="00A04F11"/>
    <w:rsid w:val="00A06B3E"/>
    <w:rsid w:val="00A12E18"/>
    <w:rsid w:val="00A17B9A"/>
    <w:rsid w:val="00A239A0"/>
    <w:rsid w:val="00A43DA0"/>
    <w:rsid w:val="00A71D8A"/>
    <w:rsid w:val="00A72F21"/>
    <w:rsid w:val="00A83E3C"/>
    <w:rsid w:val="00A90AD7"/>
    <w:rsid w:val="00A914E3"/>
    <w:rsid w:val="00A95571"/>
    <w:rsid w:val="00A95F03"/>
    <w:rsid w:val="00AA0175"/>
    <w:rsid w:val="00AA0F07"/>
    <w:rsid w:val="00AA676A"/>
    <w:rsid w:val="00AB11A6"/>
    <w:rsid w:val="00AB3877"/>
    <w:rsid w:val="00AB39FD"/>
    <w:rsid w:val="00AB5600"/>
    <w:rsid w:val="00AC23EC"/>
    <w:rsid w:val="00AC7EC4"/>
    <w:rsid w:val="00AD7348"/>
    <w:rsid w:val="00AE5E4A"/>
    <w:rsid w:val="00B02D77"/>
    <w:rsid w:val="00B07DEB"/>
    <w:rsid w:val="00B25383"/>
    <w:rsid w:val="00B376F1"/>
    <w:rsid w:val="00B424D9"/>
    <w:rsid w:val="00B43230"/>
    <w:rsid w:val="00B57BF9"/>
    <w:rsid w:val="00B81018"/>
    <w:rsid w:val="00B81EB3"/>
    <w:rsid w:val="00B90A26"/>
    <w:rsid w:val="00B9252A"/>
    <w:rsid w:val="00B94024"/>
    <w:rsid w:val="00BA29CF"/>
    <w:rsid w:val="00BA2BF3"/>
    <w:rsid w:val="00BA7A1F"/>
    <w:rsid w:val="00BB2D50"/>
    <w:rsid w:val="00BB7668"/>
    <w:rsid w:val="00BC25C9"/>
    <w:rsid w:val="00BC2B20"/>
    <w:rsid w:val="00BD6C9A"/>
    <w:rsid w:val="00BE2983"/>
    <w:rsid w:val="00BF1E16"/>
    <w:rsid w:val="00C007BE"/>
    <w:rsid w:val="00C01DAE"/>
    <w:rsid w:val="00C1483D"/>
    <w:rsid w:val="00C15BD3"/>
    <w:rsid w:val="00C20F96"/>
    <w:rsid w:val="00C22AB4"/>
    <w:rsid w:val="00C25455"/>
    <w:rsid w:val="00C2748E"/>
    <w:rsid w:val="00C27EE8"/>
    <w:rsid w:val="00C35B7A"/>
    <w:rsid w:val="00C364A9"/>
    <w:rsid w:val="00C415AA"/>
    <w:rsid w:val="00C4632E"/>
    <w:rsid w:val="00C478F1"/>
    <w:rsid w:val="00C5090B"/>
    <w:rsid w:val="00C64C35"/>
    <w:rsid w:val="00C66CA8"/>
    <w:rsid w:val="00C725AD"/>
    <w:rsid w:val="00C829B2"/>
    <w:rsid w:val="00C9186C"/>
    <w:rsid w:val="00CA32A3"/>
    <w:rsid w:val="00CB23BE"/>
    <w:rsid w:val="00CC6417"/>
    <w:rsid w:val="00CD1A17"/>
    <w:rsid w:val="00CE25C1"/>
    <w:rsid w:val="00CF1A45"/>
    <w:rsid w:val="00CF74A4"/>
    <w:rsid w:val="00D14488"/>
    <w:rsid w:val="00D20BB6"/>
    <w:rsid w:val="00D34A66"/>
    <w:rsid w:val="00D46EF5"/>
    <w:rsid w:val="00D6395F"/>
    <w:rsid w:val="00D63EA7"/>
    <w:rsid w:val="00D71580"/>
    <w:rsid w:val="00D71F14"/>
    <w:rsid w:val="00D818D1"/>
    <w:rsid w:val="00D86E62"/>
    <w:rsid w:val="00D92B1B"/>
    <w:rsid w:val="00D95657"/>
    <w:rsid w:val="00D9751D"/>
    <w:rsid w:val="00DA1C1B"/>
    <w:rsid w:val="00DA35A9"/>
    <w:rsid w:val="00DA6299"/>
    <w:rsid w:val="00DB0C0C"/>
    <w:rsid w:val="00DE38C7"/>
    <w:rsid w:val="00DE500A"/>
    <w:rsid w:val="00DF108B"/>
    <w:rsid w:val="00DF7113"/>
    <w:rsid w:val="00DF7822"/>
    <w:rsid w:val="00E03D02"/>
    <w:rsid w:val="00E1045C"/>
    <w:rsid w:val="00E15BA5"/>
    <w:rsid w:val="00E15FE6"/>
    <w:rsid w:val="00E173F4"/>
    <w:rsid w:val="00E31154"/>
    <w:rsid w:val="00E521EF"/>
    <w:rsid w:val="00E541FF"/>
    <w:rsid w:val="00E62C29"/>
    <w:rsid w:val="00E63170"/>
    <w:rsid w:val="00E716D7"/>
    <w:rsid w:val="00E81F83"/>
    <w:rsid w:val="00E91C65"/>
    <w:rsid w:val="00E94941"/>
    <w:rsid w:val="00EA4BDD"/>
    <w:rsid w:val="00EA7D63"/>
    <w:rsid w:val="00EB59D5"/>
    <w:rsid w:val="00EC0441"/>
    <w:rsid w:val="00EC19AA"/>
    <w:rsid w:val="00EC53A8"/>
    <w:rsid w:val="00ED2B22"/>
    <w:rsid w:val="00EE53DA"/>
    <w:rsid w:val="00EE6B3F"/>
    <w:rsid w:val="00EF08ED"/>
    <w:rsid w:val="00F00336"/>
    <w:rsid w:val="00F01809"/>
    <w:rsid w:val="00F06E26"/>
    <w:rsid w:val="00F104EA"/>
    <w:rsid w:val="00F21045"/>
    <w:rsid w:val="00F328BB"/>
    <w:rsid w:val="00F33363"/>
    <w:rsid w:val="00F604BF"/>
    <w:rsid w:val="00F6656E"/>
    <w:rsid w:val="00F66689"/>
    <w:rsid w:val="00F73990"/>
    <w:rsid w:val="00F74A68"/>
    <w:rsid w:val="00F760CF"/>
    <w:rsid w:val="00F76C5B"/>
    <w:rsid w:val="00F82BD2"/>
    <w:rsid w:val="00F93826"/>
    <w:rsid w:val="00F96D60"/>
    <w:rsid w:val="00FA6924"/>
    <w:rsid w:val="00FB4441"/>
    <w:rsid w:val="00FB636E"/>
    <w:rsid w:val="00FC20AB"/>
    <w:rsid w:val="00FD4FFF"/>
    <w:rsid w:val="00FD5DB5"/>
    <w:rsid w:val="00FD6081"/>
    <w:rsid w:val="00FD721C"/>
    <w:rsid w:val="00FE6F80"/>
    <w:rsid w:val="00FF1E27"/>
    <w:rsid w:val="00FF5512"/>
    <w:rsid w:val="077F1735"/>
    <w:rsid w:val="094C36FB"/>
    <w:rsid w:val="0C4F232F"/>
    <w:rsid w:val="0C730C1B"/>
    <w:rsid w:val="12B46BE8"/>
    <w:rsid w:val="150D41A4"/>
    <w:rsid w:val="1B9E16E2"/>
    <w:rsid w:val="1DFA04EF"/>
    <w:rsid w:val="204848EB"/>
    <w:rsid w:val="22DB1445"/>
    <w:rsid w:val="23BC22E7"/>
    <w:rsid w:val="261E0647"/>
    <w:rsid w:val="2AEF250E"/>
    <w:rsid w:val="2C7D4431"/>
    <w:rsid w:val="304E730A"/>
    <w:rsid w:val="32BB0FD0"/>
    <w:rsid w:val="3E452F98"/>
    <w:rsid w:val="41F83E35"/>
    <w:rsid w:val="463578E2"/>
    <w:rsid w:val="4C675DBB"/>
    <w:rsid w:val="51D80683"/>
    <w:rsid w:val="5D467AB9"/>
    <w:rsid w:val="5DFF681A"/>
    <w:rsid w:val="5F5D3083"/>
    <w:rsid w:val="6A782A2C"/>
    <w:rsid w:val="715B055E"/>
    <w:rsid w:val="75A81617"/>
    <w:rsid w:val="779A6D65"/>
    <w:rsid w:val="791E43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B3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E2B32"/>
    <w:pPr>
      <w:jc w:val="left"/>
    </w:pPr>
  </w:style>
  <w:style w:type="paragraph" w:styleId="a4">
    <w:name w:val="Date"/>
    <w:basedOn w:val="a"/>
    <w:next w:val="a"/>
    <w:link w:val="Char0"/>
    <w:uiPriority w:val="99"/>
    <w:semiHidden/>
    <w:unhideWhenUsed/>
    <w:qFormat/>
    <w:rsid w:val="005E2B32"/>
    <w:pPr>
      <w:ind w:leftChars="2500" w:left="100"/>
    </w:pPr>
  </w:style>
  <w:style w:type="paragraph" w:styleId="a5">
    <w:name w:val="Balloon Text"/>
    <w:basedOn w:val="a"/>
    <w:link w:val="Char1"/>
    <w:uiPriority w:val="99"/>
    <w:semiHidden/>
    <w:unhideWhenUsed/>
    <w:qFormat/>
    <w:rsid w:val="005E2B32"/>
    <w:rPr>
      <w:sz w:val="18"/>
      <w:szCs w:val="18"/>
    </w:rPr>
  </w:style>
  <w:style w:type="paragraph" w:styleId="a6">
    <w:name w:val="footer"/>
    <w:basedOn w:val="a"/>
    <w:link w:val="Char2"/>
    <w:uiPriority w:val="99"/>
    <w:unhideWhenUsed/>
    <w:qFormat/>
    <w:rsid w:val="005E2B32"/>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5E2B3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5E2B32"/>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uiPriority w:val="99"/>
    <w:semiHidden/>
    <w:unhideWhenUsed/>
    <w:qFormat/>
    <w:rsid w:val="005E2B32"/>
    <w:rPr>
      <w:b/>
      <w:bCs/>
    </w:rPr>
  </w:style>
  <w:style w:type="character" w:styleId="aa">
    <w:name w:val="Emphasis"/>
    <w:basedOn w:val="a0"/>
    <w:uiPriority w:val="20"/>
    <w:qFormat/>
    <w:rsid w:val="005E2B32"/>
    <w:rPr>
      <w:i/>
      <w:iCs/>
    </w:rPr>
  </w:style>
  <w:style w:type="character" w:styleId="ab">
    <w:name w:val="Hyperlink"/>
    <w:basedOn w:val="a0"/>
    <w:uiPriority w:val="99"/>
    <w:unhideWhenUsed/>
    <w:qFormat/>
    <w:rsid w:val="005E2B32"/>
    <w:rPr>
      <w:color w:val="0000FF"/>
      <w:u w:val="single"/>
    </w:rPr>
  </w:style>
  <w:style w:type="character" w:styleId="ac">
    <w:name w:val="annotation reference"/>
    <w:basedOn w:val="a0"/>
    <w:uiPriority w:val="99"/>
    <w:semiHidden/>
    <w:unhideWhenUsed/>
    <w:qFormat/>
    <w:rsid w:val="005E2B32"/>
    <w:rPr>
      <w:sz w:val="21"/>
      <w:szCs w:val="21"/>
    </w:rPr>
  </w:style>
  <w:style w:type="character" w:customStyle="1" w:styleId="Char3">
    <w:name w:val="页眉 Char"/>
    <w:basedOn w:val="a0"/>
    <w:link w:val="a7"/>
    <w:uiPriority w:val="99"/>
    <w:qFormat/>
    <w:rsid w:val="005E2B32"/>
    <w:rPr>
      <w:sz w:val="18"/>
      <w:szCs w:val="18"/>
    </w:rPr>
  </w:style>
  <w:style w:type="character" w:customStyle="1" w:styleId="Char2">
    <w:name w:val="页脚 Char"/>
    <w:basedOn w:val="a0"/>
    <w:link w:val="a6"/>
    <w:uiPriority w:val="99"/>
    <w:qFormat/>
    <w:rsid w:val="005E2B32"/>
    <w:rPr>
      <w:sz w:val="18"/>
      <w:szCs w:val="18"/>
    </w:rPr>
  </w:style>
  <w:style w:type="character" w:customStyle="1" w:styleId="Char1">
    <w:name w:val="批注框文本 Char"/>
    <w:basedOn w:val="a0"/>
    <w:link w:val="a5"/>
    <w:uiPriority w:val="99"/>
    <w:semiHidden/>
    <w:qFormat/>
    <w:rsid w:val="005E2B32"/>
    <w:rPr>
      <w:sz w:val="18"/>
      <w:szCs w:val="18"/>
    </w:rPr>
  </w:style>
  <w:style w:type="character" w:customStyle="1" w:styleId="Char0">
    <w:name w:val="日期 Char"/>
    <w:basedOn w:val="a0"/>
    <w:link w:val="a4"/>
    <w:uiPriority w:val="99"/>
    <w:semiHidden/>
    <w:qFormat/>
    <w:rsid w:val="005E2B32"/>
  </w:style>
  <w:style w:type="character" w:customStyle="1" w:styleId="Char">
    <w:name w:val="批注文字 Char"/>
    <w:basedOn w:val="a0"/>
    <w:link w:val="a3"/>
    <w:uiPriority w:val="99"/>
    <w:semiHidden/>
    <w:qFormat/>
    <w:rsid w:val="005E2B32"/>
  </w:style>
  <w:style w:type="character" w:customStyle="1" w:styleId="Char4">
    <w:name w:val="批注主题 Char"/>
    <w:basedOn w:val="Char"/>
    <w:link w:val="a9"/>
    <w:uiPriority w:val="99"/>
    <w:semiHidden/>
    <w:qFormat/>
    <w:rsid w:val="005E2B32"/>
    <w:rPr>
      <w:b/>
      <w:bCs/>
    </w:rPr>
  </w:style>
  <w:style w:type="paragraph" w:styleId="ad">
    <w:name w:val="List Paragraph"/>
    <w:basedOn w:val="a"/>
    <w:uiPriority w:val="34"/>
    <w:qFormat/>
    <w:rsid w:val="005E2B32"/>
    <w:pPr>
      <w:ind w:firstLineChars="200" w:firstLine="420"/>
    </w:pPr>
  </w:style>
  <w:style w:type="character" w:customStyle="1" w:styleId="font11">
    <w:name w:val="font11"/>
    <w:basedOn w:val="a0"/>
    <w:qFormat/>
    <w:rsid w:val="005E2B32"/>
    <w:rPr>
      <w:rFonts w:ascii="宋体" w:eastAsia="宋体" w:hAnsi="宋体" w:cs="宋体" w:hint="eastAsia"/>
      <w:color w:val="000000"/>
      <w:sz w:val="20"/>
      <w:szCs w:val="20"/>
      <w:u w:val="none"/>
    </w:rPr>
  </w:style>
  <w:style w:type="character" w:customStyle="1" w:styleId="font01">
    <w:name w:val="font01"/>
    <w:basedOn w:val="a0"/>
    <w:qFormat/>
    <w:rsid w:val="005E2B32"/>
    <w:rPr>
      <w:rFonts w:ascii="Arial" w:hAnsi="Arial" w:cs="Arial" w:hint="default"/>
      <w:color w:val="000000"/>
      <w:sz w:val="20"/>
      <w:szCs w:val="20"/>
      <w:u w:val="none"/>
    </w:rPr>
  </w:style>
  <w:style w:type="character" w:customStyle="1" w:styleId="font21">
    <w:name w:val="font21"/>
    <w:basedOn w:val="a0"/>
    <w:qFormat/>
    <w:rsid w:val="005E2B32"/>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FF4CE-5541-402B-88CB-93D00AC78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4313</Characters>
  <Application>Microsoft Office Word</Application>
  <DocSecurity>4</DocSecurity>
  <Lines>35</Lines>
  <Paragraphs>10</Paragraphs>
  <ScaleCrop>false</ScaleCrop>
  <Company>CNSTOCK</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liuchao</dc:creator>
  <cp:lastModifiedBy>ZHONGM</cp:lastModifiedBy>
  <cp:revision>2</cp:revision>
  <dcterms:created xsi:type="dcterms:W3CDTF">2024-07-30T16:01:00Z</dcterms:created>
  <dcterms:modified xsi:type="dcterms:W3CDTF">2024-07-30T16:01:00Z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D6D6C29531F14706A0771F7C04852015</vt:lpwstr>
  </property>
</Properties>
</file>