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5562C1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254A21" w:rsidRPr="00254A21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上海华夏财富投资管理有限公司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5562C1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5562C1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254A21" w:rsidRPr="00254A21">
        <w:rPr>
          <w:rFonts w:ascii="Calibri" w:eastAsia="宋体" w:hAnsi="Calibri" w:cs="Calibri" w:hint="eastAsia"/>
          <w:sz w:val="24"/>
        </w:rPr>
        <w:t>上海华夏财富投资管理有限公司</w:t>
      </w:r>
      <w:r w:rsidR="004454F0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</w:t>
      </w:r>
      <w:r w:rsidR="00254A21">
        <w:rPr>
          <w:rFonts w:ascii="Calibri" w:eastAsia="宋体" w:hAnsi="Calibri" w:cs="Calibri" w:hint="eastAsia"/>
          <w:sz w:val="24"/>
        </w:rPr>
        <w:t>华夏财富</w:t>
      </w:r>
      <w:r w:rsidR="007668E7">
        <w:rPr>
          <w:rFonts w:ascii="Calibri" w:eastAsia="宋体" w:hAnsi="Calibri" w:cs="Calibri" w:hint="eastAsia"/>
          <w:sz w:val="24"/>
        </w:rPr>
        <w:t>”</w:t>
      </w:r>
      <w:r w:rsidR="008232ED" w:rsidRPr="004417D7">
        <w:rPr>
          <w:rFonts w:ascii="Calibri" w:eastAsia="宋体" w:hAnsi="Calibri" w:cs="Calibri"/>
          <w:sz w:val="24"/>
        </w:rPr>
        <w:t>）签订了基金销售代理协议，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254A21">
        <w:rPr>
          <w:rFonts w:ascii="Calibri" w:eastAsia="宋体" w:hAnsi="Calibri" w:cs="Calibri" w:hint="eastAsia"/>
          <w:sz w:val="24"/>
        </w:rPr>
        <w:t>华夏财富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254A21">
        <w:rPr>
          <w:rFonts w:ascii="Calibri" w:eastAsia="宋体" w:hAnsi="Calibri" w:cs="Calibri" w:hint="eastAsia"/>
          <w:sz w:val="24"/>
        </w:rPr>
        <w:t>华夏财富</w:t>
      </w:r>
      <w:r w:rsidR="00F865C3" w:rsidRPr="004417D7">
        <w:rPr>
          <w:rFonts w:ascii="Calibri" w:eastAsia="宋体" w:hAnsi="Calibri" w:cs="Calibri"/>
          <w:sz w:val="24"/>
        </w:rPr>
        <w:t>开展以下基金</w:t>
      </w:r>
      <w:r w:rsidR="00F865C3" w:rsidRPr="00EF34F3">
        <w:rPr>
          <w:rFonts w:ascii="Calibri" w:eastAsia="宋体" w:hAnsi="Calibri" w:cs="Calibri"/>
          <w:sz w:val="24"/>
        </w:rPr>
        <w:t>的申购、赎回、</w:t>
      </w:r>
      <w:r w:rsidR="00E4295A" w:rsidRPr="00EF34F3">
        <w:rPr>
          <w:rFonts w:ascii="Calibri" w:eastAsia="宋体" w:hAnsi="Calibri" w:cs="Calibri"/>
          <w:sz w:val="24"/>
        </w:rPr>
        <w:t>定期定额</w:t>
      </w:r>
      <w:r w:rsidR="00F865C3" w:rsidRPr="00EF34F3">
        <w:rPr>
          <w:rFonts w:ascii="Calibri" w:eastAsia="宋体" w:hAnsi="Calibri" w:cs="Calibri"/>
          <w:sz w:val="24"/>
        </w:rPr>
        <w:t>等相关业</w:t>
      </w:r>
      <w:r w:rsidR="00F865C3" w:rsidRPr="004417D7">
        <w:rPr>
          <w:rFonts w:ascii="Calibri" w:eastAsia="宋体" w:hAnsi="Calibri" w:cs="Calibri"/>
          <w:sz w:val="24"/>
        </w:rPr>
        <w:t>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254A21">
        <w:rPr>
          <w:rFonts w:ascii="Calibri" w:eastAsia="宋体" w:hAnsi="Calibri" w:cs="Calibri" w:hint="eastAsia"/>
          <w:sz w:val="24"/>
        </w:rPr>
        <w:t>华夏财富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650"/>
        <w:gridCol w:w="1275"/>
      </w:tblGrid>
      <w:tr w:rsidR="00CF7936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4114DA" w:rsidRDefault="00CF7936" w:rsidP="005562C1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/>
                <w:sz w:val="24"/>
              </w:rPr>
              <w:t>序号</w:t>
            </w:r>
          </w:p>
        </w:tc>
        <w:tc>
          <w:tcPr>
            <w:tcW w:w="7650" w:type="dxa"/>
            <w:shd w:val="clear" w:color="auto" w:fill="auto"/>
            <w:noWrap/>
            <w:vAlign w:val="center"/>
            <w:hideMark/>
          </w:tcPr>
          <w:p w:rsidR="00CF7936" w:rsidRPr="004114DA" w:rsidRDefault="00CF7936" w:rsidP="005562C1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/>
                <w:sz w:val="24"/>
              </w:rPr>
              <w:t>基金名称</w:t>
            </w:r>
          </w:p>
        </w:tc>
        <w:tc>
          <w:tcPr>
            <w:tcW w:w="1275" w:type="dxa"/>
            <w:vAlign w:val="center"/>
          </w:tcPr>
          <w:p w:rsidR="00CF7936" w:rsidRPr="004114DA" w:rsidRDefault="00CF7936" w:rsidP="005562C1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/>
                <w:sz w:val="24"/>
              </w:rPr>
              <w:t>基金代码</w:t>
            </w:r>
          </w:p>
        </w:tc>
      </w:tr>
      <w:tr w:rsidR="004114D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摩根阿尔法混合型证券投资基金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015637</w:t>
            </w:r>
          </w:p>
        </w:tc>
      </w:tr>
      <w:tr w:rsidR="004114D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2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摩根安全战略股票型证券投资基金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015172</w:t>
            </w:r>
          </w:p>
        </w:tc>
      </w:tr>
      <w:tr w:rsidR="004114D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3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摩根成长动力混合型证券投资基金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015638</w:t>
            </w:r>
          </w:p>
        </w:tc>
      </w:tr>
      <w:tr w:rsidR="004114D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4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摩根成长先锋混合型证券投资基金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4114DA" w:rsidRPr="004114DA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015077</w:t>
            </w:r>
          </w:p>
        </w:tc>
      </w:tr>
      <w:tr w:rsidR="00B5596F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5596F" w:rsidRPr="004114DA" w:rsidRDefault="00A74134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5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B5596F" w:rsidRPr="00B5596F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摩根核心成长股票型证券投资基金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B5596F" w:rsidRPr="00B5596F" w:rsidRDefault="00135A8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015170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6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135A85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 w:hint="eastAsia"/>
                <w:sz w:val="24"/>
              </w:rPr>
              <w:t>摩根核心精选股票型证券投资基金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135A85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/>
                <w:sz w:val="24"/>
              </w:rPr>
              <w:t>014937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Pr="004114D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7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摩根核心优选混合型证券投资基金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015057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Pr="004114D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8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摩根科技前沿灵活配置混合型证券投资基金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014964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Pr="004114D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9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摩根领先优选混合型证券投资基金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017098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Pr="004114D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0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 w:hint="eastAsia"/>
                <w:sz w:val="24"/>
              </w:rPr>
              <w:t>摩根民生需求股票型证券投资基金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135A85">
              <w:rPr>
                <w:rFonts w:ascii="Calibri" w:eastAsia="宋体" w:hAnsi="Calibri" w:cs="Calibri"/>
                <w:sz w:val="24"/>
              </w:rPr>
              <w:t>017099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Pr="004114D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1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 w:hint="eastAsia"/>
                <w:sz w:val="24"/>
              </w:rPr>
              <w:t>摩根内需动力混合型证券投资基金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/>
                <w:sz w:val="24"/>
              </w:rPr>
              <w:t>016402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Pr="004114D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2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 w:hint="eastAsia"/>
                <w:sz w:val="24"/>
              </w:rPr>
              <w:t>摩根双核平衡混合型证券投资基金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/>
                <w:sz w:val="24"/>
              </w:rPr>
              <w:t>015174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3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 w:hint="eastAsia"/>
                <w:sz w:val="24"/>
              </w:rPr>
              <w:t>摩根双息平衡混合型证券投资基金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/>
                <w:sz w:val="24"/>
              </w:rPr>
              <w:t>016803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4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 w:hint="eastAsia"/>
                <w:sz w:val="24"/>
              </w:rPr>
              <w:t>摩根新兴动力混合型证券投资基金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6231">
              <w:rPr>
                <w:rFonts w:ascii="Calibri" w:eastAsia="宋体" w:hAnsi="Calibri" w:cs="Calibri"/>
                <w:sz w:val="24"/>
              </w:rPr>
              <w:t>014642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5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 w:hint="eastAsia"/>
                <w:sz w:val="24"/>
              </w:rPr>
              <w:t>摩根医疗健康股票型证券投资基金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/>
                <w:sz w:val="24"/>
              </w:rPr>
              <w:t>014932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6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 w:hint="eastAsia"/>
                <w:sz w:val="24"/>
              </w:rPr>
              <w:t>摩根智选</w:t>
            </w:r>
            <w:r w:rsidRPr="00CF38DD">
              <w:rPr>
                <w:rFonts w:ascii="Calibri" w:eastAsia="宋体" w:hAnsi="Calibri" w:cs="Calibri"/>
                <w:sz w:val="24"/>
              </w:rPr>
              <w:t>30</w:t>
            </w:r>
            <w:r w:rsidRPr="00CF38DD">
              <w:rPr>
                <w:rFonts w:ascii="Calibri" w:eastAsia="宋体" w:hAnsi="Calibri" w:cs="Calibri"/>
                <w:sz w:val="24"/>
              </w:rPr>
              <w:t>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/>
                <w:sz w:val="24"/>
              </w:rPr>
              <w:t>016400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7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 w:hint="eastAsia"/>
                <w:sz w:val="24"/>
              </w:rPr>
              <w:t>摩根中国优势证券投资基金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/>
                <w:sz w:val="24"/>
              </w:rPr>
              <w:t>015709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8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 w:hint="eastAsia"/>
                <w:sz w:val="24"/>
              </w:rPr>
              <w:t>摩根转型动力灵活配置混合型证券投资基金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/>
                <w:sz w:val="24"/>
              </w:rPr>
              <w:t>015074</w:t>
            </w:r>
          </w:p>
        </w:tc>
      </w:tr>
      <w:tr w:rsidR="00620F7A" w:rsidRPr="004417D7" w:rsidTr="00565524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20F7A" w:rsidRDefault="00620F7A" w:rsidP="00620F7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9</w:t>
            </w:r>
          </w:p>
        </w:tc>
        <w:tc>
          <w:tcPr>
            <w:tcW w:w="7650" w:type="dxa"/>
            <w:shd w:val="clear" w:color="auto" w:fill="auto"/>
            <w:noWrap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 w:hint="eastAsia"/>
                <w:sz w:val="24"/>
              </w:rPr>
              <w:t>摩根卓越制造股票型证券投资基金</w:t>
            </w:r>
            <w:r>
              <w:rPr>
                <w:rFonts w:ascii="Calibri" w:eastAsia="宋体" w:hAnsi="Calibri" w:cs="Calibri" w:hint="eastAsia"/>
                <w:sz w:val="24"/>
              </w:rPr>
              <w:t>C</w:t>
            </w:r>
            <w:r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75" w:type="dxa"/>
            <w:vAlign w:val="center"/>
          </w:tcPr>
          <w:p w:rsidR="00620F7A" w:rsidRPr="00B5596F" w:rsidRDefault="00620F7A" w:rsidP="00620F7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CF38DD">
              <w:rPr>
                <w:rFonts w:ascii="Calibri" w:eastAsia="宋体" w:hAnsi="Calibri" w:cs="Calibri"/>
                <w:sz w:val="24"/>
              </w:rPr>
              <w:t>015075</w:t>
            </w:r>
          </w:p>
        </w:tc>
      </w:tr>
    </w:tbl>
    <w:p w:rsidR="00C43454" w:rsidRPr="004417D7" w:rsidRDefault="00C43454" w:rsidP="005562C1">
      <w:pPr>
        <w:widowControl/>
        <w:shd w:val="clear" w:color="auto" w:fill="FFFFFF"/>
        <w:spacing w:before="270" w:after="18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lastRenderedPageBreak/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63FAB" w:rsidRPr="004417D7" w:rsidRDefault="00763FAB" w:rsidP="005562C1">
      <w:pPr>
        <w:widowControl/>
        <w:shd w:val="clear" w:color="auto" w:fill="FFFFFF"/>
        <w:spacing w:before="270" w:after="180" w:line="360" w:lineRule="auto"/>
        <w:jc w:val="left"/>
        <w:rPr>
          <w:rFonts w:ascii="Calibri" w:eastAsia="宋体" w:hAnsi="Calibri" w:cs="Calibri"/>
          <w:b/>
          <w:color w:val="000000"/>
          <w:kern w:val="0"/>
          <w:sz w:val="24"/>
          <w:szCs w:val="24"/>
        </w:rPr>
      </w:pPr>
      <w:r w:rsidRPr="004417D7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投资者可通过以下途径咨询有关详情</w:t>
      </w:r>
      <w:r w:rsidRPr="004417D7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:</w:t>
      </w:r>
      <w:r w:rsidRPr="004417D7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 xml:space="preserve">　</w:t>
      </w:r>
    </w:p>
    <w:p w:rsidR="004454F0" w:rsidRPr="004417D7" w:rsidRDefault="00B958E2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467CCA" w:rsidRPr="00467CCA">
        <w:rPr>
          <w:rFonts w:ascii="Calibri" w:eastAsia="宋体" w:hAnsi="Calibri" w:cs="Calibri" w:hint="eastAsia"/>
          <w:sz w:val="24"/>
        </w:rPr>
        <w:t>上海华夏财富投资管理有限公司</w:t>
      </w:r>
    </w:p>
    <w:p w:rsidR="00D070C3" w:rsidRDefault="0059448F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="00467CCA" w:rsidRPr="00467CCA">
        <w:rPr>
          <w:rFonts w:ascii="Calibri" w:eastAsia="宋体" w:hAnsi="Calibri" w:cs="Calibri"/>
          <w:sz w:val="24"/>
        </w:rPr>
        <w:t>400-817-5666</w:t>
      </w:r>
    </w:p>
    <w:p w:rsidR="0059448F" w:rsidRPr="004417D7" w:rsidRDefault="0005047F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</w:t>
      </w:r>
      <w:r w:rsidR="0059448F" w:rsidRPr="004417D7">
        <w:rPr>
          <w:rFonts w:ascii="Calibri" w:eastAsia="宋体" w:hAnsi="Calibri" w:cs="Calibri"/>
          <w:sz w:val="24"/>
        </w:rPr>
        <w:t>：</w:t>
      </w:r>
      <w:r w:rsidR="00467CCA" w:rsidRPr="00467CCA">
        <w:rPr>
          <w:rFonts w:ascii="Calibri" w:eastAsia="宋体" w:hAnsi="Calibri" w:cs="Calibri"/>
          <w:sz w:val="24"/>
        </w:rPr>
        <w:t>www.amcfortune.com</w:t>
      </w:r>
    </w:p>
    <w:p w:rsidR="00632944" w:rsidRPr="004417D7" w:rsidRDefault="00632944" w:rsidP="005562C1">
      <w:pPr>
        <w:spacing w:line="360" w:lineRule="auto"/>
        <w:rPr>
          <w:rFonts w:ascii="Calibri" w:eastAsia="宋体" w:hAnsi="Calibri" w:cs="Calibri"/>
          <w:sz w:val="24"/>
        </w:rPr>
      </w:pPr>
    </w:p>
    <w:p w:rsidR="00763FAB" w:rsidRPr="004417D7" w:rsidRDefault="00763FAB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763FAB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63FAB" w:rsidRPr="004417D7" w:rsidRDefault="00763FAB" w:rsidP="005562C1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特此公告。　</w:t>
      </w:r>
    </w:p>
    <w:p w:rsidR="00070F2D" w:rsidRPr="004417D7" w:rsidRDefault="00070F2D" w:rsidP="005562C1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5562C1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 xml:space="preserve">有限公司　</w:t>
      </w:r>
    </w:p>
    <w:p w:rsidR="004061F3" w:rsidRPr="004417D7" w:rsidRDefault="004761C0" w:rsidP="005562C1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342907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6260E4">
        <w:rPr>
          <w:rFonts w:ascii="Calibri" w:eastAsia="宋体" w:hAnsi="Calibri" w:cs="Calibri"/>
          <w:color w:val="000000"/>
          <w:kern w:val="0"/>
          <w:sz w:val="24"/>
          <w:szCs w:val="21"/>
        </w:rPr>
        <w:t>七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18700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三十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E4" w:rsidRDefault="008010E4" w:rsidP="00813607">
      <w:r>
        <w:separator/>
      </w:r>
    </w:p>
  </w:endnote>
  <w:endnote w:type="continuationSeparator" w:id="0">
    <w:p w:rsidR="008010E4" w:rsidRDefault="008010E4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E4" w:rsidRDefault="008010E4" w:rsidP="00813607">
      <w:r>
        <w:separator/>
      </w:r>
    </w:p>
  </w:footnote>
  <w:footnote w:type="continuationSeparator" w:id="0">
    <w:p w:rsidR="008010E4" w:rsidRDefault="008010E4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44B0"/>
    <w:rsid w:val="00006246"/>
    <w:rsid w:val="0001565A"/>
    <w:rsid w:val="00027E1D"/>
    <w:rsid w:val="00041D35"/>
    <w:rsid w:val="0005047F"/>
    <w:rsid w:val="00051F4B"/>
    <w:rsid w:val="00054BF5"/>
    <w:rsid w:val="00055491"/>
    <w:rsid w:val="000629EA"/>
    <w:rsid w:val="00064ED0"/>
    <w:rsid w:val="00070F2D"/>
    <w:rsid w:val="0007111A"/>
    <w:rsid w:val="000735CA"/>
    <w:rsid w:val="00097795"/>
    <w:rsid w:val="000B11E7"/>
    <w:rsid w:val="000D280E"/>
    <w:rsid w:val="000D28A0"/>
    <w:rsid w:val="000D5B42"/>
    <w:rsid w:val="00102D88"/>
    <w:rsid w:val="0011136D"/>
    <w:rsid w:val="00121B42"/>
    <w:rsid w:val="001310CF"/>
    <w:rsid w:val="00132888"/>
    <w:rsid w:val="00135A85"/>
    <w:rsid w:val="0014725A"/>
    <w:rsid w:val="00165EE9"/>
    <w:rsid w:val="0017325F"/>
    <w:rsid w:val="00187008"/>
    <w:rsid w:val="001A07A4"/>
    <w:rsid w:val="001A3F91"/>
    <w:rsid w:val="001B70DF"/>
    <w:rsid w:val="001C7C18"/>
    <w:rsid w:val="001D055B"/>
    <w:rsid w:val="001D2089"/>
    <w:rsid w:val="001E7255"/>
    <w:rsid w:val="00201628"/>
    <w:rsid w:val="00225D26"/>
    <w:rsid w:val="00246E7F"/>
    <w:rsid w:val="002473B9"/>
    <w:rsid w:val="00254A21"/>
    <w:rsid w:val="00257CA2"/>
    <w:rsid w:val="00257D18"/>
    <w:rsid w:val="00264BDF"/>
    <w:rsid w:val="00277680"/>
    <w:rsid w:val="002949A8"/>
    <w:rsid w:val="002D75EE"/>
    <w:rsid w:val="002E59BE"/>
    <w:rsid w:val="003034D1"/>
    <w:rsid w:val="003067E8"/>
    <w:rsid w:val="00314A8D"/>
    <w:rsid w:val="00341B45"/>
    <w:rsid w:val="00342907"/>
    <w:rsid w:val="0034391E"/>
    <w:rsid w:val="00350B83"/>
    <w:rsid w:val="00354883"/>
    <w:rsid w:val="00355673"/>
    <w:rsid w:val="00397345"/>
    <w:rsid w:val="003A4AFC"/>
    <w:rsid w:val="003A5277"/>
    <w:rsid w:val="003C1528"/>
    <w:rsid w:val="003C51DC"/>
    <w:rsid w:val="003C6174"/>
    <w:rsid w:val="003C773A"/>
    <w:rsid w:val="00404043"/>
    <w:rsid w:val="004114DA"/>
    <w:rsid w:val="004120D6"/>
    <w:rsid w:val="00414707"/>
    <w:rsid w:val="004151D5"/>
    <w:rsid w:val="0041628F"/>
    <w:rsid w:val="00427585"/>
    <w:rsid w:val="00430C14"/>
    <w:rsid w:val="004402BE"/>
    <w:rsid w:val="004417D7"/>
    <w:rsid w:val="004454F0"/>
    <w:rsid w:val="004479FB"/>
    <w:rsid w:val="00467CCA"/>
    <w:rsid w:val="00474714"/>
    <w:rsid w:val="00474AA2"/>
    <w:rsid w:val="004761C0"/>
    <w:rsid w:val="004A4B93"/>
    <w:rsid w:val="004A5345"/>
    <w:rsid w:val="004A5539"/>
    <w:rsid w:val="004B0D43"/>
    <w:rsid w:val="004B4802"/>
    <w:rsid w:val="004C0AC4"/>
    <w:rsid w:val="004D6731"/>
    <w:rsid w:val="004E59C0"/>
    <w:rsid w:val="00506C59"/>
    <w:rsid w:val="005110FE"/>
    <w:rsid w:val="005156CA"/>
    <w:rsid w:val="0052760F"/>
    <w:rsid w:val="0053744A"/>
    <w:rsid w:val="005562C1"/>
    <w:rsid w:val="005644B7"/>
    <w:rsid w:val="00565524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17225"/>
    <w:rsid w:val="00620F7A"/>
    <w:rsid w:val="006260E4"/>
    <w:rsid w:val="00632944"/>
    <w:rsid w:val="00645816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6E28A0"/>
    <w:rsid w:val="00700647"/>
    <w:rsid w:val="00703336"/>
    <w:rsid w:val="0072182A"/>
    <w:rsid w:val="007506D1"/>
    <w:rsid w:val="007528A4"/>
    <w:rsid w:val="0076283B"/>
    <w:rsid w:val="00763FAB"/>
    <w:rsid w:val="00765C71"/>
    <w:rsid w:val="007668E7"/>
    <w:rsid w:val="00781E75"/>
    <w:rsid w:val="007A1572"/>
    <w:rsid w:val="007B4B18"/>
    <w:rsid w:val="007D376C"/>
    <w:rsid w:val="007D6D44"/>
    <w:rsid w:val="007E39CC"/>
    <w:rsid w:val="007E7390"/>
    <w:rsid w:val="007F47E8"/>
    <w:rsid w:val="007F53AA"/>
    <w:rsid w:val="00800A5E"/>
    <w:rsid w:val="008010E4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96684"/>
    <w:rsid w:val="008A605C"/>
    <w:rsid w:val="008B235C"/>
    <w:rsid w:val="008B4B34"/>
    <w:rsid w:val="008C1897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B5C5D"/>
    <w:rsid w:val="009D347D"/>
    <w:rsid w:val="009F45C6"/>
    <w:rsid w:val="00A07349"/>
    <w:rsid w:val="00A15E06"/>
    <w:rsid w:val="00A209B2"/>
    <w:rsid w:val="00A4372B"/>
    <w:rsid w:val="00A4498F"/>
    <w:rsid w:val="00A6474D"/>
    <w:rsid w:val="00A6530C"/>
    <w:rsid w:val="00A74134"/>
    <w:rsid w:val="00A7676D"/>
    <w:rsid w:val="00A960C3"/>
    <w:rsid w:val="00AA2DB3"/>
    <w:rsid w:val="00AA3528"/>
    <w:rsid w:val="00AC4C4D"/>
    <w:rsid w:val="00AF13FB"/>
    <w:rsid w:val="00AF54B9"/>
    <w:rsid w:val="00B029CC"/>
    <w:rsid w:val="00B11F00"/>
    <w:rsid w:val="00B42240"/>
    <w:rsid w:val="00B5596F"/>
    <w:rsid w:val="00B62AB8"/>
    <w:rsid w:val="00B8234C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A62B9"/>
    <w:rsid w:val="00CB0B9B"/>
    <w:rsid w:val="00CB29A9"/>
    <w:rsid w:val="00CC12E4"/>
    <w:rsid w:val="00CD271B"/>
    <w:rsid w:val="00CD6E69"/>
    <w:rsid w:val="00CE2408"/>
    <w:rsid w:val="00CF38DD"/>
    <w:rsid w:val="00CF6231"/>
    <w:rsid w:val="00CF7936"/>
    <w:rsid w:val="00D01AB6"/>
    <w:rsid w:val="00D06461"/>
    <w:rsid w:val="00D070C3"/>
    <w:rsid w:val="00D16E96"/>
    <w:rsid w:val="00D23A2D"/>
    <w:rsid w:val="00D2719C"/>
    <w:rsid w:val="00D56BF7"/>
    <w:rsid w:val="00D61B60"/>
    <w:rsid w:val="00D6289B"/>
    <w:rsid w:val="00D64EB3"/>
    <w:rsid w:val="00D87D49"/>
    <w:rsid w:val="00D950A4"/>
    <w:rsid w:val="00DA41BC"/>
    <w:rsid w:val="00DA704F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5470D"/>
    <w:rsid w:val="00E62F03"/>
    <w:rsid w:val="00E74D2A"/>
    <w:rsid w:val="00E95E44"/>
    <w:rsid w:val="00EA586D"/>
    <w:rsid w:val="00EC1C1F"/>
    <w:rsid w:val="00EC22BA"/>
    <w:rsid w:val="00EE222F"/>
    <w:rsid w:val="00EE63F6"/>
    <w:rsid w:val="00EE678F"/>
    <w:rsid w:val="00EF34F3"/>
    <w:rsid w:val="00EF4FD8"/>
    <w:rsid w:val="00F1168D"/>
    <w:rsid w:val="00F1427A"/>
    <w:rsid w:val="00F16C7F"/>
    <w:rsid w:val="00F203D9"/>
    <w:rsid w:val="00F23BF0"/>
    <w:rsid w:val="00F32E5F"/>
    <w:rsid w:val="00F608C8"/>
    <w:rsid w:val="00F65F2D"/>
    <w:rsid w:val="00F83C12"/>
    <w:rsid w:val="00F865C3"/>
    <w:rsid w:val="00F95376"/>
    <w:rsid w:val="00FA0FF6"/>
    <w:rsid w:val="00FA5D51"/>
    <w:rsid w:val="00FB42EC"/>
    <w:rsid w:val="00FB5A3F"/>
    <w:rsid w:val="00FD35D4"/>
    <w:rsid w:val="00FF2941"/>
    <w:rsid w:val="00F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8BC4-8B16-481D-A8DE-B2557C5B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4</DocSecurity>
  <Lines>7</Lines>
  <Paragraphs>2</Paragraphs>
  <ScaleCrop>false</ScaleCrop>
  <Company>Cifm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2024-07-29T16:01:00Z</dcterms:created>
  <dcterms:modified xsi:type="dcterms:W3CDTF">2024-07-29T16:01:00Z</dcterms:modified>
</cp:coreProperties>
</file>