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EE" w:rsidRDefault="008C6803">
      <w:pPr>
        <w:widowControl/>
        <w:shd w:val="clear" w:color="auto" w:fill="FFFFFF"/>
        <w:spacing w:before="345" w:after="100" w:afterAutospacing="1"/>
        <w:jc w:val="center"/>
        <w:outlineLvl w:val="1"/>
        <w:rPr>
          <w:rFonts w:ascii="Verdana" w:eastAsia="宋体" w:hAnsi="Verdana" w:cs="宋体"/>
          <w:b/>
          <w:bCs/>
          <w:kern w:val="36"/>
          <w:sz w:val="39"/>
          <w:szCs w:val="39"/>
        </w:rPr>
      </w:pPr>
      <w:r>
        <w:rPr>
          <w:rFonts w:ascii="Verdana" w:eastAsia="宋体" w:hAnsi="Verdana" w:cs="宋体" w:hint="eastAsia"/>
          <w:b/>
          <w:bCs/>
          <w:kern w:val="36"/>
          <w:sz w:val="39"/>
          <w:szCs w:val="39"/>
        </w:rPr>
        <w:t>富荣</w:t>
      </w:r>
      <w:r>
        <w:rPr>
          <w:rFonts w:ascii="Verdana" w:eastAsia="宋体" w:hAnsi="Verdana" w:cs="宋体"/>
          <w:b/>
          <w:bCs/>
          <w:kern w:val="36"/>
          <w:sz w:val="39"/>
          <w:szCs w:val="39"/>
        </w:rPr>
        <w:t>基金管理有限公司关于旗下</w:t>
      </w:r>
      <w:r>
        <w:rPr>
          <w:rFonts w:ascii="Verdana" w:eastAsia="宋体" w:hAnsi="Verdana" w:cs="宋体" w:hint="eastAsia"/>
          <w:b/>
          <w:bCs/>
          <w:kern w:val="36"/>
          <w:sz w:val="39"/>
          <w:szCs w:val="39"/>
        </w:rPr>
        <w:t>部分</w:t>
      </w:r>
      <w:r>
        <w:rPr>
          <w:rFonts w:ascii="Verdana" w:eastAsia="宋体" w:hAnsi="Verdana" w:cs="宋体"/>
          <w:b/>
          <w:bCs/>
          <w:kern w:val="36"/>
          <w:sz w:val="39"/>
          <w:szCs w:val="39"/>
        </w:rPr>
        <w:t>基金新增</w:t>
      </w:r>
      <w:r>
        <w:rPr>
          <w:rFonts w:ascii="Verdana" w:eastAsia="宋体" w:hAnsi="Verdana" w:cs="宋体" w:hint="eastAsia"/>
          <w:b/>
          <w:bCs/>
          <w:kern w:val="36"/>
          <w:sz w:val="39"/>
          <w:szCs w:val="39"/>
        </w:rPr>
        <w:t>兴业银行股份有限公司</w:t>
      </w:r>
      <w:r>
        <w:rPr>
          <w:rFonts w:ascii="Verdana" w:eastAsia="宋体" w:hAnsi="Verdana" w:cs="宋体"/>
          <w:b/>
          <w:bCs/>
          <w:kern w:val="36"/>
          <w:sz w:val="39"/>
          <w:szCs w:val="39"/>
        </w:rPr>
        <w:t>为销售机构</w:t>
      </w:r>
      <w:r>
        <w:rPr>
          <w:rFonts w:ascii="Verdana" w:eastAsia="宋体" w:hAnsi="Verdana" w:cs="宋体" w:hint="eastAsia"/>
          <w:b/>
          <w:bCs/>
          <w:kern w:val="36"/>
          <w:sz w:val="39"/>
          <w:szCs w:val="39"/>
        </w:rPr>
        <w:t>、</w:t>
      </w:r>
      <w:r>
        <w:rPr>
          <w:rFonts w:ascii="Verdana" w:eastAsia="宋体" w:hAnsi="Verdana" w:cs="宋体"/>
          <w:b/>
          <w:bCs/>
          <w:kern w:val="36"/>
          <w:sz w:val="39"/>
          <w:szCs w:val="39"/>
        </w:rPr>
        <w:t>开通基金定期定额投资业务和基金转换业务</w:t>
      </w:r>
      <w:r>
        <w:rPr>
          <w:rFonts w:ascii="Verdana" w:eastAsia="宋体" w:hAnsi="Verdana" w:cs="宋体" w:hint="eastAsia"/>
          <w:b/>
          <w:bCs/>
          <w:kern w:val="36"/>
          <w:sz w:val="39"/>
          <w:szCs w:val="39"/>
        </w:rPr>
        <w:t>并参加申购及定期定额投资申购费率优惠活动的公告</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为更好地满足广大投资者的理财需求，根据富荣基金管理有限公司（以下简称“本公司”）与</w:t>
      </w:r>
      <w:r>
        <w:rPr>
          <w:rFonts w:ascii="宋体" w:eastAsia="宋体" w:hAnsi="宋体" w:cs="Calibri" w:hint="eastAsia"/>
          <w:color w:val="000000"/>
          <w:kern w:val="0"/>
          <w:szCs w:val="21"/>
        </w:rPr>
        <w:t>兴业银行股份有限公司</w:t>
      </w:r>
      <w:r>
        <w:rPr>
          <w:rFonts w:ascii="宋体" w:eastAsia="宋体" w:hAnsi="宋体" w:cs="Calibri" w:hint="eastAsia"/>
          <w:color w:val="000000"/>
          <w:kern w:val="0"/>
          <w:szCs w:val="21"/>
        </w:rPr>
        <w:t>（以下简称“</w:t>
      </w:r>
      <w:r>
        <w:rPr>
          <w:rFonts w:ascii="宋体" w:eastAsia="宋体" w:hAnsi="宋体" w:cs="Calibri" w:hint="eastAsia"/>
          <w:bCs/>
          <w:color w:val="000000"/>
          <w:kern w:val="0"/>
          <w:szCs w:val="21"/>
        </w:rPr>
        <w:t>兴业银行</w:t>
      </w:r>
      <w:r>
        <w:rPr>
          <w:rFonts w:ascii="宋体" w:eastAsia="宋体" w:hAnsi="宋体" w:cs="Calibri" w:hint="eastAsia"/>
          <w:color w:val="000000"/>
          <w:kern w:val="0"/>
          <w:szCs w:val="21"/>
        </w:rPr>
        <w:t>”）签署的委托销售协议，自</w:t>
      </w:r>
      <w:r>
        <w:rPr>
          <w:rFonts w:ascii="宋体" w:eastAsia="宋体" w:hAnsi="宋体" w:cs="Calibri"/>
          <w:color w:val="000000"/>
          <w:kern w:val="0"/>
          <w:szCs w:val="21"/>
        </w:rPr>
        <w:t>20</w:t>
      </w:r>
      <w:r>
        <w:rPr>
          <w:rFonts w:ascii="宋体" w:eastAsia="宋体" w:hAnsi="宋体" w:cs="Calibri" w:hint="eastAsia"/>
          <w:color w:val="000000"/>
          <w:kern w:val="0"/>
          <w:szCs w:val="21"/>
        </w:rPr>
        <w:t>2</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7</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30</w:t>
      </w:r>
      <w:r>
        <w:rPr>
          <w:rFonts w:ascii="宋体" w:eastAsia="宋体" w:hAnsi="宋体" w:cs="Calibri" w:hint="eastAsia"/>
          <w:color w:val="000000"/>
          <w:kern w:val="0"/>
          <w:szCs w:val="21"/>
        </w:rPr>
        <w:t>日起本公司旗下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基金新增</w:t>
      </w:r>
      <w:r>
        <w:rPr>
          <w:rFonts w:ascii="宋体" w:eastAsia="宋体" w:hAnsi="宋体" w:cs="Calibri" w:hint="eastAsia"/>
          <w:color w:val="000000"/>
          <w:kern w:val="0"/>
          <w:szCs w:val="21"/>
        </w:rPr>
        <w:t>兴业银行</w:t>
      </w:r>
      <w:r>
        <w:rPr>
          <w:rFonts w:ascii="宋体" w:eastAsia="宋体" w:hAnsi="宋体" w:cs="Calibri" w:hint="eastAsia"/>
          <w:color w:val="000000"/>
          <w:kern w:val="0"/>
          <w:szCs w:val="21"/>
        </w:rPr>
        <w:t>为销售机构并开通基金“定期定额投资业务”和基金“转换业务</w:t>
      </w:r>
      <w:r>
        <w:rPr>
          <w:rFonts w:ascii="宋体" w:eastAsia="宋体" w:hAnsi="宋体" w:cs="Calibri"/>
          <w:color w:val="000000"/>
          <w:kern w:val="0"/>
          <w:szCs w:val="21"/>
        </w:rPr>
        <w:t>”</w:t>
      </w:r>
      <w:r>
        <w:rPr>
          <w:rFonts w:ascii="宋体" w:eastAsia="宋体" w:hAnsi="宋体" w:cs="Calibri" w:hint="eastAsia"/>
          <w:color w:val="000000"/>
          <w:kern w:val="0"/>
          <w:szCs w:val="21"/>
        </w:rPr>
        <w:t>，具体的业务流程、办理时间和办理方式以</w:t>
      </w:r>
      <w:r>
        <w:rPr>
          <w:rFonts w:ascii="宋体" w:eastAsia="宋体" w:hAnsi="宋体" w:cs="Calibri" w:hint="eastAsia"/>
          <w:color w:val="000000"/>
          <w:kern w:val="0"/>
          <w:szCs w:val="21"/>
        </w:rPr>
        <w:t>兴业银行</w:t>
      </w:r>
      <w:r>
        <w:rPr>
          <w:rFonts w:ascii="宋体" w:eastAsia="宋体" w:hAnsi="宋体" w:cs="Calibri" w:hint="eastAsia"/>
          <w:color w:val="000000"/>
          <w:kern w:val="0"/>
          <w:szCs w:val="21"/>
        </w:rPr>
        <w:t>的规定为准。同时，本公司旗下</w:t>
      </w:r>
      <w:r>
        <w:rPr>
          <w:rFonts w:ascii="宋体" w:eastAsia="宋体" w:hAnsi="宋体" w:cs="Calibri" w:hint="eastAsia"/>
          <w:color w:val="000000"/>
          <w:kern w:val="0"/>
          <w:szCs w:val="21"/>
        </w:rPr>
        <w:t>部分</w:t>
      </w:r>
      <w:r>
        <w:rPr>
          <w:rFonts w:ascii="宋体" w:eastAsia="宋体" w:hAnsi="宋体" w:cs="Calibri" w:hint="eastAsia"/>
          <w:color w:val="000000"/>
          <w:kern w:val="0"/>
          <w:szCs w:val="21"/>
        </w:rPr>
        <w:t>基金参加</w:t>
      </w:r>
      <w:r>
        <w:rPr>
          <w:rFonts w:ascii="宋体" w:eastAsia="宋体" w:hAnsi="宋体" w:cs="Calibri" w:hint="eastAsia"/>
          <w:color w:val="000000"/>
          <w:kern w:val="0"/>
          <w:szCs w:val="21"/>
        </w:rPr>
        <w:t>兴业银行</w:t>
      </w:r>
      <w:r>
        <w:rPr>
          <w:rFonts w:ascii="宋体" w:eastAsia="宋体" w:hAnsi="宋体" w:cs="Calibri" w:hint="eastAsia"/>
          <w:color w:val="000000"/>
          <w:kern w:val="0"/>
          <w:szCs w:val="21"/>
        </w:rPr>
        <w:t>开展的基金申购及定期定额投资申购费率优惠活动，具体的活动时间、优惠费率以</w:t>
      </w:r>
      <w:r>
        <w:rPr>
          <w:rFonts w:ascii="宋体" w:eastAsia="宋体" w:hAnsi="宋体" w:cs="Calibri" w:hint="eastAsia"/>
          <w:color w:val="000000"/>
          <w:kern w:val="0"/>
          <w:szCs w:val="21"/>
        </w:rPr>
        <w:t>兴业银行</w:t>
      </w:r>
      <w:r>
        <w:rPr>
          <w:rFonts w:ascii="宋体" w:eastAsia="宋体" w:hAnsi="宋体" w:cs="Calibri" w:hint="eastAsia"/>
          <w:color w:val="000000"/>
          <w:kern w:val="0"/>
          <w:szCs w:val="21"/>
        </w:rPr>
        <w:t>的规定为准。现将相关事项公告如下：</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 </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一、适用基金</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）富荣货币市场基金（基金代码：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003467</w:t>
      </w:r>
      <w:r>
        <w:rPr>
          <w:rFonts w:ascii="宋体" w:eastAsia="宋体" w:hAnsi="宋体" w:cs="Calibri" w:hint="eastAsia"/>
          <w:color w:val="000000"/>
          <w:kern w:val="0"/>
          <w:szCs w:val="21"/>
        </w:rPr>
        <w:t>、</w:t>
      </w:r>
      <w:r>
        <w:rPr>
          <w:rFonts w:ascii="宋体" w:eastAsia="宋体" w:hAnsi="宋体" w:cs="Calibri" w:hint="eastAsia"/>
          <w:color w:val="000000"/>
          <w:kern w:val="0"/>
          <w:szCs w:val="21"/>
        </w:rPr>
        <w:t>B</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003468</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2</w:t>
      </w:r>
      <w:r>
        <w:rPr>
          <w:rFonts w:ascii="宋体" w:eastAsia="宋体" w:hAnsi="宋体" w:cs="Calibri" w:hint="eastAsia"/>
          <w:color w:val="000000"/>
          <w:kern w:val="0"/>
          <w:szCs w:val="21"/>
        </w:rPr>
        <w:t>）富荣沪深</w:t>
      </w:r>
      <w:r>
        <w:rPr>
          <w:rFonts w:ascii="宋体" w:eastAsia="宋体" w:hAnsi="宋体" w:cs="Calibri" w:hint="eastAsia"/>
          <w:color w:val="000000"/>
          <w:kern w:val="0"/>
          <w:szCs w:val="21"/>
        </w:rPr>
        <w:t>300</w:t>
      </w:r>
      <w:r>
        <w:rPr>
          <w:rFonts w:ascii="宋体" w:eastAsia="宋体" w:hAnsi="宋体" w:cs="Calibri" w:hint="eastAsia"/>
          <w:color w:val="000000"/>
          <w:kern w:val="0"/>
          <w:szCs w:val="21"/>
        </w:rPr>
        <w:t>指数增强型证券投资基金（基金代码：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004789</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）富荣福康混合型证券投资基金（基金代码：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005105</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）富荣福鑫灵活配置混合型证券投资基金（基金代码：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004795</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）富荣福锦混合型证券投资基金（</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005164</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005165</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）富荣价值精选灵活配置混合型发起式证券投资基金（基金代码：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006109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006110</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7</w:t>
      </w:r>
      <w:r>
        <w:rPr>
          <w:rFonts w:ascii="宋体" w:eastAsia="宋体" w:hAnsi="宋体" w:cs="Calibri" w:hint="eastAsia"/>
          <w:color w:val="000000"/>
          <w:kern w:val="0"/>
          <w:szCs w:val="21"/>
        </w:rPr>
        <w:t>）富荣福银混合型证券投资基金（基金代码：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012546</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8</w:t>
      </w:r>
      <w:r>
        <w:rPr>
          <w:rFonts w:ascii="宋体" w:eastAsia="宋体" w:hAnsi="宋体" w:cs="Calibri" w:hint="eastAsia"/>
          <w:color w:val="000000"/>
          <w:kern w:val="0"/>
          <w:szCs w:val="21"/>
        </w:rPr>
        <w:t>）富荣信息技术混合型证券投资基金（基金代码：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013346</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9</w:t>
      </w:r>
      <w:r>
        <w:rPr>
          <w:rFonts w:ascii="宋体" w:eastAsia="宋体" w:hAnsi="宋体" w:cs="Calibri" w:hint="eastAsia"/>
          <w:color w:val="000000"/>
          <w:kern w:val="0"/>
          <w:szCs w:val="21"/>
        </w:rPr>
        <w:t>）富荣福耀混合型证券投资基金（基金代码：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012876</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012877</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10</w:t>
      </w:r>
      <w:r>
        <w:rPr>
          <w:rFonts w:ascii="宋体" w:eastAsia="宋体" w:hAnsi="宋体" w:cs="Calibri" w:hint="eastAsia"/>
          <w:color w:val="000000"/>
          <w:kern w:val="0"/>
          <w:szCs w:val="21"/>
        </w:rPr>
        <w:t>）富荣研究优选混合型证券投资基金</w:t>
      </w:r>
      <w:r>
        <w:rPr>
          <w:rFonts w:ascii="宋体" w:eastAsia="宋体" w:hAnsi="宋体" w:cs="Calibri" w:hint="eastAsia"/>
          <w:color w:val="000000"/>
          <w:kern w:val="0"/>
          <w:szCs w:val="21"/>
        </w:rPr>
        <w:t>（</w:t>
      </w:r>
      <w:r>
        <w:rPr>
          <w:rFonts w:ascii="宋体" w:eastAsia="宋体" w:hAnsi="宋体" w:cs="Calibri" w:hint="eastAsia"/>
          <w:color w:val="000000"/>
          <w:kern w:val="0"/>
          <w:szCs w:val="21"/>
        </w:rPr>
        <w:t>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015657</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015658</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1</w:t>
      </w:r>
      <w:r>
        <w:rPr>
          <w:rFonts w:ascii="宋体" w:eastAsia="宋体" w:hAnsi="宋体" w:cs="Calibri" w:hint="eastAsia"/>
          <w:color w:val="000000"/>
          <w:kern w:val="0"/>
          <w:szCs w:val="21"/>
        </w:rPr>
        <w:t>）</w:t>
      </w:r>
      <w:r>
        <w:rPr>
          <w:rFonts w:ascii="宋体" w:eastAsia="宋体" w:hAnsi="宋体" w:cs="Calibri" w:hint="eastAsia"/>
          <w:color w:val="000000"/>
          <w:kern w:val="0"/>
          <w:szCs w:val="21"/>
        </w:rPr>
        <w:t xml:space="preserve"> </w:t>
      </w:r>
      <w:r>
        <w:rPr>
          <w:rFonts w:ascii="宋体" w:eastAsia="宋体" w:hAnsi="宋体" w:cs="Calibri" w:hint="eastAsia"/>
          <w:color w:val="000000"/>
          <w:kern w:val="0"/>
          <w:szCs w:val="21"/>
        </w:rPr>
        <w:t>富荣</w:t>
      </w:r>
      <w:r>
        <w:rPr>
          <w:rFonts w:ascii="宋体" w:eastAsia="宋体" w:hAnsi="宋体" w:cs="Calibri" w:hint="eastAsia"/>
          <w:color w:val="000000"/>
          <w:kern w:val="0"/>
          <w:szCs w:val="21"/>
        </w:rPr>
        <w:t>量化精选混合型发起式证券投资基金（基金代码：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014556</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014557</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2</w:t>
      </w:r>
      <w:r>
        <w:rPr>
          <w:rFonts w:ascii="宋体" w:eastAsia="宋体" w:hAnsi="宋体" w:cs="Calibri" w:hint="eastAsia"/>
          <w:color w:val="000000"/>
          <w:kern w:val="0"/>
          <w:szCs w:val="21"/>
        </w:rPr>
        <w:t>）</w:t>
      </w:r>
      <w:r>
        <w:rPr>
          <w:rFonts w:ascii="宋体" w:eastAsia="宋体" w:hAnsi="宋体" w:cs="Calibri" w:hint="eastAsia"/>
          <w:color w:val="000000"/>
          <w:kern w:val="0"/>
          <w:szCs w:val="21"/>
        </w:rPr>
        <w:t xml:space="preserve"> </w:t>
      </w:r>
      <w:r>
        <w:rPr>
          <w:rFonts w:ascii="宋体" w:eastAsia="宋体" w:hAnsi="宋体" w:cs="Calibri" w:hint="eastAsia"/>
          <w:color w:val="000000"/>
          <w:kern w:val="0"/>
          <w:szCs w:val="21"/>
        </w:rPr>
        <w:t>富荣医药健康混合型发起式证券投资基金（基金代码：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015655</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015656</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3</w:t>
      </w:r>
      <w:r>
        <w:rPr>
          <w:rFonts w:ascii="宋体" w:eastAsia="宋体" w:hAnsi="宋体" w:cs="Calibri" w:hint="eastAsia"/>
          <w:color w:val="000000"/>
          <w:kern w:val="0"/>
          <w:szCs w:val="21"/>
        </w:rPr>
        <w:t>）富荣富乾债券型证券投资基金（基金代码：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004792</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004793</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4</w:t>
      </w:r>
      <w:r>
        <w:rPr>
          <w:rFonts w:ascii="宋体" w:eastAsia="宋体" w:hAnsi="宋体" w:cs="Calibri" w:hint="eastAsia"/>
          <w:color w:val="000000"/>
          <w:kern w:val="0"/>
          <w:szCs w:val="21"/>
        </w:rPr>
        <w:t>）富荣富祥纯债债券型证券投资基金（基金代码：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003999</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021394</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lastRenderedPageBreak/>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5</w:t>
      </w:r>
      <w:r>
        <w:rPr>
          <w:rFonts w:ascii="宋体" w:eastAsia="宋体" w:hAnsi="宋体" w:cs="Calibri" w:hint="eastAsia"/>
          <w:color w:val="000000"/>
          <w:kern w:val="0"/>
          <w:szCs w:val="21"/>
        </w:rPr>
        <w:t>）富荣富兴纯债债券型证券投资基金（基金代码：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004441</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021917</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6</w:t>
      </w:r>
      <w:r>
        <w:rPr>
          <w:rFonts w:ascii="宋体" w:eastAsia="宋体" w:hAnsi="宋体" w:cs="Calibri" w:hint="eastAsia"/>
          <w:color w:val="000000"/>
          <w:kern w:val="0"/>
          <w:szCs w:val="21"/>
        </w:rPr>
        <w:t>）富荣富开</w:t>
      </w:r>
      <w:r>
        <w:rPr>
          <w:rFonts w:ascii="宋体" w:eastAsia="宋体" w:hAnsi="宋体" w:cs="Calibri" w:hint="eastAsia"/>
          <w:color w:val="000000"/>
          <w:kern w:val="0"/>
          <w:szCs w:val="21"/>
        </w:rPr>
        <w:t>1-3</w:t>
      </w:r>
      <w:r>
        <w:rPr>
          <w:rFonts w:ascii="宋体" w:eastAsia="宋体" w:hAnsi="宋体" w:cs="Calibri" w:hint="eastAsia"/>
          <w:color w:val="000000"/>
          <w:kern w:val="0"/>
          <w:szCs w:val="21"/>
        </w:rPr>
        <w:t>年国开债纯债债券型证券投资基金（基金代码：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006488</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007907</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7</w:t>
      </w:r>
      <w:r>
        <w:rPr>
          <w:rFonts w:ascii="宋体" w:eastAsia="宋体" w:hAnsi="宋体" w:cs="Calibri" w:hint="eastAsia"/>
          <w:color w:val="000000"/>
          <w:kern w:val="0"/>
          <w:szCs w:val="21"/>
        </w:rPr>
        <w:t>）富荣富恒两年定期开放债券型证券投资基金（基金代码：</w:t>
      </w:r>
      <w:r>
        <w:rPr>
          <w:rFonts w:ascii="宋体" w:eastAsia="宋体" w:hAnsi="宋体" w:cs="Calibri" w:hint="eastAsia"/>
          <w:color w:val="000000"/>
          <w:kern w:val="0"/>
          <w:szCs w:val="21"/>
        </w:rPr>
        <w:t>009506</w:t>
      </w:r>
      <w:r>
        <w:rPr>
          <w:rFonts w:ascii="宋体" w:eastAsia="宋体" w:hAnsi="宋体" w:cs="Calibri" w:hint="eastAsia"/>
          <w:color w:val="000000"/>
          <w:kern w:val="0"/>
          <w:szCs w:val="21"/>
        </w:rPr>
        <w:t>）；</w:t>
      </w:r>
    </w:p>
    <w:p w:rsidR="001A09EE" w:rsidRDefault="008C6803">
      <w:pPr>
        <w:widowControl/>
        <w:shd w:val="clear" w:color="auto" w:fill="FFFFFF"/>
        <w:spacing w:line="360" w:lineRule="auto"/>
        <w:ind w:firstLine="480"/>
        <w:jc w:val="left"/>
        <w:rPr>
          <w:rFonts w:ascii="宋体" w:eastAsia="宋体" w:hAnsi="宋体" w:cs="Calibri"/>
          <w:color w:val="000000"/>
          <w:kern w:val="0"/>
          <w:szCs w:val="21"/>
        </w:rPr>
      </w:pPr>
      <w:r>
        <w:rPr>
          <w:rFonts w:ascii="宋体" w:eastAsia="宋体" w:hAnsi="宋体" w:cs="Calibri" w:hint="eastAsia"/>
          <w:color w:val="000000"/>
          <w:kern w:val="0"/>
          <w:szCs w:val="21"/>
        </w:rPr>
        <w:t>（</w:t>
      </w:r>
      <w:r>
        <w:rPr>
          <w:rFonts w:ascii="宋体" w:eastAsia="宋体" w:hAnsi="宋体" w:cs="Calibri" w:hint="eastAsia"/>
          <w:color w:val="000000"/>
          <w:kern w:val="0"/>
          <w:szCs w:val="21"/>
        </w:rPr>
        <w:t>1</w:t>
      </w:r>
      <w:r>
        <w:rPr>
          <w:rFonts w:ascii="宋体" w:eastAsia="宋体" w:hAnsi="宋体" w:cs="Calibri" w:hint="eastAsia"/>
          <w:color w:val="000000"/>
          <w:kern w:val="0"/>
          <w:szCs w:val="21"/>
        </w:rPr>
        <w:t>8</w:t>
      </w:r>
      <w:r>
        <w:rPr>
          <w:rFonts w:ascii="宋体" w:eastAsia="宋体" w:hAnsi="宋体" w:cs="Calibri" w:hint="eastAsia"/>
          <w:color w:val="000000"/>
          <w:kern w:val="0"/>
          <w:szCs w:val="21"/>
        </w:rPr>
        <w:t>）富荣中短债债券型证券投资基金（基金代码：</w:t>
      </w:r>
      <w:r>
        <w:rPr>
          <w:rFonts w:ascii="宋体" w:eastAsia="宋体" w:hAnsi="宋体" w:cs="Calibri" w:hint="eastAsia"/>
          <w:color w:val="000000"/>
          <w:kern w:val="0"/>
          <w:szCs w:val="21"/>
        </w:rPr>
        <w:t>A</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013520</w:t>
      </w:r>
      <w:r>
        <w:rPr>
          <w:rFonts w:ascii="宋体" w:eastAsia="宋体" w:hAnsi="宋体" w:cs="Calibri" w:hint="eastAsia"/>
          <w:color w:val="000000"/>
          <w:kern w:val="0"/>
          <w:szCs w:val="21"/>
        </w:rPr>
        <w:t>、</w:t>
      </w:r>
      <w:r>
        <w:rPr>
          <w:rFonts w:ascii="宋体" w:eastAsia="宋体" w:hAnsi="宋体" w:cs="Calibri" w:hint="eastAsia"/>
          <w:color w:val="000000"/>
          <w:kern w:val="0"/>
          <w:szCs w:val="21"/>
        </w:rPr>
        <w:t>C</w:t>
      </w:r>
      <w:r>
        <w:rPr>
          <w:rFonts w:ascii="宋体" w:eastAsia="宋体" w:hAnsi="宋体" w:cs="Calibri" w:hint="eastAsia"/>
          <w:color w:val="000000"/>
          <w:kern w:val="0"/>
          <w:szCs w:val="21"/>
        </w:rPr>
        <w:t>类</w:t>
      </w:r>
      <w:r>
        <w:rPr>
          <w:rFonts w:ascii="宋体" w:eastAsia="宋体" w:hAnsi="宋体" w:cs="Calibri" w:hint="eastAsia"/>
          <w:color w:val="000000"/>
          <w:kern w:val="0"/>
          <w:szCs w:val="21"/>
        </w:rPr>
        <w:t>013521</w:t>
      </w:r>
      <w:r>
        <w:rPr>
          <w:rFonts w:ascii="宋体" w:eastAsia="宋体" w:hAnsi="宋体" w:cs="Calibri" w:hint="eastAsia"/>
          <w:color w:val="000000"/>
          <w:kern w:val="0"/>
          <w:szCs w:val="21"/>
        </w:rPr>
        <w:t>）</w:t>
      </w:r>
      <w:r>
        <w:rPr>
          <w:rFonts w:ascii="宋体" w:eastAsia="宋体" w:hAnsi="宋体" w:cs="Calibri" w:hint="eastAsia"/>
          <w:color w:val="000000"/>
          <w:kern w:val="0"/>
          <w:szCs w:val="21"/>
        </w:rPr>
        <w:t>。</w:t>
      </w:r>
    </w:p>
    <w:p w:rsidR="001A09EE" w:rsidRDefault="001A09EE">
      <w:pPr>
        <w:widowControl/>
        <w:shd w:val="clear" w:color="auto" w:fill="FFFFFF"/>
        <w:spacing w:line="360" w:lineRule="auto"/>
        <w:ind w:firstLine="480"/>
        <w:jc w:val="left"/>
        <w:rPr>
          <w:rFonts w:ascii="宋体" w:eastAsia="宋体" w:hAnsi="宋体" w:cs="Calibri"/>
          <w:color w:val="000000"/>
          <w:kern w:val="0"/>
          <w:szCs w:val="21"/>
        </w:rPr>
      </w:pP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二、业务咨询</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color w:val="000000"/>
          <w:kern w:val="0"/>
          <w:szCs w:val="21"/>
        </w:rPr>
        <w:t>1</w:t>
      </w:r>
      <w:r>
        <w:rPr>
          <w:rFonts w:ascii="宋体" w:eastAsia="宋体" w:hAnsi="宋体" w:cs="Calibri" w:hint="eastAsia"/>
          <w:color w:val="000000"/>
          <w:kern w:val="0"/>
          <w:szCs w:val="21"/>
        </w:rPr>
        <w:t>、富荣基金管理有限公司</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color w:val="000000"/>
          <w:kern w:val="0"/>
          <w:szCs w:val="21"/>
        </w:rPr>
        <w:t>400</w:t>
      </w:r>
      <w:r>
        <w:rPr>
          <w:rFonts w:ascii="宋体" w:eastAsia="宋体" w:hAnsi="宋体" w:cs="Calibri" w:hint="eastAsia"/>
          <w:color w:val="000000"/>
          <w:kern w:val="0"/>
          <w:szCs w:val="21"/>
        </w:rPr>
        <w:t>-685-5</w:t>
      </w:r>
      <w:r>
        <w:rPr>
          <w:rFonts w:ascii="宋体" w:eastAsia="宋体" w:hAnsi="宋体" w:cs="Calibri"/>
          <w:color w:val="000000"/>
          <w:kern w:val="0"/>
          <w:szCs w:val="21"/>
        </w:rPr>
        <w:t>60</w:t>
      </w:r>
      <w:r>
        <w:rPr>
          <w:rFonts w:ascii="宋体" w:eastAsia="宋体" w:hAnsi="宋体" w:cs="Calibri" w:hint="eastAsia"/>
          <w:color w:val="000000"/>
          <w:kern w:val="0"/>
          <w:szCs w:val="21"/>
        </w:rPr>
        <w:t>0</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color w:val="000000"/>
          <w:kern w:val="0"/>
          <w:szCs w:val="21"/>
        </w:rPr>
        <w:t>www.</w:t>
      </w:r>
      <w:r>
        <w:rPr>
          <w:rFonts w:ascii="宋体" w:eastAsia="宋体" w:hAnsi="宋体" w:cs="Calibri" w:hint="eastAsia"/>
          <w:color w:val="000000"/>
          <w:kern w:val="0"/>
          <w:szCs w:val="21"/>
        </w:rPr>
        <w:t>furamc</w:t>
      </w:r>
      <w:r>
        <w:rPr>
          <w:rFonts w:ascii="宋体" w:eastAsia="宋体" w:hAnsi="宋体" w:cs="Calibri"/>
          <w:color w:val="000000"/>
          <w:kern w:val="0"/>
          <w:szCs w:val="21"/>
        </w:rPr>
        <w:t>.com</w:t>
      </w:r>
      <w:r>
        <w:rPr>
          <w:rFonts w:ascii="宋体" w:eastAsia="宋体" w:hAnsi="宋体" w:cs="Calibri" w:hint="eastAsia"/>
          <w:color w:val="000000"/>
          <w:kern w:val="0"/>
          <w:szCs w:val="21"/>
        </w:rPr>
        <w:t>.cn</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kern w:val="0"/>
          <w:szCs w:val="21"/>
        </w:rPr>
        <w:t>2</w:t>
      </w:r>
      <w:r>
        <w:rPr>
          <w:rFonts w:ascii="宋体" w:eastAsia="宋体" w:hAnsi="宋体" w:cs="Calibri" w:hint="eastAsia"/>
          <w:kern w:val="0"/>
          <w:szCs w:val="21"/>
        </w:rPr>
        <w:t>、</w:t>
      </w:r>
      <w:r>
        <w:rPr>
          <w:rFonts w:ascii="宋体" w:eastAsia="宋体" w:hAnsi="宋体" w:cs="Calibri" w:hint="eastAsia"/>
          <w:color w:val="000000"/>
          <w:kern w:val="0"/>
          <w:szCs w:val="21"/>
        </w:rPr>
        <w:t>兴业银行股份有限公司</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客户服务电话：</w:t>
      </w:r>
      <w:r>
        <w:rPr>
          <w:rFonts w:ascii="宋体" w:eastAsia="宋体" w:hAnsi="宋体" w:cs="Calibri" w:hint="eastAsia"/>
          <w:color w:val="000000"/>
          <w:kern w:val="0"/>
          <w:szCs w:val="21"/>
        </w:rPr>
        <w:t>95561</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网址：</w:t>
      </w:r>
      <w:r>
        <w:rPr>
          <w:rFonts w:ascii="宋体" w:eastAsia="宋体" w:hAnsi="宋体" w:cs="Calibri" w:hint="eastAsia"/>
          <w:color w:val="000000"/>
          <w:kern w:val="0"/>
          <w:szCs w:val="21"/>
        </w:rPr>
        <w:t>www.cib.com.cn</w:t>
      </w:r>
    </w:p>
    <w:p w:rsidR="001A09EE" w:rsidRDefault="001A09EE">
      <w:pPr>
        <w:widowControl/>
        <w:shd w:val="clear" w:color="auto" w:fill="FFFFFF"/>
        <w:spacing w:line="360" w:lineRule="auto"/>
        <w:ind w:firstLine="420"/>
        <w:jc w:val="left"/>
        <w:rPr>
          <w:rFonts w:ascii="宋体" w:eastAsia="宋体" w:hAnsi="宋体" w:cs="Calibri"/>
          <w:color w:val="000000"/>
          <w:kern w:val="0"/>
          <w:szCs w:val="21"/>
        </w:rPr>
      </w:pPr>
    </w:p>
    <w:p w:rsidR="001A09EE" w:rsidRDefault="008C6803">
      <w:pPr>
        <w:widowControl/>
        <w:spacing w:line="360" w:lineRule="auto"/>
        <w:ind w:firstLineChars="200"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者可以通过上述销售机构办理相关基金的申购、赎回、转换及定投业务。业务办理的具体程序，以销售机构相关规定为准。同时，投资者办理相关基金转换业务适用转换范围，请参考本公司相关公告及业务规则。</w:t>
      </w:r>
    </w:p>
    <w:p w:rsidR="001A09EE" w:rsidRDefault="001A09EE">
      <w:pPr>
        <w:widowControl/>
        <w:spacing w:line="360" w:lineRule="auto"/>
        <w:ind w:leftChars="200" w:left="420"/>
        <w:jc w:val="left"/>
        <w:rPr>
          <w:rFonts w:ascii="宋体" w:eastAsia="宋体" w:hAnsi="宋体" w:cs="Calibri"/>
          <w:color w:val="000000"/>
          <w:kern w:val="0"/>
          <w:szCs w:val="21"/>
        </w:rPr>
      </w:pPr>
    </w:p>
    <w:p w:rsidR="001A09EE" w:rsidRDefault="008C6803">
      <w:pPr>
        <w:spacing w:line="360" w:lineRule="auto"/>
        <w:ind w:firstLineChars="200" w:firstLine="420"/>
        <w:jc w:val="left"/>
      </w:pPr>
      <w:r>
        <w:rPr>
          <w:rFonts w:ascii="宋体" w:eastAsia="宋体" w:hAnsi="宋体" w:cs="Calibri" w:hint="eastAsia"/>
          <w:color w:val="000000"/>
          <w:kern w:val="0"/>
          <w:szCs w:val="21"/>
        </w:rPr>
        <w:t>三、</w:t>
      </w:r>
      <w:r>
        <w:t>优惠</w:t>
      </w:r>
      <w:r>
        <w:rPr>
          <w:rFonts w:hint="eastAsia"/>
        </w:rPr>
        <w:t>活动内容</w:t>
      </w:r>
    </w:p>
    <w:p w:rsidR="001A09EE" w:rsidRDefault="008C6803">
      <w:pPr>
        <w:spacing w:line="360" w:lineRule="auto"/>
        <w:ind w:firstLineChars="200" w:firstLine="420"/>
        <w:jc w:val="left"/>
      </w:pPr>
      <w:r>
        <w:rPr>
          <w:rFonts w:hint="eastAsia"/>
        </w:rPr>
        <w:t>活动期间，投资者通过</w:t>
      </w:r>
      <w:r>
        <w:rPr>
          <w:rFonts w:hint="eastAsia"/>
        </w:rPr>
        <w:t>兴业银行</w:t>
      </w:r>
      <w:r>
        <w:rPr>
          <w:rFonts w:hint="eastAsia"/>
        </w:rPr>
        <w:t>一次性申购或定期定额投资申购本公司上述基金（限前端收费模式），享有费率折扣优惠。本次费率优惠活动如有展期、终止或调整，费率优惠规则如有变更，均以销售机构的安排和规定为准。</w:t>
      </w:r>
    </w:p>
    <w:p w:rsidR="001A09EE" w:rsidRDefault="001A09EE">
      <w:pPr>
        <w:widowControl/>
        <w:spacing w:line="360" w:lineRule="auto"/>
        <w:ind w:leftChars="200" w:left="420"/>
        <w:jc w:val="left"/>
        <w:rPr>
          <w:rFonts w:ascii="宋体" w:eastAsia="宋体" w:hAnsi="宋体" w:cs="Calibri"/>
          <w:color w:val="000000"/>
          <w:kern w:val="0"/>
          <w:szCs w:val="21"/>
        </w:rPr>
      </w:pPr>
    </w:p>
    <w:p w:rsidR="001A09EE" w:rsidRDefault="008C6803">
      <w:pPr>
        <w:spacing w:line="360" w:lineRule="auto"/>
        <w:ind w:firstLineChars="200" w:firstLine="420"/>
        <w:jc w:val="left"/>
      </w:pPr>
      <w:r>
        <w:rPr>
          <w:rFonts w:hint="eastAsia"/>
        </w:rPr>
        <w:t>四、重要提示</w:t>
      </w:r>
    </w:p>
    <w:p w:rsidR="001A09EE" w:rsidRDefault="008C6803">
      <w:pPr>
        <w:spacing w:line="360" w:lineRule="auto"/>
        <w:ind w:firstLineChars="200" w:firstLine="420"/>
        <w:jc w:val="left"/>
      </w:pPr>
      <w:r>
        <w:rPr>
          <w:rFonts w:hint="eastAsia"/>
        </w:rPr>
        <w:t>1</w:t>
      </w:r>
      <w:r>
        <w:rPr>
          <w:rFonts w:hint="eastAsia"/>
        </w:rPr>
        <w:t>、本优惠活动仅适用于正常申购期基金的一次性申购手续费和定期定额投资申购手续费，不包括上述基金的后端收费模式的申购手续费，对于大额申购采用固定费用方式收费的基金不参与折扣活动。</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hint="eastAsia"/>
        </w:rPr>
        <w:t>2</w:t>
      </w:r>
      <w:r>
        <w:rPr>
          <w:rFonts w:hint="eastAsia"/>
        </w:rPr>
        <w:t>、</w:t>
      </w:r>
      <w:r>
        <w:rPr>
          <w:rFonts w:ascii="宋体" w:eastAsia="宋体" w:hAnsi="宋体" w:cs="Calibri" w:hint="eastAsia"/>
          <w:color w:val="000000"/>
          <w:kern w:val="0"/>
          <w:szCs w:val="21"/>
        </w:rPr>
        <w:t>上述基金原申购费率标准请详见上述基金相关法律文件及本公司发布的最新业务公告。</w:t>
      </w:r>
    </w:p>
    <w:p w:rsidR="001A09EE" w:rsidRDefault="008C6803">
      <w:pPr>
        <w:spacing w:line="360" w:lineRule="auto"/>
        <w:ind w:firstLineChars="200" w:firstLine="420"/>
        <w:jc w:val="left"/>
      </w:pPr>
      <w:r>
        <w:t>3</w:t>
      </w:r>
      <w:r>
        <w:rPr>
          <w:rFonts w:hint="eastAsia"/>
        </w:rPr>
        <w:t>、该活动解释权归本公司及代销机构所有。有关本次活动的具体规定如有变化，敬请</w:t>
      </w:r>
      <w:r>
        <w:rPr>
          <w:rFonts w:hint="eastAsia"/>
        </w:rPr>
        <w:lastRenderedPageBreak/>
        <w:t>投资者留意本公司及代销机构的相关公告。</w:t>
      </w:r>
    </w:p>
    <w:p w:rsidR="001A09EE" w:rsidRDefault="001A09EE">
      <w:pPr>
        <w:widowControl/>
        <w:shd w:val="clear" w:color="auto" w:fill="FFFFFF"/>
        <w:spacing w:line="360" w:lineRule="auto"/>
        <w:jc w:val="left"/>
        <w:rPr>
          <w:rFonts w:ascii="宋体" w:eastAsia="宋体" w:hAnsi="宋体" w:cs="Calibri"/>
          <w:color w:val="000000"/>
          <w:kern w:val="0"/>
          <w:szCs w:val="21"/>
        </w:rPr>
      </w:pP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风险提示：</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基金产品资料概要</w:t>
      </w:r>
      <w:r>
        <w:rPr>
          <w:rFonts w:ascii="宋体" w:eastAsia="宋体" w:hAnsi="宋体" w:cs="Calibri" w:hint="eastAsia"/>
          <w:color w:val="000000"/>
          <w:kern w:val="0"/>
          <w:szCs w:val="21"/>
        </w:rPr>
        <w:t>》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1A09EE" w:rsidRDefault="008C6803">
      <w:pPr>
        <w:widowControl/>
        <w:shd w:val="clear" w:color="auto" w:fill="FFFFFF"/>
        <w:spacing w:line="360" w:lineRule="auto"/>
        <w:ind w:firstLine="420"/>
        <w:jc w:val="left"/>
        <w:rPr>
          <w:rFonts w:ascii="宋体" w:eastAsia="宋体" w:hAnsi="宋体" w:cs="Calibri"/>
          <w:color w:val="000000"/>
          <w:kern w:val="0"/>
          <w:szCs w:val="21"/>
        </w:rPr>
      </w:pPr>
      <w:r>
        <w:rPr>
          <w:rFonts w:ascii="宋体" w:eastAsia="宋体" w:hAnsi="宋体" w:cs="Calibri" w:hint="eastAsia"/>
          <w:color w:val="000000"/>
          <w:kern w:val="0"/>
          <w:szCs w:val="21"/>
        </w:rPr>
        <w:t>特此公告。</w:t>
      </w:r>
    </w:p>
    <w:p w:rsidR="001A09EE" w:rsidRDefault="008C680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1A09EE" w:rsidRDefault="008C6803">
      <w:pPr>
        <w:widowControl/>
        <w:shd w:val="clear" w:color="auto" w:fill="FFFFFF"/>
        <w:spacing w:line="360" w:lineRule="auto"/>
        <w:jc w:val="left"/>
        <w:rPr>
          <w:rFonts w:ascii="宋体" w:eastAsia="宋体" w:hAnsi="宋体" w:cs="Calibri"/>
          <w:color w:val="000000"/>
          <w:kern w:val="0"/>
          <w:szCs w:val="21"/>
        </w:rPr>
      </w:pPr>
      <w:r>
        <w:rPr>
          <w:rFonts w:ascii="宋体" w:eastAsia="宋体" w:hAnsi="宋体" w:cs="Calibri"/>
          <w:color w:val="000000"/>
          <w:kern w:val="0"/>
          <w:szCs w:val="21"/>
        </w:rPr>
        <w:t> </w:t>
      </w:r>
    </w:p>
    <w:p w:rsidR="001A09EE" w:rsidRDefault="008C6803">
      <w:pPr>
        <w:widowControl/>
        <w:shd w:val="clear" w:color="auto" w:fill="FFFFFF"/>
        <w:spacing w:line="360" w:lineRule="auto"/>
        <w:ind w:firstLine="420"/>
        <w:jc w:val="right"/>
        <w:rPr>
          <w:rFonts w:ascii="宋体" w:eastAsia="宋体" w:hAnsi="宋体" w:cs="Calibri"/>
          <w:color w:val="000000"/>
          <w:kern w:val="0"/>
          <w:szCs w:val="21"/>
        </w:rPr>
      </w:pPr>
      <w:r>
        <w:rPr>
          <w:rFonts w:ascii="宋体" w:eastAsia="宋体" w:hAnsi="宋体" w:cs="Calibri" w:hint="eastAsia"/>
          <w:color w:val="000000"/>
          <w:kern w:val="0"/>
          <w:szCs w:val="21"/>
        </w:rPr>
        <w:t>富荣基金管理有限公司</w:t>
      </w:r>
    </w:p>
    <w:p w:rsidR="001A09EE" w:rsidRDefault="008C6803">
      <w:pPr>
        <w:widowControl/>
        <w:shd w:val="clear" w:color="auto" w:fill="FFFFFF"/>
        <w:wordWrap w:val="0"/>
        <w:spacing w:line="360" w:lineRule="auto"/>
        <w:jc w:val="right"/>
        <w:rPr>
          <w:rFonts w:ascii="宋体" w:eastAsia="宋体" w:hAnsi="宋体" w:cs="Calibri"/>
          <w:color w:val="000000"/>
          <w:kern w:val="0"/>
          <w:szCs w:val="21"/>
        </w:rPr>
      </w:pPr>
      <w:r>
        <w:rPr>
          <w:rFonts w:ascii="宋体" w:eastAsia="宋体" w:hAnsi="宋体" w:cs="Calibri" w:hint="eastAsia"/>
          <w:color w:val="000000"/>
          <w:kern w:val="0"/>
          <w:szCs w:val="21"/>
        </w:rPr>
        <w:t>二○二</w:t>
      </w:r>
      <w:r>
        <w:rPr>
          <w:rFonts w:ascii="宋体" w:eastAsia="宋体" w:hAnsi="宋体" w:cs="Calibri" w:hint="eastAsia"/>
          <w:color w:val="000000"/>
          <w:kern w:val="0"/>
          <w:szCs w:val="21"/>
        </w:rPr>
        <w:t>四</w:t>
      </w:r>
      <w:r>
        <w:rPr>
          <w:rFonts w:ascii="宋体" w:eastAsia="宋体" w:hAnsi="宋体" w:cs="Calibri" w:hint="eastAsia"/>
          <w:color w:val="000000"/>
          <w:kern w:val="0"/>
          <w:szCs w:val="21"/>
        </w:rPr>
        <w:t>年</w:t>
      </w:r>
      <w:r>
        <w:rPr>
          <w:rFonts w:ascii="宋体" w:eastAsia="宋体" w:hAnsi="宋体" w:cs="Calibri" w:hint="eastAsia"/>
          <w:color w:val="000000"/>
          <w:kern w:val="0"/>
          <w:szCs w:val="21"/>
        </w:rPr>
        <w:t>七</w:t>
      </w:r>
      <w:r>
        <w:rPr>
          <w:rFonts w:ascii="宋体" w:eastAsia="宋体" w:hAnsi="宋体" w:cs="Calibri" w:hint="eastAsia"/>
          <w:color w:val="000000"/>
          <w:kern w:val="0"/>
          <w:szCs w:val="21"/>
        </w:rPr>
        <w:t>月</w:t>
      </w:r>
      <w:r>
        <w:rPr>
          <w:rFonts w:ascii="宋体" w:eastAsia="宋体" w:hAnsi="宋体" w:cs="Calibri" w:hint="eastAsia"/>
          <w:color w:val="000000"/>
          <w:kern w:val="0"/>
          <w:szCs w:val="21"/>
        </w:rPr>
        <w:t>三十</w:t>
      </w:r>
      <w:bookmarkStart w:id="0" w:name="_GoBack"/>
      <w:bookmarkEnd w:id="0"/>
      <w:r>
        <w:rPr>
          <w:rFonts w:ascii="宋体" w:eastAsia="宋体" w:hAnsi="宋体" w:cs="Calibri" w:hint="eastAsia"/>
          <w:color w:val="000000"/>
          <w:kern w:val="0"/>
          <w:szCs w:val="21"/>
        </w:rPr>
        <w:t>日</w:t>
      </w:r>
    </w:p>
    <w:sectPr w:rsidR="001A09EE" w:rsidSect="001A09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k1ZDdmZTkxYTc4Njg1OTczNGFlZDIwMDVlZGYwMjEifQ=="/>
  </w:docVars>
  <w:rsids>
    <w:rsidRoot w:val="005F0FF9"/>
    <w:rsid w:val="000063A6"/>
    <w:rsid w:val="00010E32"/>
    <w:rsid w:val="00012B45"/>
    <w:rsid w:val="00036567"/>
    <w:rsid w:val="00041473"/>
    <w:rsid w:val="00047C93"/>
    <w:rsid w:val="0005325C"/>
    <w:rsid w:val="00053447"/>
    <w:rsid w:val="00066E81"/>
    <w:rsid w:val="000845D6"/>
    <w:rsid w:val="000866CD"/>
    <w:rsid w:val="000A19F7"/>
    <w:rsid w:val="000A37C3"/>
    <w:rsid w:val="000B7D03"/>
    <w:rsid w:val="000C2998"/>
    <w:rsid w:val="000C4780"/>
    <w:rsid w:val="000D3390"/>
    <w:rsid w:val="000D435D"/>
    <w:rsid w:val="000E0433"/>
    <w:rsid w:val="000F38A5"/>
    <w:rsid w:val="000F45A7"/>
    <w:rsid w:val="000F55D3"/>
    <w:rsid w:val="001012B4"/>
    <w:rsid w:val="00105708"/>
    <w:rsid w:val="001128C8"/>
    <w:rsid w:val="00122CE1"/>
    <w:rsid w:val="00134BDD"/>
    <w:rsid w:val="00135159"/>
    <w:rsid w:val="00137189"/>
    <w:rsid w:val="00142495"/>
    <w:rsid w:val="00144909"/>
    <w:rsid w:val="00147917"/>
    <w:rsid w:val="001500A9"/>
    <w:rsid w:val="00153B98"/>
    <w:rsid w:val="00153D29"/>
    <w:rsid w:val="0015492E"/>
    <w:rsid w:val="00161C3C"/>
    <w:rsid w:val="0016440B"/>
    <w:rsid w:val="00164F8D"/>
    <w:rsid w:val="0017005E"/>
    <w:rsid w:val="00185799"/>
    <w:rsid w:val="00186642"/>
    <w:rsid w:val="00192984"/>
    <w:rsid w:val="001A08E9"/>
    <w:rsid w:val="001A09EE"/>
    <w:rsid w:val="001D5D31"/>
    <w:rsid w:val="001E2726"/>
    <w:rsid w:val="001F5024"/>
    <w:rsid w:val="001F7AF7"/>
    <w:rsid w:val="0020452E"/>
    <w:rsid w:val="00211961"/>
    <w:rsid w:val="00222108"/>
    <w:rsid w:val="00231B53"/>
    <w:rsid w:val="00273DA4"/>
    <w:rsid w:val="0029219E"/>
    <w:rsid w:val="002A313C"/>
    <w:rsid w:val="002B12E2"/>
    <w:rsid w:val="002C0B82"/>
    <w:rsid w:val="002D7C8B"/>
    <w:rsid w:val="002E39DF"/>
    <w:rsid w:val="002E61A1"/>
    <w:rsid w:val="002E7AE9"/>
    <w:rsid w:val="00307FB6"/>
    <w:rsid w:val="0031076A"/>
    <w:rsid w:val="003157F5"/>
    <w:rsid w:val="003158A0"/>
    <w:rsid w:val="00322FC0"/>
    <w:rsid w:val="0032369D"/>
    <w:rsid w:val="003245A6"/>
    <w:rsid w:val="00335551"/>
    <w:rsid w:val="003466AF"/>
    <w:rsid w:val="00360A56"/>
    <w:rsid w:val="003648F6"/>
    <w:rsid w:val="00372C7B"/>
    <w:rsid w:val="00382A5D"/>
    <w:rsid w:val="00387EA3"/>
    <w:rsid w:val="0039784A"/>
    <w:rsid w:val="003A65B9"/>
    <w:rsid w:val="003C4AD5"/>
    <w:rsid w:val="0040304A"/>
    <w:rsid w:val="004063E7"/>
    <w:rsid w:val="00407342"/>
    <w:rsid w:val="0041332B"/>
    <w:rsid w:val="004228D4"/>
    <w:rsid w:val="00431B29"/>
    <w:rsid w:val="00432895"/>
    <w:rsid w:val="00444DE4"/>
    <w:rsid w:val="00452D24"/>
    <w:rsid w:val="00461C90"/>
    <w:rsid w:val="00493B0F"/>
    <w:rsid w:val="00497AE9"/>
    <w:rsid w:val="004A0701"/>
    <w:rsid w:val="004A78C5"/>
    <w:rsid w:val="004B521F"/>
    <w:rsid w:val="004C1531"/>
    <w:rsid w:val="004E0BDC"/>
    <w:rsid w:val="004E6304"/>
    <w:rsid w:val="00506369"/>
    <w:rsid w:val="00510AEC"/>
    <w:rsid w:val="00517EC1"/>
    <w:rsid w:val="005215A5"/>
    <w:rsid w:val="005232AA"/>
    <w:rsid w:val="00524EFE"/>
    <w:rsid w:val="00531823"/>
    <w:rsid w:val="00531F61"/>
    <w:rsid w:val="00540B51"/>
    <w:rsid w:val="00540EA3"/>
    <w:rsid w:val="00547ADC"/>
    <w:rsid w:val="005516CE"/>
    <w:rsid w:val="00554BFE"/>
    <w:rsid w:val="00564E78"/>
    <w:rsid w:val="00576669"/>
    <w:rsid w:val="00584F5E"/>
    <w:rsid w:val="00586C7A"/>
    <w:rsid w:val="005873F3"/>
    <w:rsid w:val="00593630"/>
    <w:rsid w:val="00594061"/>
    <w:rsid w:val="00595635"/>
    <w:rsid w:val="005A2A8F"/>
    <w:rsid w:val="005A730C"/>
    <w:rsid w:val="005B1D53"/>
    <w:rsid w:val="005B4903"/>
    <w:rsid w:val="005B5906"/>
    <w:rsid w:val="005B5CED"/>
    <w:rsid w:val="005E26B5"/>
    <w:rsid w:val="005F0FF9"/>
    <w:rsid w:val="00624915"/>
    <w:rsid w:val="00626DF6"/>
    <w:rsid w:val="00634A21"/>
    <w:rsid w:val="0065319A"/>
    <w:rsid w:val="006568AE"/>
    <w:rsid w:val="00662005"/>
    <w:rsid w:val="006670A6"/>
    <w:rsid w:val="006715C2"/>
    <w:rsid w:val="006743CD"/>
    <w:rsid w:val="00686AEB"/>
    <w:rsid w:val="00692B3F"/>
    <w:rsid w:val="00694708"/>
    <w:rsid w:val="006A0E1E"/>
    <w:rsid w:val="006A5027"/>
    <w:rsid w:val="006A79EC"/>
    <w:rsid w:val="006C3287"/>
    <w:rsid w:val="006D31A7"/>
    <w:rsid w:val="006D69E0"/>
    <w:rsid w:val="006F4B7D"/>
    <w:rsid w:val="00705727"/>
    <w:rsid w:val="00733EFE"/>
    <w:rsid w:val="00750AA8"/>
    <w:rsid w:val="00752953"/>
    <w:rsid w:val="00757E7C"/>
    <w:rsid w:val="00762507"/>
    <w:rsid w:val="00776B22"/>
    <w:rsid w:val="00782179"/>
    <w:rsid w:val="007872D0"/>
    <w:rsid w:val="00796FD5"/>
    <w:rsid w:val="007A2D93"/>
    <w:rsid w:val="007C6EB5"/>
    <w:rsid w:val="007E429E"/>
    <w:rsid w:val="007E6C57"/>
    <w:rsid w:val="007F0B92"/>
    <w:rsid w:val="007F1B88"/>
    <w:rsid w:val="00814468"/>
    <w:rsid w:val="00815249"/>
    <w:rsid w:val="00817554"/>
    <w:rsid w:val="008303D1"/>
    <w:rsid w:val="00835926"/>
    <w:rsid w:val="00845099"/>
    <w:rsid w:val="00846E74"/>
    <w:rsid w:val="00847904"/>
    <w:rsid w:val="00850F93"/>
    <w:rsid w:val="00862A8E"/>
    <w:rsid w:val="00864504"/>
    <w:rsid w:val="008729D0"/>
    <w:rsid w:val="00881E6A"/>
    <w:rsid w:val="0088220E"/>
    <w:rsid w:val="0088331C"/>
    <w:rsid w:val="00885459"/>
    <w:rsid w:val="00887103"/>
    <w:rsid w:val="00891162"/>
    <w:rsid w:val="00897622"/>
    <w:rsid w:val="008B5617"/>
    <w:rsid w:val="008B7D62"/>
    <w:rsid w:val="008C38A2"/>
    <w:rsid w:val="008C6803"/>
    <w:rsid w:val="008E65BB"/>
    <w:rsid w:val="008F297F"/>
    <w:rsid w:val="008F4AC6"/>
    <w:rsid w:val="00904391"/>
    <w:rsid w:val="00913894"/>
    <w:rsid w:val="009167E2"/>
    <w:rsid w:val="00917F6C"/>
    <w:rsid w:val="00926B3F"/>
    <w:rsid w:val="0092733B"/>
    <w:rsid w:val="00933EAB"/>
    <w:rsid w:val="00941D1E"/>
    <w:rsid w:val="00951C6F"/>
    <w:rsid w:val="00957396"/>
    <w:rsid w:val="00960151"/>
    <w:rsid w:val="00966751"/>
    <w:rsid w:val="009678FB"/>
    <w:rsid w:val="009816CB"/>
    <w:rsid w:val="00982575"/>
    <w:rsid w:val="00984BC3"/>
    <w:rsid w:val="009927DC"/>
    <w:rsid w:val="0099332B"/>
    <w:rsid w:val="009C27D6"/>
    <w:rsid w:val="009C70A8"/>
    <w:rsid w:val="009E35B6"/>
    <w:rsid w:val="009E5DC3"/>
    <w:rsid w:val="00A066C7"/>
    <w:rsid w:val="00A145CB"/>
    <w:rsid w:val="00A1468E"/>
    <w:rsid w:val="00A16F6F"/>
    <w:rsid w:val="00A2059D"/>
    <w:rsid w:val="00A30588"/>
    <w:rsid w:val="00A4417E"/>
    <w:rsid w:val="00A4467A"/>
    <w:rsid w:val="00A47EEB"/>
    <w:rsid w:val="00A534AC"/>
    <w:rsid w:val="00A53889"/>
    <w:rsid w:val="00A60441"/>
    <w:rsid w:val="00A608FE"/>
    <w:rsid w:val="00A76ED2"/>
    <w:rsid w:val="00A81542"/>
    <w:rsid w:val="00AA4F88"/>
    <w:rsid w:val="00AA7BAC"/>
    <w:rsid w:val="00AB67C6"/>
    <w:rsid w:val="00AC0F9B"/>
    <w:rsid w:val="00AC2611"/>
    <w:rsid w:val="00AD37E8"/>
    <w:rsid w:val="00AF5292"/>
    <w:rsid w:val="00B013AF"/>
    <w:rsid w:val="00B06163"/>
    <w:rsid w:val="00B103C3"/>
    <w:rsid w:val="00B40BB8"/>
    <w:rsid w:val="00B4754E"/>
    <w:rsid w:val="00B47DFC"/>
    <w:rsid w:val="00B54E29"/>
    <w:rsid w:val="00B664EE"/>
    <w:rsid w:val="00B80FCC"/>
    <w:rsid w:val="00B87F62"/>
    <w:rsid w:val="00B95086"/>
    <w:rsid w:val="00BA101F"/>
    <w:rsid w:val="00BA2C2B"/>
    <w:rsid w:val="00BB24BB"/>
    <w:rsid w:val="00BB2B6F"/>
    <w:rsid w:val="00BC14D6"/>
    <w:rsid w:val="00BC3C12"/>
    <w:rsid w:val="00BC3D8A"/>
    <w:rsid w:val="00BD2690"/>
    <w:rsid w:val="00BF0517"/>
    <w:rsid w:val="00BF7F4A"/>
    <w:rsid w:val="00C1570B"/>
    <w:rsid w:val="00C204F1"/>
    <w:rsid w:val="00C24E72"/>
    <w:rsid w:val="00C4239D"/>
    <w:rsid w:val="00C62665"/>
    <w:rsid w:val="00C657B9"/>
    <w:rsid w:val="00C66D14"/>
    <w:rsid w:val="00C8577C"/>
    <w:rsid w:val="00C915F4"/>
    <w:rsid w:val="00C92118"/>
    <w:rsid w:val="00C941E5"/>
    <w:rsid w:val="00C963BF"/>
    <w:rsid w:val="00C97B54"/>
    <w:rsid w:val="00CA4CFA"/>
    <w:rsid w:val="00CA5728"/>
    <w:rsid w:val="00CA6C4F"/>
    <w:rsid w:val="00CB23F9"/>
    <w:rsid w:val="00CB4B42"/>
    <w:rsid w:val="00CC2255"/>
    <w:rsid w:val="00CC30EF"/>
    <w:rsid w:val="00CE48D6"/>
    <w:rsid w:val="00CF041F"/>
    <w:rsid w:val="00CF34E7"/>
    <w:rsid w:val="00D1031E"/>
    <w:rsid w:val="00D129AB"/>
    <w:rsid w:val="00D14422"/>
    <w:rsid w:val="00D15EDA"/>
    <w:rsid w:val="00D203DF"/>
    <w:rsid w:val="00D26CF2"/>
    <w:rsid w:val="00D275D5"/>
    <w:rsid w:val="00D33650"/>
    <w:rsid w:val="00D462A3"/>
    <w:rsid w:val="00D51CBF"/>
    <w:rsid w:val="00D61D1C"/>
    <w:rsid w:val="00D63A38"/>
    <w:rsid w:val="00D70414"/>
    <w:rsid w:val="00D70BF7"/>
    <w:rsid w:val="00D77088"/>
    <w:rsid w:val="00D772A5"/>
    <w:rsid w:val="00D80774"/>
    <w:rsid w:val="00D842FC"/>
    <w:rsid w:val="00D87D0D"/>
    <w:rsid w:val="00D969DF"/>
    <w:rsid w:val="00DA00DE"/>
    <w:rsid w:val="00DC1837"/>
    <w:rsid w:val="00DC2D68"/>
    <w:rsid w:val="00DC51DA"/>
    <w:rsid w:val="00DE16FC"/>
    <w:rsid w:val="00DE5A26"/>
    <w:rsid w:val="00DE5CC1"/>
    <w:rsid w:val="00DE77B3"/>
    <w:rsid w:val="00DF5D70"/>
    <w:rsid w:val="00E022BF"/>
    <w:rsid w:val="00E12E40"/>
    <w:rsid w:val="00E17BC7"/>
    <w:rsid w:val="00E2674D"/>
    <w:rsid w:val="00E327EA"/>
    <w:rsid w:val="00E35CB7"/>
    <w:rsid w:val="00E4200A"/>
    <w:rsid w:val="00E42FE9"/>
    <w:rsid w:val="00E44BD4"/>
    <w:rsid w:val="00E472B0"/>
    <w:rsid w:val="00E70217"/>
    <w:rsid w:val="00E77DE5"/>
    <w:rsid w:val="00E83C85"/>
    <w:rsid w:val="00E95FDE"/>
    <w:rsid w:val="00EA291B"/>
    <w:rsid w:val="00EB60AC"/>
    <w:rsid w:val="00ED38AD"/>
    <w:rsid w:val="00EE6842"/>
    <w:rsid w:val="00EF7D90"/>
    <w:rsid w:val="00F00FA0"/>
    <w:rsid w:val="00F07918"/>
    <w:rsid w:val="00F27967"/>
    <w:rsid w:val="00F32A0E"/>
    <w:rsid w:val="00F36946"/>
    <w:rsid w:val="00F5032A"/>
    <w:rsid w:val="00F534D8"/>
    <w:rsid w:val="00F537EC"/>
    <w:rsid w:val="00F76845"/>
    <w:rsid w:val="00F86927"/>
    <w:rsid w:val="00F87967"/>
    <w:rsid w:val="00F91631"/>
    <w:rsid w:val="00F95946"/>
    <w:rsid w:val="00FA340E"/>
    <w:rsid w:val="00FA7DDC"/>
    <w:rsid w:val="00FB3174"/>
    <w:rsid w:val="00FB64C6"/>
    <w:rsid w:val="00FC13F1"/>
    <w:rsid w:val="00FD0E25"/>
    <w:rsid w:val="00FD2B2C"/>
    <w:rsid w:val="00FD3084"/>
    <w:rsid w:val="00FE36B1"/>
    <w:rsid w:val="00FE5065"/>
    <w:rsid w:val="00FF19A2"/>
    <w:rsid w:val="00FF23DB"/>
    <w:rsid w:val="00FF5914"/>
    <w:rsid w:val="038832EC"/>
    <w:rsid w:val="0D701199"/>
    <w:rsid w:val="19BF4DB7"/>
    <w:rsid w:val="1F1C3BAF"/>
    <w:rsid w:val="21752A45"/>
    <w:rsid w:val="225E5933"/>
    <w:rsid w:val="25BC272B"/>
    <w:rsid w:val="26A0451A"/>
    <w:rsid w:val="26DB31B1"/>
    <w:rsid w:val="273F60A6"/>
    <w:rsid w:val="28882B05"/>
    <w:rsid w:val="29C62208"/>
    <w:rsid w:val="2B702C22"/>
    <w:rsid w:val="2C9220DA"/>
    <w:rsid w:val="33F61188"/>
    <w:rsid w:val="350D52D0"/>
    <w:rsid w:val="358643DE"/>
    <w:rsid w:val="3B55612D"/>
    <w:rsid w:val="3DA804C5"/>
    <w:rsid w:val="3F672502"/>
    <w:rsid w:val="42E46BA5"/>
    <w:rsid w:val="444C2BAD"/>
    <w:rsid w:val="47796DDA"/>
    <w:rsid w:val="48195F83"/>
    <w:rsid w:val="4B9425A7"/>
    <w:rsid w:val="4C21754B"/>
    <w:rsid w:val="4C3D72CE"/>
    <w:rsid w:val="4EA73064"/>
    <w:rsid w:val="5065520B"/>
    <w:rsid w:val="50DF560F"/>
    <w:rsid w:val="547C510B"/>
    <w:rsid w:val="57556680"/>
    <w:rsid w:val="5A446194"/>
    <w:rsid w:val="5B486DCE"/>
    <w:rsid w:val="614702AB"/>
    <w:rsid w:val="618010AA"/>
    <w:rsid w:val="62731B54"/>
    <w:rsid w:val="66B27F22"/>
    <w:rsid w:val="67BB4BB4"/>
    <w:rsid w:val="6A7F6677"/>
    <w:rsid w:val="6C160B26"/>
    <w:rsid w:val="70BA3EAB"/>
    <w:rsid w:val="782A06EE"/>
    <w:rsid w:val="799E7C8D"/>
    <w:rsid w:val="79B921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9E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A09EE"/>
    <w:rPr>
      <w:rFonts w:ascii="宋体" w:eastAsia="宋体"/>
      <w:sz w:val="18"/>
      <w:szCs w:val="18"/>
    </w:rPr>
  </w:style>
  <w:style w:type="paragraph" w:styleId="a4">
    <w:name w:val="annotation text"/>
    <w:basedOn w:val="a"/>
    <w:link w:val="Char0"/>
    <w:uiPriority w:val="99"/>
    <w:semiHidden/>
    <w:unhideWhenUsed/>
    <w:qFormat/>
    <w:rsid w:val="001A09EE"/>
    <w:pPr>
      <w:jc w:val="left"/>
    </w:pPr>
  </w:style>
  <w:style w:type="paragraph" w:styleId="a5">
    <w:name w:val="Balloon Text"/>
    <w:basedOn w:val="a"/>
    <w:link w:val="Char1"/>
    <w:uiPriority w:val="99"/>
    <w:semiHidden/>
    <w:unhideWhenUsed/>
    <w:qFormat/>
    <w:rsid w:val="001A09EE"/>
    <w:rPr>
      <w:sz w:val="18"/>
      <w:szCs w:val="18"/>
    </w:rPr>
  </w:style>
  <w:style w:type="paragraph" w:styleId="a6">
    <w:name w:val="footer"/>
    <w:basedOn w:val="a"/>
    <w:link w:val="Char2"/>
    <w:uiPriority w:val="99"/>
    <w:unhideWhenUsed/>
    <w:qFormat/>
    <w:rsid w:val="001A09E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A09E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1A09EE"/>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1A09EE"/>
    <w:rPr>
      <w:b/>
      <w:bCs/>
    </w:rPr>
  </w:style>
  <w:style w:type="character" w:styleId="aa">
    <w:name w:val="Hyperlink"/>
    <w:uiPriority w:val="99"/>
    <w:unhideWhenUsed/>
    <w:qFormat/>
    <w:rsid w:val="001A09EE"/>
    <w:rPr>
      <w:color w:val="0000FF"/>
      <w:u w:val="single"/>
    </w:rPr>
  </w:style>
  <w:style w:type="character" w:styleId="ab">
    <w:name w:val="annotation reference"/>
    <w:basedOn w:val="a0"/>
    <w:uiPriority w:val="99"/>
    <w:semiHidden/>
    <w:unhideWhenUsed/>
    <w:qFormat/>
    <w:rsid w:val="001A09EE"/>
    <w:rPr>
      <w:sz w:val="21"/>
      <w:szCs w:val="21"/>
    </w:rPr>
  </w:style>
  <w:style w:type="paragraph" w:customStyle="1" w:styleId="source-date1">
    <w:name w:val="source-date1"/>
    <w:basedOn w:val="a"/>
    <w:qFormat/>
    <w:rsid w:val="001A09EE"/>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customStyle="1" w:styleId="Char0">
    <w:name w:val="批注文字 Char"/>
    <w:basedOn w:val="a0"/>
    <w:link w:val="a4"/>
    <w:uiPriority w:val="99"/>
    <w:semiHidden/>
    <w:qFormat/>
    <w:rsid w:val="001A09EE"/>
  </w:style>
  <w:style w:type="character" w:customStyle="1" w:styleId="Char4">
    <w:name w:val="批注主题 Char"/>
    <w:basedOn w:val="Char0"/>
    <w:link w:val="a9"/>
    <w:uiPriority w:val="99"/>
    <w:semiHidden/>
    <w:qFormat/>
    <w:rsid w:val="001A09EE"/>
    <w:rPr>
      <w:b/>
      <w:bCs/>
    </w:rPr>
  </w:style>
  <w:style w:type="character" w:customStyle="1" w:styleId="Char1">
    <w:name w:val="批注框文本 Char"/>
    <w:basedOn w:val="a0"/>
    <w:link w:val="a5"/>
    <w:uiPriority w:val="99"/>
    <w:semiHidden/>
    <w:qFormat/>
    <w:rsid w:val="001A09EE"/>
    <w:rPr>
      <w:sz w:val="18"/>
      <w:szCs w:val="18"/>
    </w:rPr>
  </w:style>
  <w:style w:type="character" w:customStyle="1" w:styleId="Char3">
    <w:name w:val="页眉 Char"/>
    <w:basedOn w:val="a0"/>
    <w:link w:val="a7"/>
    <w:uiPriority w:val="99"/>
    <w:qFormat/>
    <w:rsid w:val="001A09EE"/>
    <w:rPr>
      <w:sz w:val="18"/>
      <w:szCs w:val="18"/>
    </w:rPr>
  </w:style>
  <w:style w:type="character" w:customStyle="1" w:styleId="Char2">
    <w:name w:val="页脚 Char"/>
    <w:basedOn w:val="a0"/>
    <w:link w:val="a6"/>
    <w:uiPriority w:val="99"/>
    <w:qFormat/>
    <w:rsid w:val="001A09EE"/>
    <w:rPr>
      <w:sz w:val="18"/>
      <w:szCs w:val="18"/>
    </w:rPr>
  </w:style>
  <w:style w:type="character" w:customStyle="1" w:styleId="Char">
    <w:name w:val="文档结构图 Char"/>
    <w:basedOn w:val="a0"/>
    <w:link w:val="a3"/>
    <w:uiPriority w:val="99"/>
    <w:semiHidden/>
    <w:qFormat/>
    <w:rsid w:val="001A09EE"/>
    <w:rPr>
      <w:rFonts w:ascii="宋体" w:eastAsia="宋体"/>
      <w:sz w:val="18"/>
      <w:szCs w:val="18"/>
    </w:rPr>
  </w:style>
  <w:style w:type="paragraph" w:customStyle="1" w:styleId="1">
    <w:name w:val="修订1"/>
    <w:hidden/>
    <w:uiPriority w:val="99"/>
    <w:unhideWhenUsed/>
    <w:qFormat/>
    <w:rsid w:val="001A09EE"/>
    <w:rPr>
      <w:rFonts w:asciiTheme="minorHAnsi" w:eastAsiaTheme="minorEastAsia" w:hAnsiTheme="minorHAnsi" w:cstheme="minorBidi"/>
      <w:kern w:val="2"/>
      <w:sz w:val="21"/>
      <w:szCs w:val="22"/>
    </w:rPr>
  </w:style>
  <w:style w:type="character" w:customStyle="1" w:styleId="10">
    <w:name w:val="不明显强调1"/>
    <w:basedOn w:val="a0"/>
    <w:uiPriority w:val="19"/>
    <w:qFormat/>
    <w:rsid w:val="001A09EE"/>
    <w:rPr>
      <w:i/>
      <w:iCs/>
      <w:color w:val="7F7F7F" w:themeColor="text1" w:themeTint="80"/>
    </w:rPr>
  </w:style>
  <w:style w:type="paragraph" w:customStyle="1" w:styleId="2">
    <w:name w:val="修订2"/>
    <w:hidden/>
    <w:uiPriority w:val="99"/>
    <w:semiHidden/>
    <w:qFormat/>
    <w:rsid w:val="001A09E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16B5-B564-4435-B684-F9E55592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4</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周宁</dc:creator>
  <cp:lastModifiedBy>ZHONGM</cp:lastModifiedBy>
  <cp:revision>2</cp:revision>
  <dcterms:created xsi:type="dcterms:W3CDTF">2024-07-29T16:00:00Z</dcterms:created>
  <dcterms:modified xsi:type="dcterms:W3CDTF">2024-07-29T16:00:00Z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8B41FE439A054C0086F27969331C2CA3_13</vt:lpwstr>
  </property>
</Properties>
</file>