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2A" w:rsidRDefault="006D71F9">
      <w:pPr>
        <w:jc w:val="center"/>
        <w:outlineLvl w:val="0"/>
        <w:rPr>
          <w:rFonts w:ascii="宋体" w:hAnsi="宋体" w:cs="宋体"/>
          <w:b/>
          <w:sz w:val="28"/>
          <w:szCs w:val="28"/>
        </w:rPr>
      </w:pPr>
      <w:r>
        <w:rPr>
          <w:rFonts w:ascii="宋体" w:hAnsi="宋体" w:cs="宋体" w:hint="eastAsia"/>
          <w:b/>
          <w:sz w:val="28"/>
          <w:szCs w:val="28"/>
        </w:rPr>
        <w:t>华泰紫金月月购</w:t>
      </w:r>
      <w:r>
        <w:rPr>
          <w:rFonts w:ascii="宋体" w:hAnsi="宋体" w:cs="宋体" w:hint="eastAsia"/>
          <w:b/>
          <w:sz w:val="28"/>
          <w:szCs w:val="28"/>
        </w:rPr>
        <w:t>3</w:t>
      </w:r>
      <w:r>
        <w:rPr>
          <w:rFonts w:ascii="宋体" w:hAnsi="宋体" w:cs="宋体" w:hint="eastAsia"/>
          <w:b/>
          <w:sz w:val="28"/>
          <w:szCs w:val="28"/>
        </w:rPr>
        <w:t>个月滚动持有债券型证券投资基金</w:t>
      </w:r>
    </w:p>
    <w:p w:rsidR="00017B2A" w:rsidRDefault="006D71F9">
      <w:pPr>
        <w:jc w:val="center"/>
        <w:outlineLvl w:val="0"/>
        <w:rPr>
          <w:rFonts w:ascii="宋体" w:hAnsi="宋体" w:cs="宋体"/>
          <w:b/>
          <w:sz w:val="28"/>
          <w:szCs w:val="28"/>
        </w:rPr>
      </w:pPr>
      <w:r>
        <w:rPr>
          <w:rFonts w:ascii="宋体" w:hAnsi="宋体" w:cs="宋体" w:hint="eastAsia"/>
          <w:b/>
          <w:sz w:val="28"/>
          <w:szCs w:val="28"/>
        </w:rPr>
        <w:t>基金合同终止及基金财产清算的公告</w:t>
      </w:r>
    </w:p>
    <w:p w:rsidR="00017B2A" w:rsidRDefault="00017B2A">
      <w:pPr>
        <w:pStyle w:val="af3"/>
        <w:shd w:val="clear" w:color="FFFFFF" w:fill="FFFFFF"/>
        <w:spacing w:before="0" w:beforeAutospacing="0" w:after="0" w:afterAutospacing="0"/>
        <w:ind w:firstLineChars="200" w:firstLine="420"/>
        <w:jc w:val="both"/>
        <w:rPr>
          <w:color w:val="666666"/>
          <w:sz w:val="21"/>
          <w:szCs w:val="21"/>
        </w:rPr>
      </w:pP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rFonts w:hint="eastAsia"/>
          <w:sz w:val="21"/>
          <w:szCs w:val="21"/>
        </w:rPr>
        <w:t>根据《中华人民共和国证券投资基金法》、《公开募集证券投资基金运作管理办法》、《华泰紫金月月购</w:t>
      </w:r>
      <w:r>
        <w:rPr>
          <w:rFonts w:hint="eastAsia"/>
          <w:sz w:val="21"/>
          <w:szCs w:val="21"/>
        </w:rPr>
        <w:t>3</w:t>
      </w:r>
      <w:r>
        <w:rPr>
          <w:rFonts w:hint="eastAsia"/>
          <w:sz w:val="21"/>
          <w:szCs w:val="21"/>
        </w:rPr>
        <w:t>个月滚动持有债券型证券投资基金基金合同》（以下简称“《基金合同》”）的有关规定，华泰紫金月月购</w:t>
      </w:r>
      <w:r>
        <w:rPr>
          <w:rFonts w:hint="eastAsia"/>
          <w:sz w:val="21"/>
          <w:szCs w:val="21"/>
        </w:rPr>
        <w:t>3</w:t>
      </w:r>
      <w:r>
        <w:rPr>
          <w:rFonts w:hint="eastAsia"/>
          <w:sz w:val="21"/>
          <w:szCs w:val="21"/>
        </w:rPr>
        <w:t>个月滚动持有债券型证券投资基金（以下简称“本基金”）触发了基金合同终止事由，华泰证券</w:t>
      </w:r>
      <w:r>
        <w:rPr>
          <w:sz w:val="21"/>
          <w:szCs w:val="21"/>
        </w:rPr>
        <w:t>（</w:t>
      </w:r>
      <w:r>
        <w:rPr>
          <w:rFonts w:hint="eastAsia"/>
          <w:sz w:val="21"/>
          <w:szCs w:val="21"/>
        </w:rPr>
        <w:t>上海</w:t>
      </w:r>
      <w:r>
        <w:rPr>
          <w:sz w:val="21"/>
          <w:szCs w:val="21"/>
        </w:rPr>
        <w:t>）</w:t>
      </w:r>
      <w:r>
        <w:rPr>
          <w:rFonts w:hint="eastAsia"/>
          <w:sz w:val="21"/>
          <w:szCs w:val="21"/>
        </w:rPr>
        <w:t>资产</w:t>
      </w:r>
      <w:r>
        <w:rPr>
          <w:sz w:val="21"/>
          <w:szCs w:val="21"/>
        </w:rPr>
        <w:t>管理</w:t>
      </w:r>
      <w:r>
        <w:rPr>
          <w:rFonts w:hint="eastAsia"/>
          <w:sz w:val="21"/>
          <w:szCs w:val="21"/>
        </w:rPr>
        <w:t>有限公司（以下简称“本基金管理人”）应当在上述事由出现后终止基金合同并依法履行基金财产清算程序，且本次事项不需召开基金份额持有人大会。本基金的最后运作日为</w:t>
      </w:r>
      <w:r>
        <w:rPr>
          <w:rFonts w:hint="eastAsia"/>
          <w:sz w:val="21"/>
          <w:szCs w:val="21"/>
        </w:rPr>
        <w:t>2024</w:t>
      </w:r>
      <w:r>
        <w:rPr>
          <w:rFonts w:hint="eastAsia"/>
          <w:sz w:val="21"/>
          <w:szCs w:val="21"/>
        </w:rPr>
        <w:t>年</w:t>
      </w:r>
      <w:r>
        <w:rPr>
          <w:rFonts w:hint="eastAsia"/>
          <w:sz w:val="21"/>
          <w:szCs w:val="21"/>
        </w:rPr>
        <w:t>7</w:t>
      </w:r>
      <w:r>
        <w:rPr>
          <w:rFonts w:hint="eastAsia"/>
          <w:sz w:val="21"/>
          <w:szCs w:val="21"/>
        </w:rPr>
        <w:t>月</w:t>
      </w:r>
      <w:r>
        <w:rPr>
          <w:rFonts w:hint="eastAsia"/>
          <w:sz w:val="21"/>
          <w:szCs w:val="21"/>
        </w:rPr>
        <w:t>29</w:t>
      </w:r>
      <w:r>
        <w:rPr>
          <w:rFonts w:hint="eastAsia"/>
          <w:sz w:val="21"/>
          <w:szCs w:val="21"/>
        </w:rPr>
        <w:t>日，并于</w:t>
      </w:r>
      <w:r>
        <w:rPr>
          <w:rFonts w:hint="eastAsia"/>
          <w:sz w:val="21"/>
          <w:szCs w:val="21"/>
        </w:rPr>
        <w:t>2024</w:t>
      </w:r>
      <w:r>
        <w:rPr>
          <w:rFonts w:hint="eastAsia"/>
          <w:sz w:val="21"/>
          <w:szCs w:val="21"/>
        </w:rPr>
        <w:t>年</w:t>
      </w:r>
      <w:r>
        <w:rPr>
          <w:rFonts w:hint="eastAsia"/>
          <w:sz w:val="21"/>
          <w:szCs w:val="21"/>
        </w:rPr>
        <w:t>7</w:t>
      </w:r>
      <w:r>
        <w:rPr>
          <w:rFonts w:hint="eastAsia"/>
          <w:sz w:val="21"/>
          <w:szCs w:val="21"/>
        </w:rPr>
        <w:t>月</w:t>
      </w:r>
      <w:r>
        <w:rPr>
          <w:rFonts w:hint="eastAsia"/>
          <w:sz w:val="21"/>
          <w:szCs w:val="21"/>
        </w:rPr>
        <w:t>30</w:t>
      </w:r>
      <w:r>
        <w:rPr>
          <w:rFonts w:hint="eastAsia"/>
          <w:sz w:val="21"/>
          <w:szCs w:val="21"/>
        </w:rPr>
        <w:t>日进入清</w:t>
      </w:r>
      <w:r>
        <w:rPr>
          <w:rFonts w:hint="eastAsia"/>
          <w:sz w:val="21"/>
          <w:szCs w:val="21"/>
        </w:rPr>
        <w:t>算</w:t>
      </w:r>
      <w:r>
        <w:rPr>
          <w:rFonts w:hint="eastAsia"/>
          <w:sz w:val="21"/>
          <w:szCs w:val="21"/>
        </w:rPr>
        <w:t>程序。现将相关事宜公告如下：</w:t>
      </w:r>
      <w:bookmarkStart w:id="0" w:name="_GoBack"/>
      <w:bookmarkEnd w:id="0"/>
    </w:p>
    <w:p w:rsidR="00017B2A" w:rsidRDefault="006D71F9">
      <w:pPr>
        <w:pStyle w:val="af3"/>
        <w:shd w:val="clear" w:color="FFFFFF" w:fill="FFFFFF"/>
        <w:spacing w:before="0" w:beforeAutospacing="0" w:after="0" w:afterAutospacing="0" w:line="360" w:lineRule="auto"/>
        <w:ind w:firstLineChars="200" w:firstLine="482"/>
        <w:jc w:val="both"/>
        <w:outlineLvl w:val="0"/>
        <w:rPr>
          <w:b/>
          <w:bCs/>
        </w:rPr>
      </w:pPr>
      <w:r>
        <w:rPr>
          <w:rFonts w:hint="eastAsia"/>
          <w:b/>
          <w:bCs/>
        </w:rPr>
        <w:t>一、本基金基本信息</w:t>
      </w:r>
    </w:p>
    <w:tbl>
      <w:tblPr>
        <w:tblOverlap w:val="never"/>
        <w:tblW w:w="92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4"/>
        <w:gridCol w:w="3301"/>
        <w:gridCol w:w="3302"/>
      </w:tblGrid>
      <w:tr w:rsidR="00017B2A">
        <w:trPr>
          <w:trHeight w:val="184"/>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基金名称</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个月滚动持有债券型证券投资基金</w:t>
            </w:r>
          </w:p>
        </w:tc>
      </w:tr>
      <w:tr w:rsidR="00017B2A">
        <w:trPr>
          <w:trHeight w:val="17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基金简称</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月滚动债</w:t>
            </w:r>
          </w:p>
        </w:tc>
      </w:tr>
      <w:tr w:rsidR="00017B2A">
        <w:trPr>
          <w:trHeight w:val="374"/>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基金主代码</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008939</w:t>
            </w:r>
          </w:p>
        </w:tc>
      </w:tr>
      <w:tr w:rsidR="00017B2A">
        <w:trPr>
          <w:trHeight w:val="369"/>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基金运作方式</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契约型开放式</w:t>
            </w:r>
          </w:p>
        </w:tc>
      </w:tr>
      <w:tr w:rsidR="00017B2A">
        <w:trPr>
          <w:trHeight w:val="374"/>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基金开放频率</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每月开放申购，申购份额持有每满</w:t>
            </w:r>
            <w:r>
              <w:rPr>
                <w:rFonts w:ascii="宋体" w:hAnsi="宋体" w:cs="宋体" w:hint="eastAsia"/>
                <w:szCs w:val="21"/>
              </w:rPr>
              <w:t>3</w:t>
            </w:r>
            <w:r>
              <w:rPr>
                <w:rFonts w:ascii="宋体" w:hAnsi="宋体" w:cs="宋体" w:hint="eastAsia"/>
                <w:szCs w:val="21"/>
              </w:rPr>
              <w:t>个月可以根据合同约定在规定的时间内进行赎回</w:t>
            </w:r>
          </w:p>
        </w:tc>
      </w:tr>
      <w:tr w:rsidR="00017B2A">
        <w:trPr>
          <w:trHeight w:val="374"/>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基金合同生效日</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202</w:t>
            </w:r>
            <w:r>
              <w:rPr>
                <w:rFonts w:ascii="宋体" w:hAnsi="宋体" w:cs="宋体" w:hint="eastAsia"/>
                <w:szCs w:val="21"/>
              </w:rPr>
              <w:t>0</w:t>
            </w:r>
            <w:r>
              <w:rPr>
                <w:rFonts w:ascii="宋体" w:hAnsi="宋体" w:cs="宋体"/>
                <w:szCs w:val="21"/>
              </w:rPr>
              <w:t>年</w:t>
            </w:r>
            <w:r>
              <w:rPr>
                <w:rFonts w:ascii="宋体" w:hAnsi="宋体" w:cs="宋体" w:hint="eastAsia"/>
                <w:szCs w:val="21"/>
              </w:rPr>
              <w:t>5</w:t>
            </w:r>
            <w:r>
              <w:rPr>
                <w:rFonts w:ascii="宋体" w:hAnsi="宋体" w:cs="宋体"/>
                <w:szCs w:val="21"/>
              </w:rPr>
              <w:t>月</w:t>
            </w:r>
            <w:r>
              <w:rPr>
                <w:rFonts w:ascii="宋体" w:hAnsi="宋体" w:cs="宋体" w:hint="eastAsia"/>
                <w:szCs w:val="21"/>
              </w:rPr>
              <w:t>15</w:t>
            </w:r>
            <w:r>
              <w:rPr>
                <w:rFonts w:ascii="宋体" w:hAnsi="宋体" w:cs="宋体"/>
                <w:szCs w:val="21"/>
              </w:rPr>
              <w:t>日</w:t>
            </w:r>
          </w:p>
        </w:tc>
      </w:tr>
      <w:tr w:rsidR="00017B2A">
        <w:trPr>
          <w:trHeight w:val="369"/>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基金管理人名称</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华泰证券</w:t>
            </w:r>
            <w:r>
              <w:rPr>
                <w:rFonts w:ascii="宋体" w:hAnsi="宋体" w:cs="宋体"/>
                <w:szCs w:val="21"/>
              </w:rPr>
              <w:t>(</w:t>
            </w:r>
            <w:r>
              <w:rPr>
                <w:rFonts w:ascii="宋体" w:hAnsi="宋体" w:cs="宋体" w:hint="eastAsia"/>
                <w:szCs w:val="21"/>
              </w:rPr>
              <w:t>上海</w:t>
            </w:r>
            <w:r>
              <w:rPr>
                <w:rFonts w:ascii="宋体" w:hAnsi="宋体" w:cs="宋体"/>
                <w:szCs w:val="21"/>
              </w:rPr>
              <w:t>)</w:t>
            </w:r>
            <w:r>
              <w:rPr>
                <w:rFonts w:ascii="宋体" w:hAnsi="宋体" w:cs="宋体" w:hint="eastAsia"/>
                <w:szCs w:val="21"/>
              </w:rPr>
              <w:t>资产</w:t>
            </w:r>
            <w:r>
              <w:rPr>
                <w:rFonts w:ascii="宋体" w:hAnsi="宋体" w:cs="宋体"/>
                <w:szCs w:val="21"/>
              </w:rPr>
              <w:t>管理有限公司</w:t>
            </w:r>
          </w:p>
        </w:tc>
      </w:tr>
      <w:tr w:rsidR="00017B2A">
        <w:trPr>
          <w:trHeight w:val="374"/>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基金托管人名称</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中国银行股份有限公司</w:t>
            </w:r>
          </w:p>
        </w:tc>
      </w:tr>
      <w:tr w:rsidR="00017B2A">
        <w:trPr>
          <w:trHeight w:val="559"/>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基金注册登记机构名称</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华泰证券</w:t>
            </w:r>
            <w:r>
              <w:rPr>
                <w:rFonts w:ascii="宋体" w:hAnsi="宋体" w:cs="宋体"/>
                <w:szCs w:val="21"/>
              </w:rPr>
              <w:t>(</w:t>
            </w:r>
            <w:r>
              <w:rPr>
                <w:rFonts w:ascii="宋体" w:hAnsi="宋体" w:cs="宋体" w:hint="eastAsia"/>
                <w:szCs w:val="21"/>
              </w:rPr>
              <w:t>上海</w:t>
            </w:r>
            <w:r>
              <w:rPr>
                <w:rFonts w:ascii="宋体" w:hAnsi="宋体" w:cs="宋体"/>
                <w:szCs w:val="21"/>
              </w:rPr>
              <w:t>)</w:t>
            </w:r>
            <w:r>
              <w:rPr>
                <w:rFonts w:ascii="宋体" w:hAnsi="宋体" w:cs="宋体" w:hint="eastAsia"/>
                <w:szCs w:val="21"/>
              </w:rPr>
              <w:t>资产</w:t>
            </w:r>
            <w:r>
              <w:rPr>
                <w:rFonts w:ascii="宋体" w:hAnsi="宋体" w:cs="宋体"/>
                <w:szCs w:val="21"/>
              </w:rPr>
              <w:t>管理有限公司</w:t>
            </w:r>
          </w:p>
        </w:tc>
      </w:tr>
      <w:tr w:rsidR="00017B2A">
        <w:trPr>
          <w:trHeight w:val="56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公告依据</w:t>
            </w:r>
          </w:p>
        </w:tc>
        <w:tc>
          <w:tcPr>
            <w:tcW w:w="6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szCs w:val="21"/>
              </w:rPr>
              <w:t>《中华人民共和国证券投资基金法》、《公开募集证券投资基金运作管理办法》、《公开募集证券投资基金信息披露管理办法》、《</w:t>
            </w: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个月滚动持有债券型证券投资基金</w:t>
            </w:r>
            <w:r>
              <w:rPr>
                <w:rFonts w:ascii="宋体" w:hAnsi="宋体" w:cs="宋体"/>
                <w:szCs w:val="21"/>
              </w:rPr>
              <w:t>基金合同》、《</w:t>
            </w: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个月滚动持有债券型证券投资基金</w:t>
            </w:r>
            <w:r>
              <w:rPr>
                <w:rFonts w:ascii="宋体" w:hAnsi="宋体" w:cs="宋体"/>
                <w:szCs w:val="21"/>
              </w:rPr>
              <w:t>招募说明书》等</w:t>
            </w:r>
          </w:p>
        </w:tc>
      </w:tr>
      <w:tr w:rsidR="00017B2A">
        <w:trPr>
          <w:trHeight w:val="64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下属基金简称</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center"/>
              <w:rPr>
                <w:rFonts w:ascii="宋体" w:hAnsi="宋体" w:cs="宋体"/>
                <w:szCs w:val="21"/>
              </w:rPr>
            </w:pP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月滚动债</w:t>
            </w:r>
            <w:r>
              <w:rPr>
                <w:rFonts w:ascii="宋体" w:hAnsi="宋体" w:cs="宋体" w:hint="eastAsia"/>
                <w:szCs w:val="21"/>
              </w:rPr>
              <w:t>A</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center"/>
              <w:rPr>
                <w:rFonts w:ascii="宋体" w:hAnsi="宋体" w:cs="宋体"/>
                <w:szCs w:val="21"/>
              </w:rPr>
            </w:pPr>
            <w:r>
              <w:rPr>
                <w:rFonts w:ascii="宋体" w:hAnsi="宋体" w:cs="宋体" w:hint="eastAsia"/>
                <w:szCs w:val="21"/>
              </w:rPr>
              <w:t>华泰紫金月月购</w:t>
            </w:r>
            <w:r>
              <w:rPr>
                <w:rFonts w:ascii="宋体" w:hAnsi="宋体" w:cs="宋体" w:hint="eastAsia"/>
                <w:szCs w:val="21"/>
              </w:rPr>
              <w:t>3</w:t>
            </w:r>
            <w:r>
              <w:rPr>
                <w:rFonts w:ascii="宋体" w:hAnsi="宋体" w:cs="宋体" w:hint="eastAsia"/>
                <w:szCs w:val="21"/>
              </w:rPr>
              <w:t>月滚动债</w:t>
            </w:r>
            <w:r>
              <w:rPr>
                <w:rFonts w:ascii="宋体" w:hAnsi="宋体" w:cs="宋体" w:hint="eastAsia"/>
                <w:szCs w:val="21"/>
              </w:rPr>
              <w:t>C</w:t>
            </w:r>
          </w:p>
        </w:tc>
      </w:tr>
      <w:tr w:rsidR="00017B2A">
        <w:trPr>
          <w:trHeight w:val="56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left"/>
              <w:rPr>
                <w:rFonts w:ascii="宋体" w:hAnsi="宋体" w:cs="宋体"/>
                <w:szCs w:val="21"/>
              </w:rPr>
            </w:pPr>
            <w:r>
              <w:rPr>
                <w:rFonts w:ascii="宋体" w:hAnsi="宋体" w:cs="宋体" w:hint="eastAsia"/>
                <w:szCs w:val="21"/>
              </w:rPr>
              <w:t>下属基金代码</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center"/>
              <w:rPr>
                <w:rFonts w:ascii="宋体" w:hAnsi="宋体" w:cs="宋体"/>
                <w:szCs w:val="21"/>
              </w:rPr>
            </w:pPr>
            <w:r>
              <w:rPr>
                <w:rFonts w:ascii="宋体" w:hAnsi="宋体" w:cs="宋体" w:hint="eastAsia"/>
                <w:szCs w:val="21"/>
              </w:rPr>
              <w:t>008939</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vAlign w:val="center"/>
          </w:tcPr>
          <w:p w:rsidR="00017B2A" w:rsidRDefault="006D71F9">
            <w:pPr>
              <w:widowControl/>
              <w:spacing w:line="330" w:lineRule="atLeast"/>
              <w:jc w:val="center"/>
              <w:rPr>
                <w:rFonts w:ascii="宋体" w:hAnsi="宋体" w:cs="宋体"/>
                <w:szCs w:val="21"/>
              </w:rPr>
            </w:pPr>
            <w:r>
              <w:rPr>
                <w:rFonts w:ascii="方正仿宋简体" w:cs="方正仿宋简体" w:hint="eastAsia"/>
                <w:iCs/>
              </w:rPr>
              <w:t>008940</w:t>
            </w:r>
          </w:p>
        </w:tc>
      </w:tr>
    </w:tbl>
    <w:p w:rsidR="00017B2A" w:rsidRDefault="006D71F9">
      <w:pPr>
        <w:pStyle w:val="af3"/>
        <w:shd w:val="clear" w:color="FFFFFF" w:fill="FFFFFF"/>
        <w:spacing w:before="0" w:beforeAutospacing="0" w:after="0" w:afterAutospacing="0" w:line="360" w:lineRule="auto"/>
        <w:ind w:firstLineChars="200" w:firstLine="482"/>
        <w:jc w:val="both"/>
        <w:outlineLvl w:val="0"/>
        <w:rPr>
          <w:b/>
          <w:bCs/>
        </w:rPr>
      </w:pPr>
      <w:r>
        <w:rPr>
          <w:rFonts w:hint="eastAsia"/>
          <w:b/>
          <w:bCs/>
        </w:rPr>
        <w:t>二、基金合同终止事由</w:t>
      </w:r>
    </w:p>
    <w:p w:rsidR="00017B2A" w:rsidRDefault="006D71F9">
      <w:pPr>
        <w:autoSpaceDE w:val="0"/>
        <w:autoSpaceDN w:val="0"/>
        <w:spacing w:line="360" w:lineRule="auto"/>
        <w:ind w:firstLineChars="200" w:firstLine="420"/>
        <w:rPr>
          <w:rFonts w:ascii="宋体" w:hAnsi="宋体" w:cs="宋体"/>
          <w:szCs w:val="21"/>
        </w:rPr>
      </w:pPr>
      <w:r>
        <w:rPr>
          <w:rFonts w:ascii="宋体" w:hAnsi="宋体" w:cs="宋体"/>
          <w:szCs w:val="21"/>
        </w:rPr>
        <w:t>根据《基金合同》</w:t>
      </w:r>
      <w:r>
        <w:rPr>
          <w:rFonts w:ascii="宋体" w:hAnsi="宋体" w:cs="宋体"/>
          <w:szCs w:val="21"/>
        </w:rPr>
        <w:t>“</w:t>
      </w:r>
      <w:r>
        <w:rPr>
          <w:rFonts w:ascii="宋体" w:hAnsi="宋体" w:cs="宋体"/>
          <w:szCs w:val="21"/>
        </w:rPr>
        <w:t>第五部分</w:t>
      </w:r>
      <w:r>
        <w:rPr>
          <w:rFonts w:ascii="宋体" w:hAnsi="宋体" w:cs="宋体"/>
          <w:szCs w:val="21"/>
        </w:rPr>
        <w:t xml:space="preserve"> </w:t>
      </w:r>
      <w:r>
        <w:rPr>
          <w:rFonts w:ascii="宋体" w:hAnsi="宋体" w:cs="宋体"/>
          <w:szCs w:val="21"/>
        </w:rPr>
        <w:t>基金备案</w:t>
      </w:r>
      <w:r>
        <w:rPr>
          <w:rFonts w:ascii="宋体" w:hAnsi="宋体" w:cs="宋体"/>
          <w:szCs w:val="21"/>
        </w:rPr>
        <w:t>”</w:t>
      </w:r>
      <w:r>
        <w:rPr>
          <w:rFonts w:ascii="宋体" w:hAnsi="宋体" w:cs="宋体" w:hint="eastAsia"/>
          <w:szCs w:val="21"/>
        </w:rPr>
        <w:t>之</w:t>
      </w:r>
      <w:r>
        <w:rPr>
          <w:rFonts w:ascii="宋体" w:hAnsi="宋体" w:cs="宋体"/>
          <w:szCs w:val="21"/>
        </w:rPr>
        <w:t>“</w:t>
      </w:r>
      <w:r>
        <w:rPr>
          <w:rFonts w:ascii="宋体" w:hAnsi="宋体" w:cs="宋体"/>
          <w:szCs w:val="21"/>
        </w:rPr>
        <w:t>三、基金存续期内的基金份额持有人数量和资产规模</w:t>
      </w:r>
      <w:r>
        <w:rPr>
          <w:rFonts w:ascii="宋体" w:hAnsi="宋体" w:cs="宋体" w:hint="eastAsia"/>
          <w:szCs w:val="21"/>
        </w:rPr>
        <w:t>”中的约定</w:t>
      </w:r>
      <w:r>
        <w:rPr>
          <w:rFonts w:ascii="宋体" w:hAnsi="宋体" w:cs="宋体"/>
          <w:szCs w:val="21"/>
        </w:rPr>
        <w:t>：</w:t>
      </w:r>
      <w:r>
        <w:rPr>
          <w:rFonts w:ascii="宋体" w:hAnsi="宋体" w:cs="宋体" w:hint="eastAsia"/>
          <w:szCs w:val="21"/>
        </w:rPr>
        <w:t>“</w:t>
      </w:r>
      <w:r>
        <w:rPr>
          <w:rFonts w:ascii="宋体" w:hAnsi="宋体" w:cs="宋体"/>
          <w:szCs w:val="21"/>
        </w:rPr>
        <w:t>《基金合同》生效后，连续</w:t>
      </w:r>
      <w:r>
        <w:rPr>
          <w:rFonts w:ascii="宋体" w:hAnsi="宋体" w:cs="宋体" w:hint="eastAsia"/>
          <w:szCs w:val="21"/>
        </w:rPr>
        <w:t>20</w:t>
      </w:r>
      <w:r>
        <w:rPr>
          <w:rFonts w:ascii="宋体" w:hAnsi="宋体" w:cs="宋体"/>
          <w:szCs w:val="21"/>
        </w:rPr>
        <w:t>个工作日出现基金份额持有人数量不满</w:t>
      </w:r>
      <w:r>
        <w:rPr>
          <w:rFonts w:ascii="宋体" w:hAnsi="宋体" w:cs="宋体"/>
          <w:szCs w:val="21"/>
        </w:rPr>
        <w:t>200</w:t>
      </w:r>
      <w:r>
        <w:rPr>
          <w:rFonts w:ascii="宋体" w:hAnsi="宋体" w:cs="宋体"/>
          <w:szCs w:val="21"/>
        </w:rPr>
        <w:t>人或者基金资产净值低于</w:t>
      </w:r>
      <w:r>
        <w:rPr>
          <w:rFonts w:ascii="宋体" w:hAnsi="宋体" w:cs="宋体"/>
          <w:szCs w:val="21"/>
        </w:rPr>
        <w:t>5000</w:t>
      </w:r>
      <w:r>
        <w:rPr>
          <w:rFonts w:ascii="宋体" w:hAnsi="宋体" w:cs="宋体"/>
          <w:szCs w:val="21"/>
        </w:rPr>
        <w:t>万元情形的，基金管理人应当在定期报告中予以披露；连续</w:t>
      </w:r>
      <w:r>
        <w:rPr>
          <w:rFonts w:ascii="宋体" w:hAnsi="宋体" w:cs="宋体"/>
          <w:szCs w:val="21"/>
        </w:rPr>
        <w:t>50</w:t>
      </w:r>
      <w:r>
        <w:rPr>
          <w:rFonts w:ascii="宋体" w:hAnsi="宋体" w:cs="宋体"/>
          <w:szCs w:val="21"/>
        </w:rPr>
        <w:t>个工作日出现前述情形的，《基金合同》终止，不需要召开基金份额持有人大会。</w:t>
      </w:r>
      <w:r>
        <w:rPr>
          <w:rFonts w:ascii="宋体" w:hAnsi="宋体" w:cs="宋体"/>
          <w:szCs w:val="21"/>
        </w:rPr>
        <w:lastRenderedPageBreak/>
        <w:t>法律法规或中国证监会另有规定时，从其规定。</w:t>
      </w:r>
      <w:r>
        <w:rPr>
          <w:rFonts w:ascii="宋体" w:hAnsi="宋体" w:cs="宋体"/>
          <w:szCs w:val="21"/>
        </w:rPr>
        <w:t>”</w:t>
      </w:r>
    </w:p>
    <w:p w:rsidR="00017B2A" w:rsidRDefault="006D71F9">
      <w:pPr>
        <w:shd w:val="clear" w:color="FFFFFF" w:fill="FFFFFF"/>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截至</w:t>
      </w:r>
      <w:r>
        <w:rPr>
          <w:rFonts w:ascii="宋体" w:hAnsi="宋体" w:cs="宋体" w:hint="eastAsia"/>
          <w:szCs w:val="21"/>
        </w:rPr>
        <w:t>2024</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29</w:t>
      </w:r>
      <w:r>
        <w:rPr>
          <w:rFonts w:ascii="宋体" w:hAnsi="宋体" w:cs="宋体" w:hint="eastAsia"/>
          <w:szCs w:val="21"/>
        </w:rPr>
        <w:t>日日终，本基金已</w:t>
      </w:r>
      <w:r>
        <w:rPr>
          <w:rFonts w:ascii="宋体" w:hAnsi="宋体" w:cs="宋体"/>
          <w:szCs w:val="21"/>
        </w:rPr>
        <w:t>连续</w:t>
      </w:r>
      <w:r>
        <w:rPr>
          <w:rFonts w:ascii="宋体" w:hAnsi="宋体" w:cs="宋体"/>
          <w:szCs w:val="21"/>
        </w:rPr>
        <w:t>50</w:t>
      </w:r>
      <w:r>
        <w:rPr>
          <w:rFonts w:ascii="宋体" w:hAnsi="宋体" w:cs="宋体"/>
          <w:szCs w:val="21"/>
        </w:rPr>
        <w:t>个工作日</w:t>
      </w:r>
      <w:r>
        <w:rPr>
          <w:rFonts w:ascii="宋体" w:hAnsi="宋体" w:cs="宋体" w:hint="eastAsia"/>
          <w:szCs w:val="21"/>
        </w:rPr>
        <w:t>资产净值低于</w:t>
      </w:r>
      <w:r>
        <w:rPr>
          <w:rFonts w:ascii="宋体" w:hAnsi="宋体" w:cs="宋体" w:hint="eastAsia"/>
          <w:szCs w:val="21"/>
        </w:rPr>
        <w:t>5000</w:t>
      </w:r>
      <w:r>
        <w:rPr>
          <w:rFonts w:ascii="宋体" w:hAnsi="宋体" w:cs="宋体" w:hint="eastAsia"/>
          <w:szCs w:val="21"/>
        </w:rPr>
        <w:t>万元，触发前述《基金合同》终止的情形。为维护基金份额持有人利益，根据基金合同约定，无需召开基金份额持有人大会，本基金合同自动终止并依法履行基金财产清算程序。</w:t>
      </w:r>
    </w:p>
    <w:p w:rsidR="00017B2A" w:rsidRDefault="006D71F9">
      <w:pPr>
        <w:pStyle w:val="af3"/>
        <w:shd w:val="clear" w:color="FFFFFF" w:fill="FFFFFF"/>
        <w:spacing w:before="0" w:beforeAutospacing="0" w:after="0" w:afterAutospacing="0" w:line="360" w:lineRule="auto"/>
        <w:ind w:firstLineChars="200" w:firstLine="482"/>
        <w:jc w:val="both"/>
        <w:outlineLvl w:val="0"/>
        <w:rPr>
          <w:b/>
          <w:bCs/>
        </w:rPr>
      </w:pPr>
      <w:r>
        <w:rPr>
          <w:rFonts w:hint="eastAsia"/>
          <w:b/>
          <w:bCs/>
        </w:rPr>
        <w:t>三、基金财产清算</w:t>
      </w: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sz w:val="21"/>
          <w:szCs w:val="21"/>
        </w:rPr>
        <w:t>1</w:t>
      </w:r>
      <w:r>
        <w:rPr>
          <w:rFonts w:hint="eastAsia"/>
          <w:sz w:val="21"/>
          <w:szCs w:val="21"/>
        </w:rPr>
        <w:t>、自</w:t>
      </w:r>
      <w:r>
        <w:rPr>
          <w:rFonts w:hint="eastAsia"/>
          <w:sz w:val="21"/>
          <w:szCs w:val="21"/>
        </w:rPr>
        <w:t>2024</w:t>
      </w:r>
      <w:r>
        <w:rPr>
          <w:rFonts w:hint="eastAsia"/>
          <w:sz w:val="21"/>
          <w:szCs w:val="21"/>
        </w:rPr>
        <w:t>年</w:t>
      </w:r>
      <w:r>
        <w:rPr>
          <w:rFonts w:hint="eastAsia"/>
          <w:sz w:val="21"/>
          <w:szCs w:val="21"/>
        </w:rPr>
        <w:t>7</w:t>
      </w:r>
      <w:r>
        <w:rPr>
          <w:rFonts w:hint="eastAsia"/>
          <w:sz w:val="21"/>
          <w:szCs w:val="21"/>
        </w:rPr>
        <w:t>月</w:t>
      </w:r>
      <w:r>
        <w:rPr>
          <w:rFonts w:hint="eastAsia"/>
          <w:sz w:val="21"/>
          <w:szCs w:val="21"/>
        </w:rPr>
        <w:t>30</w:t>
      </w:r>
      <w:r>
        <w:rPr>
          <w:rFonts w:hint="eastAsia"/>
          <w:sz w:val="21"/>
          <w:szCs w:val="21"/>
        </w:rPr>
        <w:t>日</w:t>
      </w:r>
      <w:r>
        <w:rPr>
          <w:sz w:val="21"/>
          <w:szCs w:val="21"/>
        </w:rPr>
        <w:t>起</w:t>
      </w:r>
      <w:r>
        <w:rPr>
          <w:rFonts w:hint="eastAsia"/>
          <w:sz w:val="21"/>
          <w:szCs w:val="21"/>
        </w:rPr>
        <w:t>，</w:t>
      </w:r>
      <w:r>
        <w:rPr>
          <w:sz w:val="21"/>
          <w:szCs w:val="21"/>
        </w:rPr>
        <w:t>本基金</w:t>
      </w:r>
      <w:r>
        <w:rPr>
          <w:rFonts w:hint="eastAsia"/>
          <w:sz w:val="21"/>
          <w:szCs w:val="21"/>
        </w:rPr>
        <w:t>进入</w:t>
      </w:r>
      <w:r>
        <w:rPr>
          <w:sz w:val="21"/>
          <w:szCs w:val="21"/>
        </w:rPr>
        <w:t>清算程序，不再办理申购、赎回等业务。</w:t>
      </w:r>
      <w:r>
        <w:rPr>
          <w:rFonts w:hint="eastAsia"/>
          <w:sz w:val="21"/>
          <w:szCs w:val="21"/>
        </w:rPr>
        <w:t>本基金</w:t>
      </w:r>
      <w:r>
        <w:rPr>
          <w:sz w:val="21"/>
          <w:szCs w:val="21"/>
        </w:rPr>
        <w:t>进入清算程序后，</w:t>
      </w:r>
      <w:r>
        <w:rPr>
          <w:rFonts w:hint="eastAsia"/>
          <w:sz w:val="21"/>
          <w:szCs w:val="21"/>
        </w:rPr>
        <w:t>停止</w:t>
      </w:r>
      <w:r>
        <w:rPr>
          <w:sz w:val="21"/>
          <w:szCs w:val="21"/>
        </w:rPr>
        <w:t>收取基金管理费、</w:t>
      </w:r>
      <w:r>
        <w:rPr>
          <w:rFonts w:hint="eastAsia"/>
          <w:sz w:val="21"/>
          <w:szCs w:val="21"/>
        </w:rPr>
        <w:t>基金</w:t>
      </w:r>
      <w:r>
        <w:rPr>
          <w:sz w:val="21"/>
          <w:szCs w:val="21"/>
        </w:rPr>
        <w:t>托管费</w:t>
      </w:r>
      <w:r>
        <w:rPr>
          <w:rFonts w:hint="eastAsia"/>
          <w:sz w:val="21"/>
          <w:szCs w:val="21"/>
        </w:rPr>
        <w:t>、销售服务费等。</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、自出现《基金合同》终止事由之日起</w:t>
      </w:r>
      <w:r>
        <w:rPr>
          <w:rFonts w:ascii="宋体" w:hAnsi="宋体" w:cs="宋体"/>
          <w:szCs w:val="21"/>
        </w:rPr>
        <w:t>30</w:t>
      </w:r>
      <w:r>
        <w:rPr>
          <w:rFonts w:ascii="宋体" w:hAnsi="宋体" w:cs="宋体" w:hint="eastAsia"/>
          <w:szCs w:val="21"/>
        </w:rPr>
        <w:t>个工作日内成立清算小组，基金管理人组织基金财产清算小组并在中国证监会的监督下进行基金清算。基金财产清算小组成员由基金管理人、基金托管人、符合《中华人民共和国证券法》</w:t>
      </w:r>
      <w:r>
        <w:rPr>
          <w:rFonts w:ascii="宋体" w:hAnsi="宋体" w:cs="宋体"/>
          <w:szCs w:val="21"/>
        </w:rPr>
        <w:t>规定</w:t>
      </w:r>
      <w:r>
        <w:rPr>
          <w:rFonts w:ascii="宋体" w:hAnsi="宋体" w:cs="宋体" w:hint="eastAsia"/>
          <w:szCs w:val="21"/>
        </w:rPr>
        <w:t>的注册会计师、律师以及中国证监会指定的人员组成。基金财产清算小组可以聘用必要的工作人员。</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、基金财产清算小组负责基金财产的保管、清理、估价、变现和分配。基金财产清算小组可以依法进行必要的民事活动。</w:t>
      </w:r>
    </w:p>
    <w:p w:rsidR="00017B2A" w:rsidRDefault="006D71F9">
      <w:pPr>
        <w:autoSpaceDE w:val="0"/>
        <w:autoSpaceDN w:val="0"/>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、基金</w:t>
      </w:r>
      <w:r>
        <w:rPr>
          <w:rFonts w:ascii="宋体" w:hAnsi="宋体" w:cs="宋体"/>
          <w:szCs w:val="21"/>
        </w:rPr>
        <w:t>财产清算程序</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）《基金合同》终止情形出现时，由基金财产清算小组统一接管基金财产；</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）对基金财产和债权债务进行清理和确认；</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ascii="宋体" w:hAnsi="宋体" w:cs="宋体" w:hint="eastAsia"/>
          <w:szCs w:val="21"/>
        </w:rPr>
        <w:t>对基金财产进行估值和变现；</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）制作清算报告；</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）聘请会计师事务所对清算报告进行外部审计，聘请律师事务所对清算报告出具法律意见书；</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）将清算报告报中国证监会备案并公告；</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）对基金剩余财产进行分配。</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、基金财产清算的期限为</w:t>
      </w:r>
      <w:r>
        <w:rPr>
          <w:rFonts w:ascii="宋体" w:hAnsi="宋体" w:cs="宋体"/>
          <w:szCs w:val="21"/>
        </w:rPr>
        <w:t>6</w:t>
      </w:r>
      <w:r>
        <w:rPr>
          <w:rFonts w:ascii="宋体" w:hAnsi="宋体" w:cs="宋体" w:hint="eastAsia"/>
          <w:szCs w:val="21"/>
        </w:rPr>
        <w:t>个月，但因本基金所持证券的流动性受到限制而不能及时变现的，清算期限相应顺延。</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szCs w:val="21"/>
        </w:rPr>
        <w:t>6</w:t>
      </w:r>
      <w:r>
        <w:rPr>
          <w:rFonts w:ascii="宋体" w:hAnsi="宋体" w:cs="宋体" w:hint="eastAsia"/>
          <w:szCs w:val="21"/>
        </w:rPr>
        <w:t>、清算费用</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清算费用是指基金财产清算小组在进行基金清算过程中发生的所有合理费用，清算费用由基金财产清算小组优先从基金剩余财产中支付。</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szCs w:val="21"/>
        </w:rPr>
        <w:t>7</w:t>
      </w:r>
      <w:r>
        <w:rPr>
          <w:rFonts w:ascii="宋体" w:hAnsi="宋体" w:cs="宋体" w:hint="eastAsia"/>
          <w:szCs w:val="21"/>
        </w:rPr>
        <w:t>、</w:t>
      </w:r>
      <w:r>
        <w:rPr>
          <w:rFonts w:ascii="宋体" w:hAnsi="宋体" w:cs="宋体" w:hint="eastAsia"/>
        </w:rPr>
        <w:t>基金财产清算剩余资产的分配</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依据基金财产清算的分配方案，</w:t>
      </w:r>
      <w:r>
        <w:rPr>
          <w:rFonts w:ascii="宋体" w:hAnsi="宋体" w:cs="宋体" w:hint="eastAsia"/>
          <w:szCs w:val="21"/>
        </w:rPr>
        <w:t>将基金财产清算后的全部剩余资产扣除基金财产清算费用、交纳所欠税款并清偿基金债务后，按基金份额持有人持有的基金份额比例进行分配。</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szCs w:val="21"/>
        </w:rPr>
        <w:lastRenderedPageBreak/>
        <w:t>8</w:t>
      </w:r>
      <w:r>
        <w:rPr>
          <w:rFonts w:ascii="宋体" w:hAnsi="宋体" w:cs="宋体" w:hint="eastAsia"/>
          <w:szCs w:val="21"/>
        </w:rPr>
        <w:t>、基金财产清算的公告</w:t>
      </w:r>
    </w:p>
    <w:p w:rsidR="00017B2A" w:rsidRDefault="006D71F9">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清算过程中的有关重大事项须及时公告；基金财产清算报告经</w:t>
      </w:r>
      <w:r>
        <w:t>符合《中华人民共和国证券法》规定的</w:t>
      </w:r>
      <w:r>
        <w:rPr>
          <w:rFonts w:ascii="宋体" w:hAnsi="宋体" w:cs="宋体" w:hint="eastAsia"/>
          <w:szCs w:val="21"/>
        </w:rPr>
        <w:t>会计师事务所审计并由律师事务所出具法律意见书后报中国证监会备案并公告。基金财产清算公告于基金财产清算报告报中国证监会备案后</w:t>
      </w:r>
      <w:r>
        <w:rPr>
          <w:rFonts w:ascii="宋体" w:hAnsi="宋体" w:cs="宋体" w:hint="eastAsia"/>
          <w:szCs w:val="21"/>
        </w:rPr>
        <w:t>5</w:t>
      </w:r>
      <w:r>
        <w:rPr>
          <w:rFonts w:ascii="宋体" w:hAnsi="宋体" w:cs="宋体" w:hint="eastAsia"/>
          <w:szCs w:val="21"/>
        </w:rPr>
        <w:t>个工作日内由基金财产清算小组进行公告，基金财产清算小组应当将清算报告登载在规定网站上，并将清算报告提示性公告登载在规定报刊上。</w:t>
      </w: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sz w:val="21"/>
          <w:szCs w:val="21"/>
        </w:rPr>
        <w:t>9</w:t>
      </w:r>
      <w:r>
        <w:rPr>
          <w:rFonts w:hint="eastAsia"/>
          <w:sz w:val="21"/>
          <w:szCs w:val="21"/>
        </w:rPr>
        <w:t>、基金财产清算账册及文件的保存</w:t>
      </w: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rFonts w:hint="eastAsia"/>
          <w:sz w:val="21"/>
          <w:szCs w:val="21"/>
        </w:rPr>
        <w:t>基金财产清算账册及有关文件由基金托管人保存</w:t>
      </w:r>
      <w:r>
        <w:rPr>
          <w:rFonts w:hint="eastAsia"/>
          <w:sz w:val="21"/>
          <w:szCs w:val="21"/>
        </w:rPr>
        <w:t>20</w:t>
      </w:r>
      <w:r>
        <w:rPr>
          <w:rFonts w:hint="eastAsia"/>
          <w:sz w:val="21"/>
          <w:szCs w:val="21"/>
        </w:rPr>
        <w:t>年以上，法律法规或监管规则另有规定的从其规定。</w:t>
      </w:r>
    </w:p>
    <w:p w:rsidR="00017B2A" w:rsidRDefault="006D71F9">
      <w:pPr>
        <w:pStyle w:val="af3"/>
        <w:shd w:val="clear" w:color="FFFFFF" w:fill="FFFFFF"/>
        <w:spacing w:before="0" w:beforeAutospacing="0" w:after="0" w:afterAutospacing="0" w:line="360" w:lineRule="auto"/>
        <w:ind w:firstLineChars="200" w:firstLine="482"/>
        <w:jc w:val="both"/>
        <w:outlineLvl w:val="0"/>
        <w:rPr>
          <w:b/>
          <w:bCs/>
        </w:rPr>
      </w:pPr>
      <w:r>
        <w:rPr>
          <w:rFonts w:hint="eastAsia"/>
          <w:b/>
          <w:bCs/>
        </w:rPr>
        <w:t>四、其他</w:t>
      </w: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rFonts w:hint="eastAsia"/>
          <w:sz w:val="21"/>
          <w:szCs w:val="21"/>
        </w:rPr>
        <w:t>1</w:t>
      </w:r>
      <w:r>
        <w:rPr>
          <w:rFonts w:hint="eastAsia"/>
          <w:sz w:val="21"/>
          <w:szCs w:val="21"/>
        </w:rPr>
        <w:t>、本基金进入清算程序后停止办理申购、赎回</w:t>
      </w:r>
      <w:r>
        <w:rPr>
          <w:rFonts w:hint="eastAsia"/>
          <w:sz w:val="21"/>
          <w:szCs w:val="21"/>
        </w:rPr>
        <w:t>等</w:t>
      </w:r>
      <w:r>
        <w:rPr>
          <w:rFonts w:hint="eastAsia"/>
          <w:sz w:val="21"/>
          <w:szCs w:val="21"/>
        </w:rPr>
        <w:t>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017B2A" w:rsidRDefault="006D71F9">
      <w:pPr>
        <w:pStyle w:val="af3"/>
        <w:shd w:val="clear" w:color="FFFFFF" w:fill="FFFFFF"/>
        <w:spacing w:before="0" w:beforeAutospacing="0" w:after="0" w:afterAutospacing="0" w:line="360" w:lineRule="auto"/>
        <w:ind w:firstLineChars="200" w:firstLine="420"/>
        <w:jc w:val="both"/>
        <w:rPr>
          <w:sz w:val="21"/>
          <w:szCs w:val="21"/>
        </w:rPr>
      </w:pPr>
      <w:r>
        <w:rPr>
          <w:rFonts w:hint="eastAsia"/>
          <w:sz w:val="21"/>
          <w:szCs w:val="21"/>
        </w:rPr>
        <w:t>2</w:t>
      </w:r>
      <w:r>
        <w:rPr>
          <w:rFonts w:hint="eastAsia"/>
          <w:sz w:val="21"/>
          <w:szCs w:val="21"/>
        </w:rPr>
        <w:t>、风险提示：本基金管理人承诺以诚实信用、勤勉尽责的原则管理和运用基金资产，并将及时公告上述事项的进展及变化情况，敬请投资者关注。投资者如欲了解详情，投资者可以登陆华泰证券</w:t>
      </w:r>
      <w:r>
        <w:rPr>
          <w:sz w:val="21"/>
          <w:szCs w:val="21"/>
        </w:rPr>
        <w:t>（</w:t>
      </w:r>
      <w:r>
        <w:rPr>
          <w:rFonts w:hint="eastAsia"/>
          <w:sz w:val="21"/>
          <w:szCs w:val="21"/>
        </w:rPr>
        <w:t>上海</w:t>
      </w:r>
      <w:r>
        <w:rPr>
          <w:sz w:val="21"/>
          <w:szCs w:val="21"/>
        </w:rPr>
        <w:t>）</w:t>
      </w:r>
      <w:r>
        <w:rPr>
          <w:rFonts w:hint="eastAsia"/>
          <w:sz w:val="21"/>
          <w:szCs w:val="21"/>
        </w:rPr>
        <w:t>资产</w:t>
      </w:r>
      <w:r>
        <w:rPr>
          <w:sz w:val="21"/>
          <w:szCs w:val="21"/>
        </w:rPr>
        <w:t>管理有限公司</w:t>
      </w:r>
      <w:r>
        <w:rPr>
          <w:rFonts w:hint="eastAsia"/>
          <w:sz w:val="21"/>
          <w:szCs w:val="21"/>
        </w:rPr>
        <w:t>网站（</w:t>
      </w:r>
      <w:r>
        <w:rPr>
          <w:sz w:val="21"/>
          <w:szCs w:val="21"/>
        </w:rPr>
        <w:t>https://htamc.htsc.com.cn/</w:t>
      </w:r>
      <w:r>
        <w:rPr>
          <w:rFonts w:hint="eastAsia"/>
          <w:sz w:val="21"/>
          <w:szCs w:val="21"/>
        </w:rPr>
        <w:t>）或拨打客户服务热线</w:t>
      </w:r>
      <w:r>
        <w:rPr>
          <w:rFonts w:hint="eastAsia"/>
          <w:sz w:val="21"/>
          <w:szCs w:val="21"/>
        </w:rPr>
        <w:t>40088</w:t>
      </w:r>
      <w:r>
        <w:rPr>
          <w:sz w:val="21"/>
          <w:szCs w:val="21"/>
        </w:rPr>
        <w:t>95597</w:t>
      </w:r>
      <w:r>
        <w:rPr>
          <w:rFonts w:hint="eastAsia"/>
          <w:sz w:val="21"/>
          <w:szCs w:val="21"/>
        </w:rPr>
        <w:t>咨询相关情况。</w:t>
      </w:r>
    </w:p>
    <w:p w:rsidR="00017B2A" w:rsidRDefault="006D71F9">
      <w:pPr>
        <w:pStyle w:val="af3"/>
        <w:shd w:val="clear" w:color="FFFFFF" w:fill="FFFFFF"/>
        <w:spacing w:before="0" w:beforeAutospacing="0" w:after="0" w:afterAutospacing="0" w:line="360" w:lineRule="auto"/>
        <w:ind w:leftChars="200" w:left="420"/>
        <w:jc w:val="both"/>
        <w:rPr>
          <w:sz w:val="21"/>
          <w:szCs w:val="21"/>
        </w:rPr>
      </w:pPr>
      <w:r>
        <w:rPr>
          <w:rFonts w:hint="eastAsia"/>
          <w:sz w:val="21"/>
          <w:szCs w:val="21"/>
        </w:rPr>
        <w:br/>
      </w:r>
      <w:r>
        <w:rPr>
          <w:rFonts w:hint="eastAsia"/>
          <w:sz w:val="21"/>
          <w:szCs w:val="21"/>
        </w:rPr>
        <w:t>特此公告。</w:t>
      </w:r>
    </w:p>
    <w:p w:rsidR="00017B2A" w:rsidRDefault="006D71F9">
      <w:pPr>
        <w:pStyle w:val="af3"/>
        <w:shd w:val="clear" w:color="FFFFFF" w:fill="FFFFFF"/>
        <w:spacing w:before="0" w:beforeAutospacing="0" w:after="0" w:afterAutospacing="0"/>
        <w:jc w:val="right"/>
        <w:rPr>
          <w:sz w:val="21"/>
          <w:szCs w:val="21"/>
        </w:rPr>
      </w:pPr>
      <w:r>
        <w:rPr>
          <w:rFonts w:hint="eastAsia"/>
          <w:color w:val="666666"/>
          <w:sz w:val="21"/>
          <w:szCs w:val="21"/>
        </w:rPr>
        <w:br/>
      </w:r>
      <w:r>
        <w:rPr>
          <w:rFonts w:hint="eastAsia"/>
          <w:sz w:val="21"/>
          <w:szCs w:val="21"/>
        </w:rPr>
        <w:t>华泰证券（上海）资产管理有限公司</w:t>
      </w:r>
    </w:p>
    <w:p w:rsidR="00017B2A" w:rsidRDefault="006D71F9">
      <w:pPr>
        <w:rPr>
          <w:rFonts w:ascii="宋体" w:hAnsi="宋体" w:cs="宋体"/>
        </w:rPr>
      </w:pPr>
      <w:r>
        <w:rPr>
          <w:rFonts w:ascii="宋体" w:hAnsi="宋体" w:cs="宋体" w:hint="eastAsia"/>
        </w:rPr>
        <w:t xml:space="preserve">                                                        </w:t>
      </w:r>
      <w:r>
        <w:rPr>
          <w:rFonts w:ascii="宋体" w:hAnsi="宋体" w:cs="宋体" w:hint="eastAsia"/>
          <w:szCs w:val="21"/>
        </w:rPr>
        <w:t>2024</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p>
    <w:sectPr w:rsidR="00017B2A" w:rsidSect="00017B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2A" w:rsidRDefault="006D71F9">
      <w:r>
        <w:separator/>
      </w:r>
    </w:p>
  </w:endnote>
  <w:endnote w:type="continuationSeparator" w:id="0">
    <w:p w:rsidR="00017B2A" w:rsidRDefault="006D7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仿宋简体">
    <w:altName w:val="Trebuchet MS"/>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2A" w:rsidRDefault="006D71F9">
      <w:r>
        <w:separator/>
      </w:r>
    </w:p>
  </w:footnote>
  <w:footnote w:type="continuationSeparator" w:id="0">
    <w:p w:rsidR="00017B2A" w:rsidRDefault="006D71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017B2A"/>
    <w:rsid w:val="00017B2A"/>
    <w:rsid w:val="006D7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B2A"/>
    <w:pPr>
      <w:widowControl w:val="0"/>
      <w:jc w:val="both"/>
    </w:pPr>
    <w:rPr>
      <w:rFonts w:ascii="Calibri" w:eastAsia="宋体" w:hAnsi="Calibri" w:cs="Calibri"/>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17B2A"/>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17B2A"/>
    <w:rPr>
      <w:rFonts w:ascii="Arial" w:eastAsia="Arial" w:hAnsi="Arial" w:cs="Arial"/>
      <w:sz w:val="40"/>
      <w:szCs w:val="40"/>
    </w:rPr>
  </w:style>
  <w:style w:type="paragraph" w:customStyle="1" w:styleId="Heading2">
    <w:name w:val="Heading 2"/>
    <w:basedOn w:val="a"/>
    <w:next w:val="a"/>
    <w:link w:val="Heading2Char"/>
    <w:uiPriority w:val="9"/>
    <w:unhideWhenUsed/>
    <w:qFormat/>
    <w:rsid w:val="00017B2A"/>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17B2A"/>
    <w:rPr>
      <w:rFonts w:ascii="Arial" w:eastAsia="Arial" w:hAnsi="Arial" w:cs="Arial"/>
      <w:sz w:val="34"/>
    </w:rPr>
  </w:style>
  <w:style w:type="paragraph" w:customStyle="1" w:styleId="Heading3">
    <w:name w:val="Heading 3"/>
    <w:basedOn w:val="a"/>
    <w:next w:val="a"/>
    <w:link w:val="Heading3Char"/>
    <w:uiPriority w:val="9"/>
    <w:unhideWhenUsed/>
    <w:qFormat/>
    <w:rsid w:val="00017B2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17B2A"/>
    <w:rPr>
      <w:rFonts w:ascii="Arial" w:eastAsia="Arial" w:hAnsi="Arial" w:cs="Arial"/>
      <w:sz w:val="30"/>
      <w:szCs w:val="30"/>
    </w:rPr>
  </w:style>
  <w:style w:type="paragraph" w:customStyle="1" w:styleId="Heading4">
    <w:name w:val="Heading 4"/>
    <w:basedOn w:val="a"/>
    <w:next w:val="a"/>
    <w:link w:val="Heading4Char"/>
    <w:uiPriority w:val="9"/>
    <w:unhideWhenUsed/>
    <w:qFormat/>
    <w:rsid w:val="00017B2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17B2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17B2A"/>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017B2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17B2A"/>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Heading6"/>
    <w:uiPriority w:val="9"/>
    <w:rsid w:val="00017B2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17B2A"/>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017B2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17B2A"/>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017B2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17B2A"/>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Heading9"/>
    <w:uiPriority w:val="9"/>
    <w:rsid w:val="00017B2A"/>
    <w:rPr>
      <w:rFonts w:ascii="Arial" w:eastAsia="Arial" w:hAnsi="Arial" w:cs="Arial"/>
      <w:i/>
      <w:iCs/>
      <w:sz w:val="21"/>
      <w:szCs w:val="21"/>
    </w:rPr>
  </w:style>
  <w:style w:type="paragraph" w:styleId="a3">
    <w:name w:val="List Paragraph"/>
    <w:basedOn w:val="a"/>
    <w:uiPriority w:val="34"/>
    <w:qFormat/>
    <w:rsid w:val="00017B2A"/>
    <w:pPr>
      <w:ind w:left="720"/>
      <w:contextualSpacing/>
    </w:pPr>
  </w:style>
  <w:style w:type="paragraph" w:styleId="a4">
    <w:name w:val="No Spacing"/>
    <w:uiPriority w:val="1"/>
    <w:qFormat/>
    <w:rsid w:val="00017B2A"/>
  </w:style>
  <w:style w:type="paragraph" w:styleId="a5">
    <w:name w:val="Title"/>
    <w:basedOn w:val="a"/>
    <w:next w:val="a"/>
    <w:link w:val="Char"/>
    <w:uiPriority w:val="10"/>
    <w:qFormat/>
    <w:rsid w:val="00017B2A"/>
    <w:pPr>
      <w:spacing w:before="300" w:after="200"/>
      <w:contextualSpacing/>
    </w:pPr>
    <w:rPr>
      <w:sz w:val="48"/>
      <w:szCs w:val="48"/>
    </w:rPr>
  </w:style>
  <w:style w:type="character" w:customStyle="1" w:styleId="Char">
    <w:name w:val="标题 Char"/>
    <w:basedOn w:val="a0"/>
    <w:link w:val="a5"/>
    <w:uiPriority w:val="10"/>
    <w:rsid w:val="00017B2A"/>
    <w:rPr>
      <w:sz w:val="48"/>
      <w:szCs w:val="48"/>
    </w:rPr>
  </w:style>
  <w:style w:type="paragraph" w:styleId="a6">
    <w:name w:val="Subtitle"/>
    <w:basedOn w:val="a"/>
    <w:next w:val="a"/>
    <w:link w:val="Char0"/>
    <w:uiPriority w:val="11"/>
    <w:qFormat/>
    <w:rsid w:val="00017B2A"/>
    <w:pPr>
      <w:spacing w:before="200" w:after="200"/>
    </w:pPr>
    <w:rPr>
      <w:sz w:val="24"/>
      <w:szCs w:val="24"/>
    </w:rPr>
  </w:style>
  <w:style w:type="character" w:customStyle="1" w:styleId="Char0">
    <w:name w:val="副标题 Char"/>
    <w:basedOn w:val="a0"/>
    <w:link w:val="a6"/>
    <w:uiPriority w:val="11"/>
    <w:rsid w:val="00017B2A"/>
    <w:rPr>
      <w:sz w:val="24"/>
      <w:szCs w:val="24"/>
    </w:rPr>
  </w:style>
  <w:style w:type="paragraph" w:styleId="a7">
    <w:name w:val="Quote"/>
    <w:basedOn w:val="a"/>
    <w:next w:val="a"/>
    <w:link w:val="Char1"/>
    <w:uiPriority w:val="29"/>
    <w:qFormat/>
    <w:rsid w:val="00017B2A"/>
    <w:pPr>
      <w:ind w:left="720" w:right="720"/>
    </w:pPr>
    <w:rPr>
      <w:i/>
    </w:rPr>
  </w:style>
  <w:style w:type="character" w:customStyle="1" w:styleId="Char1">
    <w:name w:val="引用 Char"/>
    <w:link w:val="a7"/>
    <w:uiPriority w:val="29"/>
    <w:rsid w:val="00017B2A"/>
    <w:rPr>
      <w:i/>
    </w:rPr>
  </w:style>
  <w:style w:type="paragraph" w:styleId="a8">
    <w:name w:val="Intense Quote"/>
    <w:basedOn w:val="a"/>
    <w:next w:val="a"/>
    <w:link w:val="Char2"/>
    <w:uiPriority w:val="30"/>
    <w:qFormat/>
    <w:rsid w:val="00017B2A"/>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017B2A"/>
    <w:rPr>
      <w:i/>
    </w:rPr>
  </w:style>
  <w:style w:type="character" w:customStyle="1" w:styleId="HeaderChar">
    <w:name w:val="Header Char"/>
    <w:basedOn w:val="a0"/>
    <w:link w:val="Header"/>
    <w:uiPriority w:val="99"/>
    <w:rsid w:val="00017B2A"/>
  </w:style>
  <w:style w:type="character" w:customStyle="1" w:styleId="FooterChar">
    <w:name w:val="Footer Char"/>
    <w:basedOn w:val="a0"/>
    <w:link w:val="Footer"/>
    <w:uiPriority w:val="99"/>
    <w:rsid w:val="00017B2A"/>
  </w:style>
  <w:style w:type="paragraph" w:customStyle="1" w:styleId="Caption">
    <w:name w:val="Caption"/>
    <w:basedOn w:val="a"/>
    <w:next w:val="a"/>
    <w:uiPriority w:val="35"/>
    <w:semiHidden/>
    <w:unhideWhenUsed/>
    <w:qFormat/>
    <w:rsid w:val="00017B2A"/>
    <w:pPr>
      <w:spacing w:line="276" w:lineRule="auto"/>
    </w:pPr>
    <w:rPr>
      <w:b/>
      <w:bCs/>
      <w:color w:val="5B9BD5" w:themeColor="accent1"/>
      <w:sz w:val="18"/>
      <w:szCs w:val="18"/>
    </w:rPr>
  </w:style>
  <w:style w:type="character" w:customStyle="1" w:styleId="CaptionChar">
    <w:name w:val="Caption Char"/>
    <w:link w:val="Footer"/>
    <w:uiPriority w:val="99"/>
    <w:rsid w:val="00017B2A"/>
  </w:style>
  <w:style w:type="table" w:styleId="a9">
    <w:name w:val="Table Grid"/>
    <w:basedOn w:val="a1"/>
    <w:uiPriority w:val="59"/>
    <w:rsid w:val="00017B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017B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017B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017B2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017B2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017B2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017B2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017B2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017B2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017B2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017B2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017B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017B2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017B2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017B2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017B2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017B2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017B2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017B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017B2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017B2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017B2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017B2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017B2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017B2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017B2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017B2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017B2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017B2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017B2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017B2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017B2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017B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017B2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017B2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017B2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017B2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017B2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017B2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017B2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017B2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017B2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017B2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017B2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017B2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017B2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017B2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017B2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017B2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017B2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017B2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017B2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017B2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017B2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017B2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017B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017B2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017B2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017B2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017B2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017B2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017B2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017B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017B2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017B2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017B2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017B2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017B2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017B2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017B2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017B2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017B2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017B2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017B2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017B2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017B2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017B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017B2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017B2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017B2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017B2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017B2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017B2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017B2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017B2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017B2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017B2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017B2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017B2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017B2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017B2A"/>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017B2A"/>
    <w:rPr>
      <w:color w:val="404040"/>
      <w:sz w:val="20"/>
      <w:szCs w:val="20"/>
      <w:lang w:eastAsia="zh-C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017B2A"/>
    <w:rPr>
      <w:color w:val="404040"/>
      <w:sz w:val="20"/>
      <w:szCs w:val="20"/>
      <w:lang w:eastAsia="zh-CN"/>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017B2A"/>
    <w:rPr>
      <w:color w:val="404040"/>
      <w:sz w:val="20"/>
      <w:szCs w:val="20"/>
      <w:lang w:eastAsia="zh-CN"/>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017B2A"/>
    <w:rPr>
      <w:color w:val="404040"/>
      <w:sz w:val="20"/>
      <w:szCs w:val="20"/>
      <w:lang w:eastAsia="zh-CN"/>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017B2A"/>
    <w:rPr>
      <w:color w:val="404040"/>
      <w:sz w:val="20"/>
      <w:szCs w:val="20"/>
      <w:lang w:eastAsia="zh-CN"/>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017B2A"/>
    <w:rPr>
      <w:color w:val="404040"/>
      <w:sz w:val="20"/>
      <w:szCs w:val="20"/>
      <w:lang w:eastAsia="zh-CN"/>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017B2A"/>
    <w:rPr>
      <w:color w:val="404040"/>
      <w:sz w:val="20"/>
      <w:szCs w:val="20"/>
      <w:lang w:eastAsia="zh-CN"/>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017B2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017B2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017B2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017B2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017B2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017B2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017B2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a">
    <w:name w:val="footnote text"/>
    <w:basedOn w:val="a"/>
    <w:link w:val="Char3"/>
    <w:uiPriority w:val="99"/>
    <w:semiHidden/>
    <w:unhideWhenUsed/>
    <w:rsid w:val="00017B2A"/>
    <w:pPr>
      <w:spacing w:after="40"/>
    </w:pPr>
    <w:rPr>
      <w:sz w:val="18"/>
    </w:rPr>
  </w:style>
  <w:style w:type="character" w:customStyle="1" w:styleId="Char3">
    <w:name w:val="脚注文本 Char"/>
    <w:link w:val="aa"/>
    <w:uiPriority w:val="99"/>
    <w:rsid w:val="00017B2A"/>
    <w:rPr>
      <w:sz w:val="18"/>
    </w:rPr>
  </w:style>
  <w:style w:type="character" w:styleId="ab">
    <w:name w:val="footnote reference"/>
    <w:basedOn w:val="a0"/>
    <w:uiPriority w:val="99"/>
    <w:unhideWhenUsed/>
    <w:rsid w:val="00017B2A"/>
    <w:rPr>
      <w:vertAlign w:val="superscript"/>
    </w:rPr>
  </w:style>
  <w:style w:type="paragraph" w:styleId="ac">
    <w:name w:val="endnote text"/>
    <w:basedOn w:val="a"/>
    <w:link w:val="Char4"/>
    <w:uiPriority w:val="99"/>
    <w:semiHidden/>
    <w:unhideWhenUsed/>
    <w:rsid w:val="00017B2A"/>
    <w:rPr>
      <w:sz w:val="20"/>
    </w:rPr>
  </w:style>
  <w:style w:type="character" w:customStyle="1" w:styleId="Char4">
    <w:name w:val="尾注文本 Char"/>
    <w:link w:val="ac"/>
    <w:uiPriority w:val="99"/>
    <w:rsid w:val="00017B2A"/>
    <w:rPr>
      <w:sz w:val="20"/>
    </w:rPr>
  </w:style>
  <w:style w:type="character" w:styleId="ad">
    <w:name w:val="endnote reference"/>
    <w:basedOn w:val="a0"/>
    <w:uiPriority w:val="99"/>
    <w:semiHidden/>
    <w:unhideWhenUsed/>
    <w:rsid w:val="00017B2A"/>
    <w:rPr>
      <w:vertAlign w:val="superscript"/>
    </w:rPr>
  </w:style>
  <w:style w:type="paragraph" w:styleId="1">
    <w:name w:val="toc 1"/>
    <w:basedOn w:val="a"/>
    <w:next w:val="a"/>
    <w:uiPriority w:val="39"/>
    <w:unhideWhenUsed/>
    <w:rsid w:val="00017B2A"/>
    <w:pPr>
      <w:spacing w:after="57"/>
    </w:pPr>
  </w:style>
  <w:style w:type="paragraph" w:styleId="2">
    <w:name w:val="toc 2"/>
    <w:basedOn w:val="a"/>
    <w:next w:val="a"/>
    <w:uiPriority w:val="39"/>
    <w:unhideWhenUsed/>
    <w:rsid w:val="00017B2A"/>
    <w:pPr>
      <w:spacing w:after="57"/>
      <w:ind w:left="283"/>
    </w:pPr>
  </w:style>
  <w:style w:type="paragraph" w:styleId="3">
    <w:name w:val="toc 3"/>
    <w:basedOn w:val="a"/>
    <w:next w:val="a"/>
    <w:uiPriority w:val="39"/>
    <w:unhideWhenUsed/>
    <w:rsid w:val="00017B2A"/>
    <w:pPr>
      <w:spacing w:after="57"/>
      <w:ind w:left="567"/>
    </w:pPr>
  </w:style>
  <w:style w:type="paragraph" w:styleId="4">
    <w:name w:val="toc 4"/>
    <w:basedOn w:val="a"/>
    <w:next w:val="a"/>
    <w:uiPriority w:val="39"/>
    <w:unhideWhenUsed/>
    <w:rsid w:val="00017B2A"/>
    <w:pPr>
      <w:spacing w:after="57"/>
      <w:ind w:left="850"/>
    </w:pPr>
  </w:style>
  <w:style w:type="paragraph" w:styleId="5">
    <w:name w:val="toc 5"/>
    <w:basedOn w:val="a"/>
    <w:next w:val="a"/>
    <w:uiPriority w:val="39"/>
    <w:unhideWhenUsed/>
    <w:rsid w:val="00017B2A"/>
    <w:pPr>
      <w:spacing w:after="57"/>
      <w:ind w:left="1134"/>
    </w:pPr>
  </w:style>
  <w:style w:type="paragraph" w:styleId="6">
    <w:name w:val="toc 6"/>
    <w:basedOn w:val="a"/>
    <w:next w:val="a"/>
    <w:uiPriority w:val="39"/>
    <w:unhideWhenUsed/>
    <w:rsid w:val="00017B2A"/>
    <w:pPr>
      <w:spacing w:after="57"/>
      <w:ind w:left="1417"/>
    </w:pPr>
  </w:style>
  <w:style w:type="paragraph" w:styleId="7">
    <w:name w:val="toc 7"/>
    <w:basedOn w:val="a"/>
    <w:next w:val="a"/>
    <w:uiPriority w:val="39"/>
    <w:unhideWhenUsed/>
    <w:rsid w:val="00017B2A"/>
    <w:pPr>
      <w:spacing w:after="57"/>
      <w:ind w:left="1701"/>
    </w:pPr>
  </w:style>
  <w:style w:type="paragraph" w:styleId="8">
    <w:name w:val="toc 8"/>
    <w:basedOn w:val="a"/>
    <w:next w:val="a"/>
    <w:uiPriority w:val="39"/>
    <w:unhideWhenUsed/>
    <w:rsid w:val="00017B2A"/>
    <w:pPr>
      <w:spacing w:after="57"/>
      <w:ind w:left="1984"/>
    </w:pPr>
  </w:style>
  <w:style w:type="paragraph" w:styleId="9">
    <w:name w:val="toc 9"/>
    <w:basedOn w:val="a"/>
    <w:next w:val="a"/>
    <w:uiPriority w:val="39"/>
    <w:unhideWhenUsed/>
    <w:rsid w:val="00017B2A"/>
    <w:pPr>
      <w:spacing w:after="57"/>
      <w:ind w:left="2268"/>
    </w:pPr>
  </w:style>
  <w:style w:type="paragraph" w:styleId="TOC">
    <w:name w:val="TOC Heading"/>
    <w:uiPriority w:val="39"/>
    <w:unhideWhenUsed/>
    <w:rsid w:val="00017B2A"/>
  </w:style>
  <w:style w:type="paragraph" w:styleId="ae">
    <w:name w:val="table of figures"/>
    <w:basedOn w:val="a"/>
    <w:next w:val="a"/>
    <w:uiPriority w:val="99"/>
    <w:unhideWhenUsed/>
    <w:rsid w:val="00017B2A"/>
  </w:style>
  <w:style w:type="paragraph" w:styleId="af">
    <w:name w:val="annotation text"/>
    <w:basedOn w:val="a"/>
    <w:uiPriority w:val="99"/>
    <w:semiHidden/>
    <w:unhideWhenUsed/>
    <w:qFormat/>
    <w:rsid w:val="00017B2A"/>
    <w:pPr>
      <w:jc w:val="left"/>
    </w:pPr>
  </w:style>
  <w:style w:type="paragraph" w:styleId="af0">
    <w:name w:val="Balloon Text"/>
    <w:basedOn w:val="a"/>
    <w:link w:val="Char5"/>
    <w:uiPriority w:val="99"/>
    <w:semiHidden/>
    <w:unhideWhenUsed/>
    <w:qFormat/>
    <w:rsid w:val="00017B2A"/>
    <w:rPr>
      <w:sz w:val="18"/>
      <w:szCs w:val="18"/>
    </w:rPr>
  </w:style>
  <w:style w:type="paragraph" w:customStyle="1" w:styleId="Footer">
    <w:name w:val="Footer"/>
    <w:basedOn w:val="a"/>
    <w:link w:val="af1"/>
    <w:uiPriority w:val="99"/>
    <w:unhideWhenUsed/>
    <w:qFormat/>
    <w:rsid w:val="00017B2A"/>
    <w:pPr>
      <w:tabs>
        <w:tab w:val="center" w:pos="4153"/>
        <w:tab w:val="right" w:pos="8306"/>
      </w:tabs>
      <w:snapToGrid w:val="0"/>
      <w:jc w:val="left"/>
    </w:pPr>
    <w:rPr>
      <w:sz w:val="18"/>
      <w:szCs w:val="18"/>
    </w:rPr>
  </w:style>
  <w:style w:type="paragraph" w:customStyle="1" w:styleId="Header">
    <w:name w:val="Header"/>
    <w:basedOn w:val="a"/>
    <w:link w:val="af2"/>
    <w:uiPriority w:val="99"/>
    <w:unhideWhenUsed/>
    <w:rsid w:val="00017B2A"/>
    <w:pPr>
      <w:pBdr>
        <w:bottom w:val="single" w:sz="6" w:space="1" w:color="auto"/>
      </w:pBdr>
      <w:tabs>
        <w:tab w:val="center" w:pos="4153"/>
        <w:tab w:val="right" w:pos="8306"/>
      </w:tabs>
      <w:snapToGrid w:val="0"/>
      <w:jc w:val="center"/>
    </w:pPr>
    <w:rPr>
      <w:sz w:val="18"/>
      <w:szCs w:val="18"/>
    </w:rPr>
  </w:style>
  <w:style w:type="paragraph" w:styleId="af3">
    <w:name w:val="Normal (Web)"/>
    <w:basedOn w:val="a"/>
    <w:uiPriority w:val="99"/>
    <w:unhideWhenUsed/>
    <w:qFormat/>
    <w:rsid w:val="00017B2A"/>
    <w:pPr>
      <w:widowControl/>
      <w:spacing w:before="100" w:beforeAutospacing="1" w:after="100" w:afterAutospacing="1"/>
      <w:jc w:val="left"/>
    </w:pPr>
    <w:rPr>
      <w:rFonts w:ascii="宋体" w:hAnsi="宋体" w:cs="宋体"/>
      <w:sz w:val="24"/>
      <w:szCs w:val="24"/>
    </w:rPr>
  </w:style>
  <w:style w:type="character" w:styleId="af4">
    <w:name w:val="Hyperlink"/>
    <w:basedOn w:val="a0"/>
    <w:uiPriority w:val="99"/>
    <w:semiHidden/>
    <w:unhideWhenUsed/>
    <w:qFormat/>
    <w:rsid w:val="00017B2A"/>
    <w:rPr>
      <w:color w:val="0000FF"/>
      <w:u w:val="single"/>
    </w:rPr>
  </w:style>
  <w:style w:type="character" w:customStyle="1" w:styleId="af2">
    <w:name w:val="页眉 字符"/>
    <w:basedOn w:val="a0"/>
    <w:link w:val="Header"/>
    <w:uiPriority w:val="99"/>
    <w:qFormat/>
    <w:rsid w:val="00017B2A"/>
    <w:rPr>
      <w:sz w:val="18"/>
      <w:szCs w:val="18"/>
    </w:rPr>
  </w:style>
  <w:style w:type="character" w:customStyle="1" w:styleId="af1">
    <w:name w:val="页脚 字符"/>
    <w:basedOn w:val="a0"/>
    <w:link w:val="Footer"/>
    <w:uiPriority w:val="99"/>
    <w:qFormat/>
    <w:rsid w:val="00017B2A"/>
    <w:rPr>
      <w:sz w:val="18"/>
      <w:szCs w:val="18"/>
    </w:rPr>
  </w:style>
  <w:style w:type="character" w:customStyle="1" w:styleId="Char5">
    <w:name w:val="批注框文本 Char"/>
    <w:basedOn w:val="a0"/>
    <w:link w:val="af0"/>
    <w:uiPriority w:val="99"/>
    <w:semiHidden/>
    <w:rsid w:val="00017B2A"/>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1989</Characters>
  <Application>Microsoft Office Word</Application>
  <DocSecurity>4</DocSecurity>
  <Lines>16</Lines>
  <Paragraphs>4</Paragraphs>
  <ScaleCrop>false</ScaleCrop>
  <Company>Microsoft</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夏碎慧</dc:creator>
  <cp:lastModifiedBy>ZHONGM</cp:lastModifiedBy>
  <cp:revision>2</cp:revision>
  <dcterms:created xsi:type="dcterms:W3CDTF">2024-07-29T16:00:00Z</dcterms:created>
  <dcterms:modified xsi:type="dcterms:W3CDTF">2024-07-29T16:00:00Z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E9D6240123744CFEBD26DF3F6F8B7378</vt:lpwstr>
  </property>
</Properties>
</file>