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24" w:rsidRDefault="00FB767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博时标普</w:t>
      </w:r>
      <w:r>
        <w:rPr>
          <w:rFonts w:ascii="宋体" w:hAnsi="宋体" w:hint="eastAsia"/>
          <w:b/>
          <w:sz w:val="32"/>
          <w:szCs w:val="32"/>
        </w:rPr>
        <w:t>500</w:t>
      </w:r>
      <w:r>
        <w:rPr>
          <w:rFonts w:ascii="宋体" w:hAnsi="宋体" w:hint="eastAsia"/>
          <w:b/>
          <w:sz w:val="32"/>
          <w:szCs w:val="32"/>
        </w:rPr>
        <w:t>交易型开放式指数证券投资基金</w:t>
      </w:r>
      <w:r>
        <w:rPr>
          <w:rFonts w:ascii="宋体" w:hAnsi="宋体" w:hint="eastAsia"/>
          <w:b/>
          <w:sz w:val="32"/>
          <w:szCs w:val="32"/>
        </w:rPr>
        <w:t>溢价风险提示公告</w:t>
      </w:r>
    </w:p>
    <w:p w:rsidR="00DC5B24" w:rsidRDefault="00DC5B24">
      <w:p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</w:p>
    <w:p w:rsidR="00DC5B24" w:rsidRDefault="00FB767A">
      <w:p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近期，博时基金管理有限公司（以下简称“基金管理人”）旗下</w:t>
      </w:r>
      <w:r>
        <w:rPr>
          <w:rFonts w:ascii="宋体" w:hAnsi="宋体" w:hint="eastAsia"/>
          <w:kern w:val="2"/>
          <w:sz w:val="24"/>
          <w:szCs w:val="24"/>
        </w:rPr>
        <w:t>博时标普</w:t>
      </w:r>
      <w:r>
        <w:rPr>
          <w:rFonts w:ascii="宋体" w:hAnsi="宋体" w:hint="eastAsia"/>
          <w:kern w:val="2"/>
          <w:sz w:val="24"/>
          <w:szCs w:val="24"/>
        </w:rPr>
        <w:t>500</w:t>
      </w:r>
      <w:r>
        <w:rPr>
          <w:rFonts w:ascii="宋体" w:hAnsi="宋体" w:hint="eastAsia"/>
          <w:kern w:val="2"/>
          <w:sz w:val="24"/>
          <w:szCs w:val="24"/>
        </w:rPr>
        <w:t>交易型开放式指数证券投资基金</w:t>
      </w:r>
      <w:r>
        <w:rPr>
          <w:rFonts w:ascii="宋体" w:hAnsi="宋体" w:hint="eastAsia"/>
          <w:kern w:val="2"/>
          <w:sz w:val="24"/>
          <w:szCs w:val="24"/>
        </w:rPr>
        <w:t>（以下简称“本基金”，</w:t>
      </w:r>
      <w:r>
        <w:rPr>
          <w:rFonts w:ascii="宋体" w:hAnsi="宋体" w:hint="eastAsia"/>
          <w:kern w:val="2"/>
          <w:sz w:val="24"/>
          <w:szCs w:val="24"/>
        </w:rPr>
        <w:t>扩位</w:t>
      </w:r>
      <w:r>
        <w:rPr>
          <w:rFonts w:ascii="宋体" w:hAnsi="宋体" w:hint="eastAsia"/>
          <w:kern w:val="2"/>
          <w:sz w:val="24"/>
          <w:szCs w:val="24"/>
        </w:rPr>
        <w:t>简称：标普</w:t>
      </w:r>
      <w:r>
        <w:rPr>
          <w:rFonts w:ascii="宋体" w:hAnsi="宋体" w:hint="eastAsia"/>
          <w:kern w:val="2"/>
          <w:sz w:val="24"/>
          <w:szCs w:val="24"/>
        </w:rPr>
        <w:t>500ETF</w:t>
      </w:r>
      <w:r>
        <w:rPr>
          <w:rFonts w:ascii="宋体" w:hAnsi="宋体" w:hint="eastAsia"/>
          <w:kern w:val="2"/>
          <w:sz w:val="24"/>
          <w:szCs w:val="24"/>
        </w:rPr>
        <w:t>，交易所代码：</w:t>
      </w:r>
      <w:r>
        <w:rPr>
          <w:rFonts w:ascii="宋体" w:hAnsi="宋体" w:hint="eastAsia"/>
          <w:kern w:val="2"/>
          <w:sz w:val="24"/>
          <w:szCs w:val="24"/>
        </w:rPr>
        <w:t>513</w:t>
      </w:r>
      <w:r>
        <w:rPr>
          <w:rFonts w:ascii="宋体" w:hAnsi="宋体" w:hint="eastAsia"/>
          <w:kern w:val="2"/>
          <w:sz w:val="24"/>
          <w:szCs w:val="24"/>
        </w:rPr>
        <w:t>500</w:t>
      </w:r>
      <w:r>
        <w:rPr>
          <w:rFonts w:ascii="宋体" w:hAnsi="宋体" w:hint="eastAsia"/>
          <w:kern w:val="2"/>
          <w:sz w:val="24"/>
          <w:szCs w:val="24"/>
        </w:rPr>
        <w:t>）在二级市场的交易价格出现较大幅度的溢价，交易价格偏离基金份额参考净值的幅度较大</w:t>
      </w:r>
      <w:r>
        <w:rPr>
          <w:rFonts w:ascii="宋体" w:hAnsi="宋体" w:hint="eastAsia"/>
          <w:kern w:val="2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特此提示投资者关注二级市场交易价格溢价风险，投资者如果盲目投资，可能遭受重大损失。为保护投资者利益，本公司特向投资者提示如下：</w:t>
      </w:r>
    </w:p>
    <w:p w:rsidR="00DC5B24" w:rsidRDefault="00FB767A">
      <w:pPr>
        <w:numPr>
          <w:ilvl w:val="255"/>
          <w:numId w:val="0"/>
        </w:numPr>
        <w:spacing w:line="360" w:lineRule="auto"/>
        <w:ind w:firstLine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一、</w:t>
      </w:r>
      <w:r>
        <w:rPr>
          <w:rFonts w:ascii="宋体" w:hAnsi="宋体" w:hint="eastAsia"/>
          <w:kern w:val="2"/>
          <w:sz w:val="24"/>
          <w:szCs w:val="24"/>
        </w:rPr>
        <w:t>本基金为交易型开放式基金，投资者可在二级市场交易本基金，也可以申购、赎回本基金。本基金二级市场的交易价格，除了有基金份额净值变化的风险外，还会受到市场供求关系、系统性风险、流动性风险等其他因素的影响，可能使投资人面临损失。</w:t>
      </w:r>
    </w:p>
    <w:p w:rsidR="00DC5B24" w:rsidRDefault="00FB767A">
      <w:pPr>
        <w:numPr>
          <w:ilvl w:val="255"/>
          <w:numId w:val="0"/>
        </w:numPr>
        <w:spacing w:line="360" w:lineRule="auto"/>
        <w:ind w:firstLine="42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二、</w:t>
      </w:r>
      <w:r>
        <w:rPr>
          <w:rFonts w:ascii="宋体" w:hAnsi="宋体" w:hint="eastAsia"/>
          <w:kern w:val="2"/>
          <w:sz w:val="24"/>
          <w:szCs w:val="24"/>
        </w:rPr>
        <w:t>截至目前，本基金运作正常且无应披露而未披露的重大信息，基金管理人将严格按照法律法规及基金合同的规定进行投资运作，履行信息披露义务。</w:t>
      </w:r>
    </w:p>
    <w:p w:rsidR="00DC5B24" w:rsidRDefault="00FB767A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  <w:lang/>
        </w:rPr>
        <w:t>风险提示：基金管理人承诺以诚实信用、勤勉尽责的原则管理和运用基金资产，但不保证基金一定盈利，也不保证最低收益。投资者投资于基金时应认真阅读基金的《基金合</w:t>
      </w:r>
      <w:r>
        <w:rPr>
          <w:rFonts w:ascii="宋体" w:hAnsi="宋体" w:hint="eastAsia"/>
          <w:kern w:val="2"/>
          <w:sz w:val="24"/>
          <w:szCs w:val="24"/>
          <w:lang/>
        </w:rPr>
        <w:t>同》和《招募说明书》。敬请投资者注意投资风险。</w:t>
      </w:r>
    </w:p>
    <w:p w:rsidR="00DC5B24" w:rsidRDefault="00DC5B24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</w:p>
    <w:p w:rsidR="00DC5B24" w:rsidRDefault="00FB767A">
      <w:pPr>
        <w:widowControl w:val="0"/>
        <w:spacing w:line="360" w:lineRule="auto"/>
        <w:ind w:firstLine="42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特此公告。</w:t>
      </w:r>
    </w:p>
    <w:p w:rsidR="00DC5B24" w:rsidRDefault="00FB767A">
      <w:pPr>
        <w:widowControl w:val="0"/>
        <w:spacing w:line="360" w:lineRule="auto"/>
        <w:ind w:firstLine="420"/>
        <w:jc w:val="righ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博时基金管理有限公</w:t>
      </w:r>
      <w:bookmarkStart w:id="0" w:name="_GoBack"/>
      <w:bookmarkEnd w:id="0"/>
      <w:r>
        <w:rPr>
          <w:rFonts w:ascii="宋体" w:hAnsi="宋体" w:hint="eastAsia"/>
          <w:kern w:val="2"/>
          <w:sz w:val="24"/>
          <w:szCs w:val="24"/>
        </w:rPr>
        <w:t>司</w:t>
      </w:r>
    </w:p>
    <w:p w:rsidR="00DC5B24" w:rsidRDefault="00FB767A">
      <w:pPr>
        <w:widowControl w:val="0"/>
        <w:spacing w:line="360" w:lineRule="auto"/>
        <w:ind w:firstLine="420"/>
        <w:jc w:val="righ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202</w:t>
      </w:r>
      <w:r>
        <w:rPr>
          <w:rFonts w:ascii="宋体" w:hAnsi="宋体" w:hint="eastAsia"/>
          <w:kern w:val="2"/>
          <w:sz w:val="24"/>
          <w:szCs w:val="24"/>
        </w:rPr>
        <w:t>4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</w:rPr>
        <w:t>7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</w:rPr>
        <w:t>25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sectPr w:rsidR="00DC5B24" w:rsidSect="00DC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20D9"/>
    <w:rsid w:val="00037A37"/>
    <w:rsid w:val="001039C7"/>
    <w:rsid w:val="00167962"/>
    <w:rsid w:val="00222984"/>
    <w:rsid w:val="002A3F26"/>
    <w:rsid w:val="002F27E4"/>
    <w:rsid w:val="003C75DA"/>
    <w:rsid w:val="00461E35"/>
    <w:rsid w:val="00472B49"/>
    <w:rsid w:val="00485CF2"/>
    <w:rsid w:val="0049769D"/>
    <w:rsid w:val="004C24C7"/>
    <w:rsid w:val="00582824"/>
    <w:rsid w:val="00655A41"/>
    <w:rsid w:val="00664C7C"/>
    <w:rsid w:val="006B1F90"/>
    <w:rsid w:val="006D5783"/>
    <w:rsid w:val="006D6EA3"/>
    <w:rsid w:val="007668A1"/>
    <w:rsid w:val="007C11F2"/>
    <w:rsid w:val="008020D9"/>
    <w:rsid w:val="00837B0C"/>
    <w:rsid w:val="008D615B"/>
    <w:rsid w:val="009117D5"/>
    <w:rsid w:val="009C26C6"/>
    <w:rsid w:val="009D012F"/>
    <w:rsid w:val="00A00584"/>
    <w:rsid w:val="00A32552"/>
    <w:rsid w:val="00A94BB8"/>
    <w:rsid w:val="00AB16B7"/>
    <w:rsid w:val="00B01FBE"/>
    <w:rsid w:val="00B03FC9"/>
    <w:rsid w:val="00B64F5D"/>
    <w:rsid w:val="00B65487"/>
    <w:rsid w:val="00C22921"/>
    <w:rsid w:val="00C7746A"/>
    <w:rsid w:val="00DC5B24"/>
    <w:rsid w:val="00E36102"/>
    <w:rsid w:val="00F75611"/>
    <w:rsid w:val="00FB767A"/>
    <w:rsid w:val="08582671"/>
    <w:rsid w:val="0A005473"/>
    <w:rsid w:val="0B7B6007"/>
    <w:rsid w:val="0C474AE5"/>
    <w:rsid w:val="0F083B97"/>
    <w:rsid w:val="11003973"/>
    <w:rsid w:val="177770A8"/>
    <w:rsid w:val="18144984"/>
    <w:rsid w:val="185B1961"/>
    <w:rsid w:val="19B13187"/>
    <w:rsid w:val="1F525966"/>
    <w:rsid w:val="1FC518B7"/>
    <w:rsid w:val="215046D6"/>
    <w:rsid w:val="2254035E"/>
    <w:rsid w:val="233A2A5D"/>
    <w:rsid w:val="240B6D1B"/>
    <w:rsid w:val="243E30E4"/>
    <w:rsid w:val="273F61F9"/>
    <w:rsid w:val="299F65D6"/>
    <w:rsid w:val="2A2873C8"/>
    <w:rsid w:val="2B9E39AB"/>
    <w:rsid w:val="2FC3224D"/>
    <w:rsid w:val="37565414"/>
    <w:rsid w:val="3D882B77"/>
    <w:rsid w:val="42142948"/>
    <w:rsid w:val="431B1D27"/>
    <w:rsid w:val="43C75263"/>
    <w:rsid w:val="4B043FA0"/>
    <w:rsid w:val="4CFB0B11"/>
    <w:rsid w:val="552016B9"/>
    <w:rsid w:val="5D352AA7"/>
    <w:rsid w:val="5ED21F17"/>
    <w:rsid w:val="602B0A42"/>
    <w:rsid w:val="62DC2A60"/>
    <w:rsid w:val="647F7BF5"/>
    <w:rsid w:val="6E617526"/>
    <w:rsid w:val="6EEA46F5"/>
    <w:rsid w:val="6FF41EBB"/>
    <w:rsid w:val="73410140"/>
    <w:rsid w:val="75E3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24"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C5B24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DC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C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C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C5B24"/>
    <w:rPr>
      <w:rFonts w:ascii="Calibri" w:eastAsia="宋体" w:hAnsi="Calibri" w:cs="宋体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DC5B24"/>
    <w:rPr>
      <w:rFonts w:ascii="Calibri" w:eastAsia="宋体" w:hAnsi="Calibri" w:cs="宋体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C5B24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Company>CNSTOCK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朱凯华</dc:creator>
  <cp:lastModifiedBy>ZHONGM</cp:lastModifiedBy>
  <cp:revision>2</cp:revision>
  <dcterms:created xsi:type="dcterms:W3CDTF">2024-07-24T16:02:00Z</dcterms:created>
  <dcterms:modified xsi:type="dcterms:W3CDTF">2024-07-24T16:02:00Z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AADB0FD52C8E431CAB3789412EF3DDB7_13</vt:lpwstr>
  </property>
</Properties>
</file>