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0A" w:rsidRDefault="00D1461E">
      <w:pPr>
        <w:autoSpaceDE w:val="0"/>
        <w:autoSpaceDN w:val="0"/>
        <w:adjustRightInd w:val="0"/>
        <w:spacing w:line="440" w:lineRule="exact"/>
        <w:jc w:val="center"/>
        <w:rPr>
          <w:rFonts w:ascii="宋体" w:hAnsi="宋体" w:cs="宋体"/>
          <w:b/>
          <w:bCs/>
          <w:kern w:val="0"/>
          <w:sz w:val="24"/>
          <w:szCs w:val="24"/>
        </w:rPr>
      </w:pPr>
      <w:r>
        <w:rPr>
          <w:rFonts w:ascii="宋体" w:hAnsi="宋体" w:cs="宋体" w:hint="eastAsia"/>
          <w:b/>
          <w:bCs/>
          <w:kern w:val="0"/>
          <w:sz w:val="24"/>
          <w:szCs w:val="24"/>
        </w:rPr>
        <w:t>银华基金管理股份有限公司关于增加部分代销机构为旗下部分基金申购赎回代办券商的公告</w:t>
      </w:r>
    </w:p>
    <w:p w:rsidR="00244E0A" w:rsidRDefault="00244E0A">
      <w:pPr>
        <w:autoSpaceDE w:val="0"/>
        <w:autoSpaceDN w:val="0"/>
        <w:adjustRightInd w:val="0"/>
        <w:spacing w:line="440" w:lineRule="exact"/>
        <w:jc w:val="center"/>
        <w:rPr>
          <w:rFonts w:ascii="宋体" w:hAnsi="宋体" w:cs="宋体"/>
          <w:b/>
          <w:bCs/>
          <w:kern w:val="0"/>
          <w:sz w:val="24"/>
          <w:szCs w:val="24"/>
        </w:rPr>
      </w:pPr>
    </w:p>
    <w:p w:rsidR="00244E0A" w:rsidRPr="00D57BDF" w:rsidRDefault="00D1461E" w:rsidP="00731B75">
      <w:pPr>
        <w:pStyle w:val="10"/>
        <w:spacing w:line="360" w:lineRule="auto"/>
        <w:ind w:firstLineChars="200" w:firstLine="420"/>
        <w:jc w:val="both"/>
        <w:rPr>
          <w:sz w:val="21"/>
          <w:szCs w:val="21"/>
        </w:rPr>
      </w:pPr>
      <w:r>
        <w:rPr>
          <w:rFonts w:hint="eastAsia"/>
          <w:sz w:val="21"/>
          <w:szCs w:val="21"/>
        </w:rPr>
        <w:t>根据银华基金管理股份有限公司（以下简称“本公司”）与</w:t>
      </w:r>
      <w:r w:rsidR="00F504C0" w:rsidRPr="00F504C0">
        <w:rPr>
          <w:sz w:val="21"/>
          <w:szCs w:val="21"/>
        </w:rPr>
        <w:t>东兴证券股份有限公司</w:t>
      </w:r>
      <w:r>
        <w:rPr>
          <w:rFonts w:hint="eastAsia"/>
          <w:sz w:val="21"/>
          <w:szCs w:val="21"/>
        </w:rPr>
        <w:t>（以下简称</w:t>
      </w:r>
      <w:r w:rsidRPr="00D57BDF">
        <w:rPr>
          <w:rFonts w:hint="eastAsia"/>
          <w:sz w:val="21"/>
          <w:szCs w:val="21"/>
        </w:rPr>
        <w:t>“</w:t>
      </w:r>
      <w:r w:rsidR="00F504C0" w:rsidRPr="00D57BDF">
        <w:rPr>
          <w:rFonts w:hint="eastAsia"/>
          <w:sz w:val="21"/>
          <w:szCs w:val="21"/>
        </w:rPr>
        <w:t>东兴</w:t>
      </w:r>
      <w:r w:rsidRPr="00D57BDF">
        <w:rPr>
          <w:rFonts w:hint="eastAsia"/>
          <w:sz w:val="21"/>
          <w:szCs w:val="21"/>
        </w:rPr>
        <w:t>证券”）签署的销售代理协议，本公司决定从2024年</w:t>
      </w:r>
      <w:r w:rsidR="00F504C0" w:rsidRPr="00D57BDF">
        <w:rPr>
          <w:rFonts w:hint="eastAsia"/>
          <w:sz w:val="21"/>
          <w:szCs w:val="21"/>
        </w:rPr>
        <w:t>7</w:t>
      </w:r>
      <w:r w:rsidRPr="00D57BDF">
        <w:rPr>
          <w:rFonts w:hint="eastAsia"/>
          <w:sz w:val="21"/>
          <w:szCs w:val="21"/>
        </w:rPr>
        <w:t>月</w:t>
      </w:r>
      <w:r w:rsidR="00F504C0" w:rsidRPr="00D57BDF">
        <w:rPr>
          <w:rFonts w:hint="eastAsia"/>
          <w:sz w:val="21"/>
          <w:szCs w:val="21"/>
        </w:rPr>
        <w:t>2</w:t>
      </w:r>
      <w:r w:rsidR="00F504C0" w:rsidRPr="00D57BDF">
        <w:rPr>
          <w:sz w:val="21"/>
          <w:szCs w:val="21"/>
        </w:rPr>
        <w:t>4</w:t>
      </w:r>
      <w:r w:rsidRPr="00D57BDF">
        <w:rPr>
          <w:rFonts w:hint="eastAsia"/>
          <w:sz w:val="21"/>
          <w:szCs w:val="21"/>
        </w:rPr>
        <w:t>日起增加</w:t>
      </w:r>
      <w:r w:rsidR="00F504C0" w:rsidRPr="00D57BDF">
        <w:rPr>
          <w:rFonts w:hint="eastAsia"/>
          <w:sz w:val="21"/>
          <w:szCs w:val="21"/>
        </w:rPr>
        <w:t>东兴证券</w:t>
      </w:r>
      <w:r w:rsidRPr="00D57BDF">
        <w:rPr>
          <w:rFonts w:hint="eastAsia"/>
          <w:sz w:val="21"/>
          <w:szCs w:val="21"/>
        </w:rPr>
        <w:t>为银华中证细分食品饮料产业主题交易型开放式指数证券投资基金（场内简称：食品ETF，基金代码：159862</w:t>
      </w:r>
      <w:r w:rsidR="008242D9">
        <w:rPr>
          <w:rFonts w:hint="eastAsia"/>
          <w:sz w:val="21"/>
          <w:szCs w:val="21"/>
        </w:rPr>
        <w:t>）</w:t>
      </w:r>
      <w:r w:rsidRPr="00D57BDF">
        <w:rPr>
          <w:rFonts w:hint="eastAsia"/>
          <w:sz w:val="21"/>
          <w:szCs w:val="21"/>
        </w:rPr>
        <w:t>、银华中证科创创业50交易型开放式指数证券投资基金（场内简称：双创50ETF基金，基金代码：159782）、</w:t>
      </w:r>
      <w:r w:rsidR="00731B75" w:rsidRPr="00D57BDF">
        <w:rPr>
          <w:rFonts w:hint="eastAsia"/>
          <w:sz w:val="21"/>
          <w:szCs w:val="21"/>
        </w:rPr>
        <w:t>银华中证央企结构调整交易型开放式指数证券投资基金（场内简称：央企ETF，基金代码：</w:t>
      </w:r>
      <w:r w:rsidR="00731B75" w:rsidRPr="00D57BDF">
        <w:rPr>
          <w:sz w:val="21"/>
          <w:szCs w:val="21"/>
        </w:rPr>
        <w:t>159959</w:t>
      </w:r>
      <w:r w:rsidR="00C626EC">
        <w:rPr>
          <w:rFonts w:hint="eastAsia"/>
          <w:sz w:val="21"/>
          <w:szCs w:val="21"/>
        </w:rPr>
        <w:t>）</w:t>
      </w:r>
      <w:r w:rsidRPr="00D57BDF">
        <w:rPr>
          <w:rFonts w:hint="eastAsia"/>
          <w:sz w:val="21"/>
          <w:szCs w:val="21"/>
        </w:rPr>
        <w:t>、银华工银南方东英标普中国新经济行业交易型开放式指数证券投资基金(QDII)（场内简称：新经济ETF，基金代码：</w:t>
      </w:r>
      <w:r w:rsidRPr="00D57BDF">
        <w:rPr>
          <w:sz w:val="21"/>
          <w:szCs w:val="21"/>
        </w:rPr>
        <w:t>159822</w:t>
      </w:r>
      <w:r w:rsidRPr="00D57BDF">
        <w:rPr>
          <w:rFonts w:hint="eastAsia"/>
          <w:sz w:val="21"/>
          <w:szCs w:val="21"/>
        </w:rPr>
        <w:t>）、银华中证研发创新100交易型开放式指数证券投资基金（场内简称：科技创新ETF，基金代码：159987）、银华中证800增强策略交易型开放式指数证券投资基金（场内简称：800增强ETF，基金代码：</w:t>
      </w:r>
      <w:r w:rsidRPr="00D57BDF">
        <w:rPr>
          <w:sz w:val="21"/>
          <w:szCs w:val="21"/>
        </w:rPr>
        <w:t>1595</w:t>
      </w:r>
      <w:r w:rsidRPr="00D57BDF">
        <w:rPr>
          <w:rFonts w:hint="eastAsia"/>
          <w:sz w:val="21"/>
          <w:szCs w:val="21"/>
        </w:rPr>
        <w:t>17）、银华深证100交易型开放式指数证券投资基金（场内简称：深100ETF银华，基金代码：159969）、银华中证1000增强策略交易型开放式指数证券投资基金（场内简称：1000增强ETF，基金代码：</w:t>
      </w:r>
      <w:r w:rsidRPr="00D57BDF">
        <w:rPr>
          <w:sz w:val="21"/>
          <w:szCs w:val="21"/>
        </w:rPr>
        <w:t>159677</w:t>
      </w:r>
      <w:r w:rsidRPr="00D57BDF">
        <w:rPr>
          <w:rFonts w:hint="eastAsia"/>
          <w:sz w:val="21"/>
          <w:szCs w:val="21"/>
        </w:rPr>
        <w:t>）、</w:t>
      </w:r>
      <w:r w:rsidR="00D97B97" w:rsidRPr="00D57BDF">
        <w:rPr>
          <w:sz w:val="21"/>
          <w:szCs w:val="21"/>
        </w:rPr>
        <w:t>银华MSCI中国A股交易型开放式指数证券投资基金</w:t>
      </w:r>
      <w:r w:rsidR="00230D28" w:rsidRPr="00D57BDF">
        <w:rPr>
          <w:rFonts w:hint="eastAsia"/>
          <w:sz w:val="21"/>
          <w:szCs w:val="21"/>
        </w:rPr>
        <w:t>（场内简称：MSCI中国，扩位证券简称：MSCI中国ETF，基金代码：51</w:t>
      </w:r>
      <w:r w:rsidR="00230D28" w:rsidRPr="00D57BDF">
        <w:rPr>
          <w:sz w:val="21"/>
          <w:szCs w:val="21"/>
        </w:rPr>
        <w:t>2</w:t>
      </w:r>
      <w:bookmarkStart w:id="0" w:name="_GoBack"/>
      <w:bookmarkEnd w:id="0"/>
      <w:r w:rsidR="00230D28" w:rsidRPr="00D57BDF">
        <w:rPr>
          <w:sz w:val="21"/>
          <w:szCs w:val="21"/>
        </w:rPr>
        <w:t>380</w:t>
      </w:r>
      <w:r w:rsidR="00230D28" w:rsidRPr="00D57BDF">
        <w:rPr>
          <w:rFonts w:hint="eastAsia"/>
          <w:sz w:val="21"/>
          <w:szCs w:val="21"/>
        </w:rPr>
        <w:t>）</w:t>
      </w:r>
      <w:r w:rsidRPr="00D57BDF">
        <w:rPr>
          <w:rFonts w:hint="eastAsia"/>
          <w:sz w:val="21"/>
          <w:szCs w:val="21"/>
        </w:rPr>
        <w:t>的场内申购赎回代办券商。</w:t>
      </w:r>
    </w:p>
    <w:p w:rsidR="00244E0A" w:rsidRPr="00731B75" w:rsidRDefault="00D1461E" w:rsidP="00D57BDF">
      <w:pPr>
        <w:pStyle w:val="10"/>
        <w:spacing w:line="360" w:lineRule="auto"/>
        <w:ind w:firstLineChars="200" w:firstLine="420"/>
        <w:jc w:val="both"/>
        <w:rPr>
          <w:sz w:val="21"/>
          <w:szCs w:val="21"/>
        </w:rPr>
      </w:pPr>
      <w:r w:rsidRPr="00D57BDF">
        <w:rPr>
          <w:rFonts w:hint="eastAsia"/>
          <w:sz w:val="21"/>
          <w:szCs w:val="21"/>
        </w:rPr>
        <w:t>根据本公司与</w:t>
      </w:r>
      <w:r w:rsidR="00F504C0" w:rsidRPr="00D57BDF">
        <w:rPr>
          <w:sz w:val="21"/>
          <w:szCs w:val="21"/>
        </w:rPr>
        <w:t>湘财证券股份有限公司</w:t>
      </w:r>
      <w:r w:rsidR="00F504C0" w:rsidRPr="00D57BDF">
        <w:rPr>
          <w:rFonts w:hint="eastAsia"/>
          <w:sz w:val="21"/>
          <w:szCs w:val="21"/>
        </w:rPr>
        <w:t>（以下简称“湘财</w:t>
      </w:r>
      <w:r w:rsidRPr="00D57BDF">
        <w:rPr>
          <w:rFonts w:hint="eastAsia"/>
          <w:sz w:val="21"/>
          <w:szCs w:val="21"/>
        </w:rPr>
        <w:t>证券”）签署的销售代理协议，本公司决定从2024年</w:t>
      </w:r>
      <w:r w:rsidR="00F504C0" w:rsidRPr="00D57BDF">
        <w:rPr>
          <w:rFonts w:hint="eastAsia"/>
          <w:sz w:val="21"/>
          <w:szCs w:val="21"/>
        </w:rPr>
        <w:t>7</w:t>
      </w:r>
      <w:r w:rsidRPr="00D57BDF">
        <w:rPr>
          <w:rFonts w:hint="eastAsia"/>
          <w:sz w:val="21"/>
          <w:szCs w:val="21"/>
        </w:rPr>
        <w:t>月</w:t>
      </w:r>
      <w:r w:rsidR="00F504C0" w:rsidRPr="00D57BDF">
        <w:rPr>
          <w:sz w:val="21"/>
          <w:szCs w:val="21"/>
        </w:rPr>
        <w:t>24</w:t>
      </w:r>
      <w:r w:rsidR="00230D28" w:rsidRPr="00D57BDF">
        <w:rPr>
          <w:rFonts w:hint="eastAsia"/>
          <w:sz w:val="21"/>
          <w:szCs w:val="21"/>
        </w:rPr>
        <w:t>日起增加</w:t>
      </w:r>
      <w:r w:rsidR="00F504C0" w:rsidRPr="00D57BDF">
        <w:rPr>
          <w:rFonts w:hint="eastAsia"/>
          <w:sz w:val="21"/>
          <w:szCs w:val="21"/>
        </w:rPr>
        <w:t>湘财证券</w:t>
      </w:r>
      <w:r w:rsidRPr="00D57BDF">
        <w:rPr>
          <w:rFonts w:hint="eastAsia"/>
          <w:sz w:val="21"/>
          <w:szCs w:val="21"/>
        </w:rPr>
        <w:t>为</w:t>
      </w:r>
      <w:r w:rsidR="00D57BDF" w:rsidRPr="00D57BDF">
        <w:rPr>
          <w:rFonts w:hint="eastAsia"/>
          <w:sz w:val="21"/>
          <w:szCs w:val="21"/>
        </w:rPr>
        <w:t>银华中证港股通医药卫生综合交易型开放式指数证券投资基金（场内简称：港股通医药ETF，基金代码：</w:t>
      </w:r>
      <w:r w:rsidR="00D57BDF" w:rsidRPr="00D57BDF">
        <w:rPr>
          <w:sz w:val="21"/>
          <w:szCs w:val="21"/>
        </w:rPr>
        <w:t>159776</w:t>
      </w:r>
      <w:r w:rsidR="00D57BDF" w:rsidRPr="00D57BDF">
        <w:rPr>
          <w:rFonts w:hint="eastAsia"/>
          <w:sz w:val="21"/>
          <w:szCs w:val="21"/>
        </w:rPr>
        <w:t>）、银华工银南方东英标普中国新经济行业交易型开放式指数证券投资基金(QDII)（场内简称：新经济ETF，基金代码：</w:t>
      </w:r>
      <w:r w:rsidR="00D57BDF" w:rsidRPr="00D57BDF">
        <w:rPr>
          <w:sz w:val="21"/>
          <w:szCs w:val="21"/>
        </w:rPr>
        <w:t>159822</w:t>
      </w:r>
      <w:r w:rsidR="00D57BDF" w:rsidRPr="00D57BDF">
        <w:rPr>
          <w:rFonts w:hint="eastAsia"/>
          <w:sz w:val="21"/>
          <w:szCs w:val="21"/>
        </w:rPr>
        <w:t>）、银华中证港股通消费主题交易型开放式指数证券投资基金（场内简称：港股消费ETF，基金代码：</w:t>
      </w:r>
      <w:r w:rsidR="00D57BDF" w:rsidRPr="00D57BDF">
        <w:rPr>
          <w:sz w:val="21"/>
          <w:szCs w:val="21"/>
        </w:rPr>
        <w:t>159735</w:t>
      </w:r>
      <w:r w:rsidR="00D57BDF" w:rsidRPr="00D57BDF">
        <w:rPr>
          <w:rFonts w:hint="eastAsia"/>
          <w:sz w:val="21"/>
          <w:szCs w:val="21"/>
        </w:rPr>
        <w:t>）、银华中证5G通信主题交易型开放式指数证券投资基金（场内简称：5GETF，基金代码：159994）、银华中证基建交易型开放式指数证券投资基金（场内简称：基建ETF，扩位证券简称：基建ETF，基金代码：</w:t>
      </w:r>
      <w:r w:rsidR="00D57BDF" w:rsidRPr="00D57BDF">
        <w:rPr>
          <w:sz w:val="21"/>
          <w:szCs w:val="21"/>
        </w:rPr>
        <w:t>516950</w:t>
      </w:r>
      <w:r w:rsidR="00D57BDF" w:rsidRPr="00D57BDF">
        <w:rPr>
          <w:rFonts w:hint="eastAsia"/>
          <w:sz w:val="21"/>
          <w:szCs w:val="21"/>
        </w:rPr>
        <w:t>）</w:t>
      </w:r>
      <w:r w:rsidRPr="00D57BDF">
        <w:rPr>
          <w:rFonts w:hint="eastAsia"/>
          <w:sz w:val="21"/>
          <w:szCs w:val="21"/>
        </w:rPr>
        <w:t>的场内申购赎回代办券商。</w:t>
      </w:r>
    </w:p>
    <w:p w:rsidR="00244E0A" w:rsidRDefault="00D1461E">
      <w:pPr>
        <w:shd w:val="clear" w:color="auto" w:fill="FFFFFF"/>
        <w:spacing w:line="360" w:lineRule="auto"/>
        <w:ind w:leftChars="200" w:left="540" w:hangingChars="57" w:hanging="120"/>
        <w:rPr>
          <w:rFonts w:ascii="宋体" w:hAnsi="宋体" w:cs="宋体"/>
        </w:rPr>
      </w:pPr>
      <w:r>
        <w:rPr>
          <w:rFonts w:ascii="宋体" w:hAnsi="宋体" w:cs="宋体" w:hint="eastAsia"/>
        </w:rPr>
        <w:t>投资者可通过以下途径咨询有关详情：</w:t>
      </w:r>
    </w:p>
    <w:p w:rsidR="00244E0A" w:rsidRDefault="00F504C0">
      <w:pPr>
        <w:pStyle w:val="a8"/>
        <w:numPr>
          <w:ilvl w:val="0"/>
          <w:numId w:val="1"/>
        </w:numPr>
        <w:autoSpaceDE w:val="0"/>
        <w:autoSpaceDN w:val="0"/>
        <w:adjustRightInd w:val="0"/>
        <w:spacing w:line="360" w:lineRule="auto"/>
        <w:ind w:firstLineChars="0"/>
        <w:jc w:val="left"/>
        <w:rPr>
          <w:rFonts w:ascii="宋体" w:hAnsi="宋体" w:cs="宋体"/>
          <w:szCs w:val="21"/>
        </w:rPr>
      </w:pPr>
      <w:bookmarkStart w:id="1" w:name="_Hlk104920284"/>
      <w:r w:rsidRPr="00F504C0">
        <w:rPr>
          <w:rFonts w:ascii="宋体" w:hAnsi="宋体" w:cs="宋体"/>
          <w:szCs w:val="21"/>
        </w:rPr>
        <w:lastRenderedPageBreak/>
        <w:t>东兴证券股份有限公司</w:t>
      </w:r>
    </w:p>
    <w:tbl>
      <w:tblPr>
        <w:tblW w:w="4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2601"/>
        <w:gridCol w:w="876"/>
        <w:gridCol w:w="3097"/>
      </w:tblGrid>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注册地址</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44E0A" w:rsidRDefault="00F504C0">
            <w:pPr>
              <w:pStyle w:val="080318"/>
              <w:spacing w:line="440" w:lineRule="exact"/>
              <w:ind w:firstLineChars="0" w:firstLine="0"/>
              <w:rPr>
                <w:rFonts w:eastAsia="宋体" w:hAnsi="宋体"/>
                <w:sz w:val="21"/>
                <w:szCs w:val="21"/>
              </w:rPr>
            </w:pPr>
            <w:r w:rsidRPr="00F504C0">
              <w:rPr>
                <w:rFonts w:eastAsia="宋体" w:hAnsi="宋体"/>
                <w:sz w:val="21"/>
                <w:szCs w:val="21"/>
              </w:rPr>
              <w:t>北京市西城区金融大街5号（新盛大厦）12、15层</w:t>
            </w:r>
          </w:p>
        </w:tc>
      </w:tr>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法定代表人</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44E0A" w:rsidRDefault="00F504C0">
            <w:pPr>
              <w:pStyle w:val="080318"/>
              <w:spacing w:line="440" w:lineRule="exact"/>
              <w:ind w:firstLineChars="0" w:firstLine="0"/>
              <w:rPr>
                <w:rFonts w:eastAsia="宋体" w:hAnsi="宋体"/>
                <w:sz w:val="21"/>
                <w:szCs w:val="21"/>
              </w:rPr>
            </w:pPr>
            <w:r w:rsidRPr="00F504C0">
              <w:rPr>
                <w:rFonts w:eastAsia="宋体" w:hAnsi="宋体"/>
                <w:sz w:val="21"/>
                <w:szCs w:val="21"/>
              </w:rPr>
              <w:t>李娟</w:t>
            </w:r>
          </w:p>
        </w:tc>
      </w:tr>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客服电话</w:t>
            </w:r>
          </w:p>
        </w:tc>
        <w:tc>
          <w:tcPr>
            <w:tcW w:w="1610" w:type="pct"/>
            <w:tcBorders>
              <w:top w:val="single" w:sz="4" w:space="0" w:color="auto"/>
              <w:left w:val="single" w:sz="4" w:space="0" w:color="auto"/>
              <w:bottom w:val="single" w:sz="4" w:space="0" w:color="auto"/>
              <w:right w:val="single" w:sz="4" w:space="0" w:color="auto"/>
            </w:tcBorders>
            <w:vAlign w:val="center"/>
          </w:tcPr>
          <w:p w:rsidR="00244E0A" w:rsidRPr="00F504C0" w:rsidRDefault="00F504C0">
            <w:pPr>
              <w:pStyle w:val="080318"/>
              <w:spacing w:line="440" w:lineRule="exact"/>
              <w:ind w:firstLineChars="0" w:firstLine="0"/>
              <w:rPr>
                <w:rFonts w:eastAsia="宋体" w:hAnsi="宋体"/>
                <w:sz w:val="21"/>
                <w:szCs w:val="21"/>
              </w:rPr>
            </w:pPr>
            <w:r w:rsidRPr="00F504C0">
              <w:rPr>
                <w:rFonts w:eastAsia="宋体" w:hAnsi="宋体"/>
                <w:sz w:val="21"/>
                <w:szCs w:val="21"/>
              </w:rPr>
              <w:t>010-66555835</w:t>
            </w:r>
          </w:p>
        </w:tc>
        <w:tc>
          <w:tcPr>
            <w:tcW w:w="542"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1917" w:type="pct"/>
            <w:tcBorders>
              <w:top w:val="single" w:sz="4" w:space="0" w:color="auto"/>
              <w:left w:val="single" w:sz="4" w:space="0" w:color="auto"/>
              <w:bottom w:val="single" w:sz="4" w:space="0" w:color="auto"/>
              <w:right w:val="single" w:sz="4" w:space="0" w:color="auto"/>
            </w:tcBorders>
            <w:vAlign w:val="center"/>
          </w:tcPr>
          <w:p w:rsidR="00244E0A" w:rsidRDefault="00F504C0">
            <w:pPr>
              <w:pStyle w:val="080318"/>
              <w:spacing w:line="440" w:lineRule="exact"/>
              <w:ind w:firstLineChars="0" w:firstLine="0"/>
              <w:rPr>
                <w:rFonts w:eastAsia="宋体" w:hAnsi="宋体"/>
                <w:sz w:val="21"/>
                <w:szCs w:val="21"/>
              </w:rPr>
            </w:pPr>
            <w:r w:rsidRPr="00F504C0">
              <w:rPr>
                <w:rFonts w:eastAsia="宋体" w:hAnsi="宋体"/>
                <w:sz w:val="21"/>
                <w:szCs w:val="21"/>
              </w:rPr>
              <w:t>http://www.dxzq.net</w:t>
            </w:r>
          </w:p>
        </w:tc>
      </w:tr>
    </w:tbl>
    <w:bookmarkEnd w:id="1"/>
    <w:p w:rsidR="00244E0A" w:rsidRDefault="00F504C0">
      <w:pPr>
        <w:pStyle w:val="a8"/>
        <w:numPr>
          <w:ilvl w:val="0"/>
          <w:numId w:val="1"/>
        </w:numPr>
        <w:autoSpaceDE w:val="0"/>
        <w:autoSpaceDN w:val="0"/>
        <w:adjustRightInd w:val="0"/>
        <w:spacing w:line="360" w:lineRule="auto"/>
        <w:ind w:firstLineChars="0"/>
        <w:jc w:val="left"/>
        <w:rPr>
          <w:rFonts w:ascii="宋体" w:hAnsi="宋体" w:cs="宋体"/>
          <w:szCs w:val="21"/>
        </w:rPr>
      </w:pPr>
      <w:r w:rsidRPr="00F504C0">
        <w:rPr>
          <w:rFonts w:ascii="宋体" w:hAnsi="宋体" w:cs="宋体"/>
          <w:szCs w:val="21"/>
        </w:rPr>
        <w:t>湘财证券股份有限公司</w:t>
      </w:r>
    </w:p>
    <w:tbl>
      <w:tblPr>
        <w:tblW w:w="4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2601"/>
        <w:gridCol w:w="876"/>
        <w:gridCol w:w="3097"/>
      </w:tblGrid>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注册地址</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44E0A" w:rsidRDefault="00F504C0">
            <w:pPr>
              <w:pStyle w:val="080318"/>
              <w:spacing w:line="440" w:lineRule="exact"/>
              <w:ind w:firstLineChars="0" w:firstLine="0"/>
              <w:rPr>
                <w:rFonts w:eastAsia="宋体" w:hAnsi="宋体"/>
                <w:sz w:val="21"/>
                <w:szCs w:val="21"/>
              </w:rPr>
            </w:pPr>
            <w:r w:rsidRPr="00F504C0">
              <w:rPr>
                <w:rFonts w:eastAsia="宋体" w:hAnsi="宋体"/>
                <w:sz w:val="21"/>
                <w:szCs w:val="21"/>
              </w:rPr>
              <w:t>长沙市天心区湘府中路198号新南城商务中心A栋11楼</w:t>
            </w:r>
          </w:p>
        </w:tc>
      </w:tr>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法定代表人</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44E0A" w:rsidRDefault="00F504C0">
            <w:pPr>
              <w:pStyle w:val="080318"/>
              <w:spacing w:line="440" w:lineRule="exact"/>
              <w:ind w:firstLineChars="0" w:firstLine="0"/>
              <w:rPr>
                <w:rFonts w:eastAsia="宋体" w:hAnsi="宋体"/>
                <w:sz w:val="21"/>
                <w:szCs w:val="21"/>
              </w:rPr>
            </w:pPr>
            <w:r w:rsidRPr="00F504C0">
              <w:rPr>
                <w:rFonts w:eastAsia="宋体" w:hAnsi="宋体"/>
                <w:sz w:val="21"/>
                <w:szCs w:val="21"/>
              </w:rPr>
              <w:t>高振营</w:t>
            </w:r>
          </w:p>
        </w:tc>
      </w:tr>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客服电话</w:t>
            </w:r>
          </w:p>
        </w:tc>
        <w:tc>
          <w:tcPr>
            <w:tcW w:w="1610" w:type="pct"/>
            <w:tcBorders>
              <w:top w:val="single" w:sz="4" w:space="0" w:color="auto"/>
              <w:left w:val="single" w:sz="4" w:space="0" w:color="auto"/>
              <w:bottom w:val="single" w:sz="4" w:space="0" w:color="auto"/>
              <w:right w:val="single" w:sz="4" w:space="0" w:color="auto"/>
            </w:tcBorders>
            <w:vAlign w:val="center"/>
          </w:tcPr>
          <w:p w:rsidR="00244E0A" w:rsidRDefault="00F504C0">
            <w:pPr>
              <w:pStyle w:val="080318"/>
              <w:spacing w:line="440" w:lineRule="exact"/>
              <w:ind w:firstLineChars="0" w:firstLine="0"/>
              <w:rPr>
                <w:rFonts w:eastAsia="宋体" w:hAnsi="宋体"/>
                <w:sz w:val="21"/>
                <w:szCs w:val="21"/>
                <w:lang w:val="en-US"/>
              </w:rPr>
            </w:pPr>
            <w:r w:rsidRPr="00F504C0">
              <w:rPr>
                <w:rFonts w:eastAsia="宋体" w:hAnsi="宋体"/>
                <w:sz w:val="21"/>
                <w:szCs w:val="21"/>
              </w:rPr>
              <w:t>95351</w:t>
            </w:r>
          </w:p>
        </w:tc>
        <w:tc>
          <w:tcPr>
            <w:tcW w:w="542"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1917" w:type="pct"/>
            <w:tcBorders>
              <w:top w:val="single" w:sz="4" w:space="0" w:color="auto"/>
              <w:left w:val="single" w:sz="4" w:space="0" w:color="auto"/>
              <w:bottom w:val="single" w:sz="4" w:space="0" w:color="auto"/>
              <w:right w:val="single" w:sz="4" w:space="0" w:color="auto"/>
            </w:tcBorders>
            <w:vAlign w:val="center"/>
          </w:tcPr>
          <w:p w:rsidR="00244E0A" w:rsidRDefault="00F504C0">
            <w:pPr>
              <w:pStyle w:val="080318"/>
              <w:spacing w:line="440" w:lineRule="exact"/>
              <w:ind w:firstLineChars="0" w:firstLine="0"/>
              <w:rPr>
                <w:rFonts w:eastAsia="宋体" w:hAnsi="宋体"/>
                <w:sz w:val="21"/>
                <w:szCs w:val="21"/>
              </w:rPr>
            </w:pPr>
            <w:r w:rsidRPr="00F504C0">
              <w:rPr>
                <w:rFonts w:eastAsia="宋体" w:hAnsi="宋体"/>
                <w:sz w:val="21"/>
                <w:szCs w:val="21"/>
              </w:rPr>
              <w:t>http://www.xcsc.com</w:t>
            </w:r>
          </w:p>
        </w:tc>
      </w:tr>
    </w:tbl>
    <w:p w:rsidR="00244E0A" w:rsidRDefault="00D1461E">
      <w:pPr>
        <w:pStyle w:val="a8"/>
        <w:numPr>
          <w:ilvl w:val="0"/>
          <w:numId w:val="1"/>
        </w:numPr>
        <w:autoSpaceDE w:val="0"/>
        <w:autoSpaceDN w:val="0"/>
        <w:adjustRightInd w:val="0"/>
        <w:spacing w:line="360" w:lineRule="auto"/>
        <w:ind w:firstLineChars="0"/>
        <w:jc w:val="left"/>
        <w:rPr>
          <w:rFonts w:asciiTheme="minorEastAsia" w:eastAsiaTheme="minorEastAsia" w:hAnsiTheme="minorEastAsia"/>
          <w:kern w:val="0"/>
        </w:rPr>
      </w:pPr>
      <w:r>
        <w:rPr>
          <w:rFonts w:asciiTheme="minorEastAsia" w:eastAsiaTheme="minorEastAsia" w:hAnsiTheme="minorEastAsia" w:hint="eastAsia"/>
          <w:kern w:val="0"/>
        </w:rPr>
        <w:t>银华基金管理股份有限公司</w:t>
      </w:r>
    </w:p>
    <w:tbl>
      <w:tblPr>
        <w:tblW w:w="4760"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6438"/>
      </w:tblGrid>
      <w:tr w:rsidR="00244E0A">
        <w:trPr>
          <w:trHeight w:val="313"/>
        </w:trPr>
        <w:tc>
          <w:tcPr>
            <w:tcW w:w="1026"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客服电话</w:t>
            </w:r>
          </w:p>
        </w:tc>
        <w:tc>
          <w:tcPr>
            <w:tcW w:w="3973"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400-678-3333、010-85186558</w:t>
            </w:r>
          </w:p>
        </w:tc>
      </w:tr>
      <w:tr w:rsidR="00244E0A">
        <w:trPr>
          <w:trHeight w:val="263"/>
        </w:trPr>
        <w:tc>
          <w:tcPr>
            <w:tcW w:w="1026"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3973"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www.yhfund.com.cn</w:t>
            </w:r>
          </w:p>
        </w:tc>
      </w:tr>
    </w:tbl>
    <w:p w:rsidR="00244E0A" w:rsidRDefault="00244E0A">
      <w:pPr>
        <w:autoSpaceDE w:val="0"/>
        <w:autoSpaceDN w:val="0"/>
        <w:adjustRightInd w:val="0"/>
        <w:spacing w:before="50" w:line="440" w:lineRule="exact"/>
        <w:ind w:firstLineChars="200" w:firstLine="420"/>
        <w:jc w:val="left"/>
        <w:rPr>
          <w:rFonts w:ascii="宋体" w:hAnsi="宋体" w:cs="宋体"/>
          <w:kern w:val="0"/>
        </w:rPr>
      </w:pPr>
    </w:p>
    <w:p w:rsidR="00244E0A" w:rsidRDefault="00D1461E">
      <w:pPr>
        <w:autoSpaceDE w:val="0"/>
        <w:autoSpaceDN w:val="0"/>
        <w:adjustRightInd w:val="0"/>
        <w:spacing w:before="50" w:line="440" w:lineRule="exact"/>
        <w:ind w:firstLineChars="200" w:firstLine="420"/>
        <w:jc w:val="left"/>
        <w:rPr>
          <w:rFonts w:ascii="宋体" w:cs="宋体"/>
          <w:kern w:val="0"/>
        </w:rPr>
      </w:pPr>
      <w:r>
        <w:rPr>
          <w:rFonts w:ascii="宋体" w:hAnsi="宋体" w:cs="宋体" w:hint="eastAsia"/>
          <w:kern w:val="0"/>
        </w:rPr>
        <w:t>风险提示：</w:t>
      </w:r>
    </w:p>
    <w:p w:rsidR="00244E0A" w:rsidRDefault="00D1461E">
      <w:pPr>
        <w:autoSpaceDE w:val="0"/>
        <w:autoSpaceDN w:val="0"/>
        <w:adjustRightInd w:val="0"/>
        <w:spacing w:before="50" w:line="440" w:lineRule="exact"/>
        <w:ind w:firstLineChars="200" w:firstLine="420"/>
        <w:jc w:val="left"/>
        <w:rPr>
          <w:rFonts w:ascii="宋体" w:hAnsi="宋体" w:cs="宋体"/>
          <w:kern w:val="0"/>
        </w:rPr>
      </w:pPr>
      <w:r>
        <w:rPr>
          <w:rFonts w:ascii="宋体" w:hAnsi="宋体" w:cs="宋体" w:hint="eastAsia"/>
          <w:kern w:val="0"/>
        </w:rPr>
        <w:t>基金管理人承诺以诚实信用、勤勉尽责的原则管理和运用基金资产，但不保证基金一定盈利，也不保证最低收益。敬请投资者留意投资风险。</w:t>
      </w:r>
    </w:p>
    <w:p w:rsidR="00244E0A" w:rsidRDefault="00244E0A">
      <w:pPr>
        <w:autoSpaceDE w:val="0"/>
        <w:autoSpaceDN w:val="0"/>
        <w:adjustRightInd w:val="0"/>
        <w:spacing w:before="50" w:line="440" w:lineRule="exact"/>
        <w:ind w:firstLineChars="200" w:firstLine="420"/>
        <w:jc w:val="left"/>
        <w:rPr>
          <w:rFonts w:ascii="宋体" w:hAnsi="宋体" w:cs="宋体"/>
          <w:kern w:val="0"/>
        </w:rPr>
      </w:pPr>
    </w:p>
    <w:p w:rsidR="00244E0A" w:rsidRDefault="00D1461E">
      <w:pPr>
        <w:autoSpaceDE w:val="0"/>
        <w:autoSpaceDN w:val="0"/>
        <w:adjustRightInd w:val="0"/>
        <w:spacing w:before="50" w:line="440" w:lineRule="exact"/>
        <w:ind w:firstLineChars="200" w:firstLine="420"/>
        <w:jc w:val="left"/>
        <w:rPr>
          <w:rFonts w:ascii="宋体" w:hAnsi="宋体" w:cs="宋体"/>
          <w:kern w:val="0"/>
        </w:rPr>
      </w:pPr>
      <w:r>
        <w:rPr>
          <w:rFonts w:ascii="宋体" w:hAnsi="宋体" w:cs="宋体" w:hint="eastAsia"/>
          <w:kern w:val="0"/>
        </w:rPr>
        <w:t>特此公告。</w:t>
      </w:r>
    </w:p>
    <w:p w:rsidR="00244E0A" w:rsidRDefault="00D1461E">
      <w:pPr>
        <w:autoSpaceDE w:val="0"/>
        <w:autoSpaceDN w:val="0"/>
        <w:adjustRightInd w:val="0"/>
        <w:spacing w:before="50" w:line="440" w:lineRule="exact"/>
        <w:ind w:right="105"/>
        <w:jc w:val="right"/>
        <w:rPr>
          <w:rFonts w:ascii="宋体" w:cs="宋体"/>
          <w:kern w:val="0"/>
        </w:rPr>
      </w:pPr>
      <w:r>
        <w:rPr>
          <w:rFonts w:ascii="宋体" w:hAnsi="宋体" w:cs="宋体" w:hint="eastAsia"/>
          <w:kern w:val="0"/>
        </w:rPr>
        <w:t>银华基金管理股份有限公司</w:t>
      </w:r>
    </w:p>
    <w:p w:rsidR="00244E0A" w:rsidRDefault="00D1461E">
      <w:pPr>
        <w:wordWrap w:val="0"/>
        <w:autoSpaceDE w:val="0"/>
        <w:autoSpaceDN w:val="0"/>
        <w:adjustRightInd w:val="0"/>
        <w:spacing w:before="50" w:line="440" w:lineRule="exact"/>
        <w:ind w:right="420"/>
        <w:jc w:val="right"/>
        <w:rPr>
          <w:rFonts w:ascii="宋体" w:cs="宋体"/>
        </w:rPr>
      </w:pPr>
      <w:r>
        <w:rPr>
          <w:rFonts w:ascii="宋体" w:hAnsi="宋体" w:cs="宋体" w:hint="eastAsia"/>
          <w:kern w:val="0"/>
        </w:rPr>
        <w:t>2024年</w:t>
      </w:r>
      <w:r w:rsidR="00F504C0">
        <w:rPr>
          <w:rFonts w:ascii="宋体" w:hAnsi="宋体" w:cs="宋体"/>
          <w:kern w:val="0"/>
        </w:rPr>
        <w:t>7</w:t>
      </w:r>
      <w:r>
        <w:rPr>
          <w:rFonts w:ascii="宋体" w:hAnsi="宋体" w:cs="宋体" w:hint="eastAsia"/>
          <w:kern w:val="0"/>
        </w:rPr>
        <w:t>月</w:t>
      </w:r>
      <w:r w:rsidR="007A6C31">
        <w:rPr>
          <w:rFonts w:ascii="宋体" w:hAnsi="宋体" w:cs="宋体" w:hint="eastAsia"/>
          <w:kern w:val="0"/>
        </w:rPr>
        <w:t>2</w:t>
      </w:r>
      <w:r w:rsidR="00F504C0">
        <w:rPr>
          <w:rFonts w:ascii="宋体" w:hAnsi="宋体" w:cs="宋体"/>
          <w:kern w:val="0"/>
        </w:rPr>
        <w:t>4</w:t>
      </w:r>
      <w:r>
        <w:rPr>
          <w:rFonts w:ascii="宋体" w:hAnsi="宋体" w:cs="宋体" w:hint="eastAsia"/>
          <w:kern w:val="0"/>
        </w:rPr>
        <w:t>日</w:t>
      </w:r>
    </w:p>
    <w:sectPr w:rsidR="00244E0A" w:rsidSect="009164E1">
      <w:headerReference w:type="default" r:id="rId7"/>
      <w:pgSz w:w="11906" w:h="16838"/>
      <w:pgMar w:top="1440" w:right="1814"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01E" w:rsidRDefault="00B8601E">
      <w:r>
        <w:separator/>
      </w:r>
    </w:p>
  </w:endnote>
  <w:endnote w:type="continuationSeparator" w:id="0">
    <w:p w:rsidR="00B8601E" w:rsidRDefault="00B86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00"/>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01E" w:rsidRDefault="00B8601E">
      <w:r>
        <w:separator/>
      </w:r>
    </w:p>
  </w:footnote>
  <w:footnote w:type="continuationSeparator" w:id="0">
    <w:p w:rsidR="00B8601E" w:rsidRDefault="00B86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E0A" w:rsidRDefault="00D1461E">
    <w:pPr>
      <w:pStyle w:val="a5"/>
      <w:jc w:val="both"/>
    </w:pPr>
    <w:r>
      <w:rPr>
        <w:noProof/>
      </w:rPr>
      <w:drawing>
        <wp:inline distT="0" distB="0" distL="0" distR="0">
          <wp:extent cx="2237105" cy="4857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6153" cy="48773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81F1"/>
    <w:multiLevelType w:val="singleLevel"/>
    <w:tmpl w:val="016381F1"/>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5ZjkyZDQwZjhkNGFlOGNmZmFkNjUyNTgwM2YxMGIifQ=="/>
  </w:docVars>
  <w:rsids>
    <w:rsidRoot w:val="00005D4D"/>
    <w:rsid w:val="BFB9A4D5"/>
    <w:rsid w:val="CFB545BE"/>
    <w:rsid w:val="D7FF3CB6"/>
    <w:rsid w:val="DE5FCD70"/>
    <w:rsid w:val="F6FBEC60"/>
    <w:rsid w:val="FA3FBB8E"/>
    <w:rsid w:val="FDFE60B7"/>
    <w:rsid w:val="FE6B4182"/>
    <w:rsid w:val="FFAF98C8"/>
    <w:rsid w:val="00005D4D"/>
    <w:rsid w:val="000078F5"/>
    <w:rsid w:val="00007E95"/>
    <w:rsid w:val="00015E44"/>
    <w:rsid w:val="00015EB3"/>
    <w:rsid w:val="000176AC"/>
    <w:rsid w:val="00017740"/>
    <w:rsid w:val="00017EDC"/>
    <w:rsid w:val="00032814"/>
    <w:rsid w:val="00033590"/>
    <w:rsid w:val="000409A7"/>
    <w:rsid w:val="00041488"/>
    <w:rsid w:val="000442DD"/>
    <w:rsid w:val="00046D71"/>
    <w:rsid w:val="00053690"/>
    <w:rsid w:val="000641B7"/>
    <w:rsid w:val="00064825"/>
    <w:rsid w:val="000660FA"/>
    <w:rsid w:val="000668C8"/>
    <w:rsid w:val="00066FDD"/>
    <w:rsid w:val="00067284"/>
    <w:rsid w:val="00073697"/>
    <w:rsid w:val="0009034B"/>
    <w:rsid w:val="000913D6"/>
    <w:rsid w:val="00094384"/>
    <w:rsid w:val="000A11D8"/>
    <w:rsid w:val="000A4C49"/>
    <w:rsid w:val="000B16CF"/>
    <w:rsid w:val="000B6982"/>
    <w:rsid w:val="000C7BDA"/>
    <w:rsid w:val="000E16D1"/>
    <w:rsid w:val="000E1DA2"/>
    <w:rsid w:val="000F44FA"/>
    <w:rsid w:val="00107367"/>
    <w:rsid w:val="00111BE3"/>
    <w:rsid w:val="001135F0"/>
    <w:rsid w:val="00115181"/>
    <w:rsid w:val="00115E50"/>
    <w:rsid w:val="00116D83"/>
    <w:rsid w:val="00117BE4"/>
    <w:rsid w:val="00124537"/>
    <w:rsid w:val="00130B51"/>
    <w:rsid w:val="00140D27"/>
    <w:rsid w:val="00141C6C"/>
    <w:rsid w:val="00142651"/>
    <w:rsid w:val="0015426B"/>
    <w:rsid w:val="00154410"/>
    <w:rsid w:val="00160C03"/>
    <w:rsid w:val="00164B8A"/>
    <w:rsid w:val="00166862"/>
    <w:rsid w:val="001700CC"/>
    <w:rsid w:val="00173FAE"/>
    <w:rsid w:val="001820C9"/>
    <w:rsid w:val="00185787"/>
    <w:rsid w:val="00195D22"/>
    <w:rsid w:val="001A378C"/>
    <w:rsid w:val="001B034D"/>
    <w:rsid w:val="001B6EF5"/>
    <w:rsid w:val="001B7E26"/>
    <w:rsid w:val="001C1E3B"/>
    <w:rsid w:val="001C635F"/>
    <w:rsid w:val="001D073E"/>
    <w:rsid w:val="001D5120"/>
    <w:rsid w:val="001D5C76"/>
    <w:rsid w:val="001E5AC4"/>
    <w:rsid w:val="001F0940"/>
    <w:rsid w:val="001F2216"/>
    <w:rsid w:val="001F344A"/>
    <w:rsid w:val="001F3F97"/>
    <w:rsid w:val="001F59B9"/>
    <w:rsid w:val="00203A86"/>
    <w:rsid w:val="0020581C"/>
    <w:rsid w:val="00205A0D"/>
    <w:rsid w:val="00206BE2"/>
    <w:rsid w:val="00211A4D"/>
    <w:rsid w:val="00225115"/>
    <w:rsid w:val="00226BD0"/>
    <w:rsid w:val="0022721F"/>
    <w:rsid w:val="00230D28"/>
    <w:rsid w:val="00236E03"/>
    <w:rsid w:val="00244E0A"/>
    <w:rsid w:val="00245CBF"/>
    <w:rsid w:val="002461A5"/>
    <w:rsid w:val="00255F11"/>
    <w:rsid w:val="00263BBE"/>
    <w:rsid w:val="00267421"/>
    <w:rsid w:val="00267AEB"/>
    <w:rsid w:val="00271223"/>
    <w:rsid w:val="00273C48"/>
    <w:rsid w:val="0027526E"/>
    <w:rsid w:val="0028133A"/>
    <w:rsid w:val="00286E2D"/>
    <w:rsid w:val="002A12A1"/>
    <w:rsid w:val="002B49DF"/>
    <w:rsid w:val="002D08F4"/>
    <w:rsid w:val="002D1273"/>
    <w:rsid w:val="002E72D1"/>
    <w:rsid w:val="002E7EEA"/>
    <w:rsid w:val="003024CC"/>
    <w:rsid w:val="003035EA"/>
    <w:rsid w:val="003114A0"/>
    <w:rsid w:val="00320EB1"/>
    <w:rsid w:val="0032340B"/>
    <w:rsid w:val="003346A1"/>
    <w:rsid w:val="0033681E"/>
    <w:rsid w:val="0034041D"/>
    <w:rsid w:val="00341ABF"/>
    <w:rsid w:val="00343B33"/>
    <w:rsid w:val="00343F2D"/>
    <w:rsid w:val="0035292A"/>
    <w:rsid w:val="00353713"/>
    <w:rsid w:val="0035510A"/>
    <w:rsid w:val="00357A8B"/>
    <w:rsid w:val="00363259"/>
    <w:rsid w:val="00365BDF"/>
    <w:rsid w:val="00373A7E"/>
    <w:rsid w:val="00375E63"/>
    <w:rsid w:val="00384DC4"/>
    <w:rsid w:val="003850C0"/>
    <w:rsid w:val="00385F8A"/>
    <w:rsid w:val="003976D8"/>
    <w:rsid w:val="003977D5"/>
    <w:rsid w:val="003A0C6B"/>
    <w:rsid w:val="003B216A"/>
    <w:rsid w:val="003C1B2B"/>
    <w:rsid w:val="003D4DE0"/>
    <w:rsid w:val="003D79D6"/>
    <w:rsid w:val="003E08CA"/>
    <w:rsid w:val="003E125E"/>
    <w:rsid w:val="003F616A"/>
    <w:rsid w:val="004015B6"/>
    <w:rsid w:val="00411215"/>
    <w:rsid w:val="004161DC"/>
    <w:rsid w:val="004216CC"/>
    <w:rsid w:val="00427171"/>
    <w:rsid w:val="00433740"/>
    <w:rsid w:val="00436D0F"/>
    <w:rsid w:val="0044046C"/>
    <w:rsid w:val="00451827"/>
    <w:rsid w:val="00463744"/>
    <w:rsid w:val="0046630F"/>
    <w:rsid w:val="00482142"/>
    <w:rsid w:val="00482E95"/>
    <w:rsid w:val="00492899"/>
    <w:rsid w:val="0049402B"/>
    <w:rsid w:val="004972FA"/>
    <w:rsid w:val="004A020A"/>
    <w:rsid w:val="004A6052"/>
    <w:rsid w:val="004A7CB7"/>
    <w:rsid w:val="004C4422"/>
    <w:rsid w:val="004C766C"/>
    <w:rsid w:val="004D5EA6"/>
    <w:rsid w:val="004E24D3"/>
    <w:rsid w:val="004F2008"/>
    <w:rsid w:val="004F442A"/>
    <w:rsid w:val="00505DAA"/>
    <w:rsid w:val="0050751B"/>
    <w:rsid w:val="00512111"/>
    <w:rsid w:val="0051356D"/>
    <w:rsid w:val="00515BD0"/>
    <w:rsid w:val="0051696D"/>
    <w:rsid w:val="0052557F"/>
    <w:rsid w:val="00525FBE"/>
    <w:rsid w:val="00527682"/>
    <w:rsid w:val="00560A61"/>
    <w:rsid w:val="00562BAB"/>
    <w:rsid w:val="00565045"/>
    <w:rsid w:val="00570C96"/>
    <w:rsid w:val="00576253"/>
    <w:rsid w:val="00577563"/>
    <w:rsid w:val="00582837"/>
    <w:rsid w:val="00585637"/>
    <w:rsid w:val="005950AD"/>
    <w:rsid w:val="005B0D78"/>
    <w:rsid w:val="005B1535"/>
    <w:rsid w:val="005B54A4"/>
    <w:rsid w:val="005C3F71"/>
    <w:rsid w:val="005C407C"/>
    <w:rsid w:val="005D06AD"/>
    <w:rsid w:val="005D5579"/>
    <w:rsid w:val="005D58D2"/>
    <w:rsid w:val="005E4D6C"/>
    <w:rsid w:val="005F2480"/>
    <w:rsid w:val="005F3AB6"/>
    <w:rsid w:val="005F4FE1"/>
    <w:rsid w:val="006027B5"/>
    <w:rsid w:val="00612992"/>
    <w:rsid w:val="00616A75"/>
    <w:rsid w:val="00623855"/>
    <w:rsid w:val="00625B91"/>
    <w:rsid w:val="006326D5"/>
    <w:rsid w:val="00633889"/>
    <w:rsid w:val="0063683E"/>
    <w:rsid w:val="0063721C"/>
    <w:rsid w:val="00642D09"/>
    <w:rsid w:val="006502B1"/>
    <w:rsid w:val="0065117D"/>
    <w:rsid w:val="0065493B"/>
    <w:rsid w:val="00661EB0"/>
    <w:rsid w:val="00662B3C"/>
    <w:rsid w:val="006675B8"/>
    <w:rsid w:val="00667F40"/>
    <w:rsid w:val="00675DEE"/>
    <w:rsid w:val="006809CB"/>
    <w:rsid w:val="00685F24"/>
    <w:rsid w:val="006901F1"/>
    <w:rsid w:val="00696FD4"/>
    <w:rsid w:val="006971BB"/>
    <w:rsid w:val="006A2B3F"/>
    <w:rsid w:val="006A4D99"/>
    <w:rsid w:val="006B001D"/>
    <w:rsid w:val="006B22D2"/>
    <w:rsid w:val="006B68FA"/>
    <w:rsid w:val="006C60A6"/>
    <w:rsid w:val="006D0FC4"/>
    <w:rsid w:val="006D41E7"/>
    <w:rsid w:val="006E3F34"/>
    <w:rsid w:val="006E4109"/>
    <w:rsid w:val="006F4ED6"/>
    <w:rsid w:val="007018B8"/>
    <w:rsid w:val="00712C33"/>
    <w:rsid w:val="0071452F"/>
    <w:rsid w:val="0071465B"/>
    <w:rsid w:val="00723DD2"/>
    <w:rsid w:val="00731B75"/>
    <w:rsid w:val="007320A7"/>
    <w:rsid w:val="00734820"/>
    <w:rsid w:val="007349E7"/>
    <w:rsid w:val="00737268"/>
    <w:rsid w:val="0074415B"/>
    <w:rsid w:val="007456EE"/>
    <w:rsid w:val="007471A5"/>
    <w:rsid w:val="00756A2B"/>
    <w:rsid w:val="00774CC7"/>
    <w:rsid w:val="00775B81"/>
    <w:rsid w:val="007A5824"/>
    <w:rsid w:val="007A6C31"/>
    <w:rsid w:val="007B010A"/>
    <w:rsid w:val="007B3DF5"/>
    <w:rsid w:val="007C03F5"/>
    <w:rsid w:val="007C0855"/>
    <w:rsid w:val="007C48B6"/>
    <w:rsid w:val="007C6C99"/>
    <w:rsid w:val="007D1AE9"/>
    <w:rsid w:val="007D6E4A"/>
    <w:rsid w:val="007D6F0F"/>
    <w:rsid w:val="007E020F"/>
    <w:rsid w:val="00817396"/>
    <w:rsid w:val="008242D9"/>
    <w:rsid w:val="008250F0"/>
    <w:rsid w:val="00825C7D"/>
    <w:rsid w:val="00827371"/>
    <w:rsid w:val="008337A2"/>
    <w:rsid w:val="00834A26"/>
    <w:rsid w:val="00837A2B"/>
    <w:rsid w:val="0085122D"/>
    <w:rsid w:val="0085587D"/>
    <w:rsid w:val="008653CA"/>
    <w:rsid w:val="008750C2"/>
    <w:rsid w:val="00883E28"/>
    <w:rsid w:val="00885A39"/>
    <w:rsid w:val="00885CA5"/>
    <w:rsid w:val="008945EE"/>
    <w:rsid w:val="008965D2"/>
    <w:rsid w:val="008B273E"/>
    <w:rsid w:val="008B38E3"/>
    <w:rsid w:val="008B3B1F"/>
    <w:rsid w:val="008B6854"/>
    <w:rsid w:val="008D6046"/>
    <w:rsid w:val="008D63A0"/>
    <w:rsid w:val="008E37DE"/>
    <w:rsid w:val="008F2B4C"/>
    <w:rsid w:val="008F50E1"/>
    <w:rsid w:val="008F71FB"/>
    <w:rsid w:val="00900992"/>
    <w:rsid w:val="00904011"/>
    <w:rsid w:val="009164E1"/>
    <w:rsid w:val="0092142C"/>
    <w:rsid w:val="009217A2"/>
    <w:rsid w:val="0094440A"/>
    <w:rsid w:val="009456B1"/>
    <w:rsid w:val="00947132"/>
    <w:rsid w:val="00951727"/>
    <w:rsid w:val="00953F6F"/>
    <w:rsid w:val="009546BA"/>
    <w:rsid w:val="009563C7"/>
    <w:rsid w:val="00957E09"/>
    <w:rsid w:val="00985CCA"/>
    <w:rsid w:val="00993139"/>
    <w:rsid w:val="009B3C25"/>
    <w:rsid w:val="009B4D49"/>
    <w:rsid w:val="009C1D4E"/>
    <w:rsid w:val="009C590D"/>
    <w:rsid w:val="009C6D08"/>
    <w:rsid w:val="009C7852"/>
    <w:rsid w:val="009E35E9"/>
    <w:rsid w:val="009F55F9"/>
    <w:rsid w:val="009F5761"/>
    <w:rsid w:val="009F68FD"/>
    <w:rsid w:val="00A06E53"/>
    <w:rsid w:val="00A10665"/>
    <w:rsid w:val="00A23E06"/>
    <w:rsid w:val="00A26265"/>
    <w:rsid w:val="00A30F2D"/>
    <w:rsid w:val="00A3130A"/>
    <w:rsid w:val="00A42E30"/>
    <w:rsid w:val="00A55EBD"/>
    <w:rsid w:val="00A57A0D"/>
    <w:rsid w:val="00A62C46"/>
    <w:rsid w:val="00A711FA"/>
    <w:rsid w:val="00A81037"/>
    <w:rsid w:val="00A848F8"/>
    <w:rsid w:val="00A87C66"/>
    <w:rsid w:val="00A901FF"/>
    <w:rsid w:val="00A92D1E"/>
    <w:rsid w:val="00AA16EF"/>
    <w:rsid w:val="00AA21CC"/>
    <w:rsid w:val="00AA3BA7"/>
    <w:rsid w:val="00AB0F04"/>
    <w:rsid w:val="00AB7FA3"/>
    <w:rsid w:val="00AC0DF3"/>
    <w:rsid w:val="00AC1B29"/>
    <w:rsid w:val="00AC1E87"/>
    <w:rsid w:val="00AC660C"/>
    <w:rsid w:val="00AD0343"/>
    <w:rsid w:val="00AD07D6"/>
    <w:rsid w:val="00AD0936"/>
    <w:rsid w:val="00AD6C28"/>
    <w:rsid w:val="00AF4141"/>
    <w:rsid w:val="00B03A22"/>
    <w:rsid w:val="00B33E58"/>
    <w:rsid w:val="00B40E8C"/>
    <w:rsid w:val="00B44E0D"/>
    <w:rsid w:val="00B56458"/>
    <w:rsid w:val="00B57E79"/>
    <w:rsid w:val="00B6527C"/>
    <w:rsid w:val="00B66D51"/>
    <w:rsid w:val="00B714DE"/>
    <w:rsid w:val="00B80F2F"/>
    <w:rsid w:val="00B841C4"/>
    <w:rsid w:val="00B8601E"/>
    <w:rsid w:val="00B87B31"/>
    <w:rsid w:val="00BA7B71"/>
    <w:rsid w:val="00BC1125"/>
    <w:rsid w:val="00BC5345"/>
    <w:rsid w:val="00BC5E45"/>
    <w:rsid w:val="00BD1741"/>
    <w:rsid w:val="00BD4E51"/>
    <w:rsid w:val="00BD5236"/>
    <w:rsid w:val="00BE05BA"/>
    <w:rsid w:val="00BE5092"/>
    <w:rsid w:val="00BF5512"/>
    <w:rsid w:val="00C02DAA"/>
    <w:rsid w:val="00C06FB6"/>
    <w:rsid w:val="00C12FB6"/>
    <w:rsid w:val="00C143E0"/>
    <w:rsid w:val="00C336BA"/>
    <w:rsid w:val="00C4088B"/>
    <w:rsid w:val="00C44960"/>
    <w:rsid w:val="00C556FF"/>
    <w:rsid w:val="00C626EC"/>
    <w:rsid w:val="00C7213A"/>
    <w:rsid w:val="00C72E91"/>
    <w:rsid w:val="00C761EF"/>
    <w:rsid w:val="00C77BE4"/>
    <w:rsid w:val="00C87F7E"/>
    <w:rsid w:val="00C92536"/>
    <w:rsid w:val="00C93345"/>
    <w:rsid w:val="00C96A44"/>
    <w:rsid w:val="00CA1DA4"/>
    <w:rsid w:val="00CA5B26"/>
    <w:rsid w:val="00CA6682"/>
    <w:rsid w:val="00CB535B"/>
    <w:rsid w:val="00CC245E"/>
    <w:rsid w:val="00CD4067"/>
    <w:rsid w:val="00CE3274"/>
    <w:rsid w:val="00CE3AF1"/>
    <w:rsid w:val="00CF3B73"/>
    <w:rsid w:val="00D02282"/>
    <w:rsid w:val="00D03716"/>
    <w:rsid w:val="00D0419F"/>
    <w:rsid w:val="00D1461E"/>
    <w:rsid w:val="00D164A7"/>
    <w:rsid w:val="00D34FBE"/>
    <w:rsid w:val="00D35654"/>
    <w:rsid w:val="00D35F55"/>
    <w:rsid w:val="00D3630F"/>
    <w:rsid w:val="00D46319"/>
    <w:rsid w:val="00D50140"/>
    <w:rsid w:val="00D55C41"/>
    <w:rsid w:val="00D57BDF"/>
    <w:rsid w:val="00D6041D"/>
    <w:rsid w:val="00D64260"/>
    <w:rsid w:val="00D64638"/>
    <w:rsid w:val="00D83348"/>
    <w:rsid w:val="00D84EE4"/>
    <w:rsid w:val="00D8712B"/>
    <w:rsid w:val="00D9141B"/>
    <w:rsid w:val="00D97B97"/>
    <w:rsid w:val="00DC6CBE"/>
    <w:rsid w:val="00DF1E78"/>
    <w:rsid w:val="00E000F3"/>
    <w:rsid w:val="00E0377C"/>
    <w:rsid w:val="00E04C6C"/>
    <w:rsid w:val="00E071A1"/>
    <w:rsid w:val="00E07DD2"/>
    <w:rsid w:val="00E21CE2"/>
    <w:rsid w:val="00E27F2B"/>
    <w:rsid w:val="00E34E0C"/>
    <w:rsid w:val="00E54DEA"/>
    <w:rsid w:val="00E70022"/>
    <w:rsid w:val="00E75470"/>
    <w:rsid w:val="00E75F5A"/>
    <w:rsid w:val="00E8066C"/>
    <w:rsid w:val="00E824D8"/>
    <w:rsid w:val="00E82BD9"/>
    <w:rsid w:val="00E948C6"/>
    <w:rsid w:val="00E955BA"/>
    <w:rsid w:val="00EB709B"/>
    <w:rsid w:val="00ED2B24"/>
    <w:rsid w:val="00EE13CD"/>
    <w:rsid w:val="00EE4F17"/>
    <w:rsid w:val="00EF03EB"/>
    <w:rsid w:val="00EF07E8"/>
    <w:rsid w:val="00EF40A7"/>
    <w:rsid w:val="00EF7782"/>
    <w:rsid w:val="00F175A7"/>
    <w:rsid w:val="00F26D7A"/>
    <w:rsid w:val="00F36BF3"/>
    <w:rsid w:val="00F43561"/>
    <w:rsid w:val="00F504C0"/>
    <w:rsid w:val="00F50F70"/>
    <w:rsid w:val="00F52B44"/>
    <w:rsid w:val="00F52FF4"/>
    <w:rsid w:val="00F62BC0"/>
    <w:rsid w:val="00F73CE5"/>
    <w:rsid w:val="00F80D0A"/>
    <w:rsid w:val="00FA7335"/>
    <w:rsid w:val="00FB162C"/>
    <w:rsid w:val="00FC246F"/>
    <w:rsid w:val="00FE164A"/>
    <w:rsid w:val="00FE47CD"/>
    <w:rsid w:val="00FF1859"/>
    <w:rsid w:val="02480586"/>
    <w:rsid w:val="040F25B0"/>
    <w:rsid w:val="05905EC3"/>
    <w:rsid w:val="098A2029"/>
    <w:rsid w:val="09E65669"/>
    <w:rsid w:val="0DE96569"/>
    <w:rsid w:val="0F8F1D15"/>
    <w:rsid w:val="13E11E64"/>
    <w:rsid w:val="156660DA"/>
    <w:rsid w:val="180948FC"/>
    <w:rsid w:val="19EC3A1D"/>
    <w:rsid w:val="1EE63555"/>
    <w:rsid w:val="207D1D18"/>
    <w:rsid w:val="20AF6F24"/>
    <w:rsid w:val="22813348"/>
    <w:rsid w:val="22F4261A"/>
    <w:rsid w:val="23287B18"/>
    <w:rsid w:val="28FA660B"/>
    <w:rsid w:val="299E2994"/>
    <w:rsid w:val="2CEC3670"/>
    <w:rsid w:val="2D6E03CC"/>
    <w:rsid w:val="2EC31111"/>
    <w:rsid w:val="2FDF23EB"/>
    <w:rsid w:val="31FE750F"/>
    <w:rsid w:val="328E7910"/>
    <w:rsid w:val="3428679B"/>
    <w:rsid w:val="368F11EE"/>
    <w:rsid w:val="3C5A0A03"/>
    <w:rsid w:val="43D74871"/>
    <w:rsid w:val="46BC22E6"/>
    <w:rsid w:val="48F22889"/>
    <w:rsid w:val="4D4F78EA"/>
    <w:rsid w:val="50B32433"/>
    <w:rsid w:val="50C97D4A"/>
    <w:rsid w:val="52A63DE3"/>
    <w:rsid w:val="549734A7"/>
    <w:rsid w:val="585E1813"/>
    <w:rsid w:val="5A534CBD"/>
    <w:rsid w:val="5CF8462B"/>
    <w:rsid w:val="5DBE27FF"/>
    <w:rsid w:val="629056C4"/>
    <w:rsid w:val="68972A14"/>
    <w:rsid w:val="6A9E5172"/>
    <w:rsid w:val="739E3E88"/>
    <w:rsid w:val="74F11A44"/>
    <w:rsid w:val="75535362"/>
    <w:rsid w:val="761802AD"/>
    <w:rsid w:val="76200498"/>
    <w:rsid w:val="778066EB"/>
    <w:rsid w:val="787E20E4"/>
    <w:rsid w:val="7B7F9DDA"/>
    <w:rsid w:val="7C830A0A"/>
    <w:rsid w:val="7DFF0F4C"/>
    <w:rsid w:val="7F7366B3"/>
    <w:rsid w:val="7FBE1956"/>
    <w:rsid w:val="7FF7B2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E1"/>
    <w:pPr>
      <w:widowControl w:val="0"/>
      <w:jc w:val="both"/>
    </w:pPr>
    <w:rPr>
      <w:kern w:val="2"/>
      <w:sz w:val="21"/>
      <w:szCs w:val="21"/>
    </w:rPr>
  </w:style>
  <w:style w:type="paragraph" w:styleId="3">
    <w:name w:val="heading 3"/>
    <w:basedOn w:val="a"/>
    <w:next w:val="a"/>
    <w:semiHidden/>
    <w:unhideWhenUsed/>
    <w:qFormat/>
    <w:locked/>
    <w:rsid w:val="009164E1"/>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9164E1"/>
    <w:rPr>
      <w:sz w:val="18"/>
      <w:szCs w:val="18"/>
    </w:rPr>
  </w:style>
  <w:style w:type="paragraph" w:styleId="a4">
    <w:name w:val="footer"/>
    <w:basedOn w:val="a"/>
    <w:link w:val="Char"/>
    <w:uiPriority w:val="99"/>
    <w:semiHidden/>
    <w:qFormat/>
    <w:rsid w:val="009164E1"/>
    <w:pPr>
      <w:tabs>
        <w:tab w:val="center" w:pos="4153"/>
        <w:tab w:val="right" w:pos="8306"/>
      </w:tabs>
      <w:snapToGrid w:val="0"/>
      <w:jc w:val="left"/>
    </w:pPr>
    <w:rPr>
      <w:sz w:val="18"/>
      <w:szCs w:val="18"/>
    </w:rPr>
  </w:style>
  <w:style w:type="paragraph" w:styleId="a5">
    <w:name w:val="header"/>
    <w:basedOn w:val="a"/>
    <w:link w:val="Char0"/>
    <w:uiPriority w:val="99"/>
    <w:qFormat/>
    <w:rsid w:val="009164E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9164E1"/>
    <w:pPr>
      <w:widowControl/>
      <w:spacing w:before="100" w:beforeAutospacing="1" w:after="100" w:afterAutospacing="1"/>
      <w:jc w:val="left"/>
    </w:pPr>
    <w:rPr>
      <w:rFonts w:ascii="宋体" w:hAnsi="宋体" w:cs="宋体"/>
      <w:kern w:val="0"/>
      <w:sz w:val="24"/>
      <w:szCs w:val="24"/>
    </w:rPr>
  </w:style>
  <w:style w:type="character" w:styleId="a7">
    <w:name w:val="Hyperlink"/>
    <w:basedOn w:val="a0"/>
    <w:qFormat/>
    <w:rsid w:val="009164E1"/>
    <w:rPr>
      <w:color w:val="0000FF"/>
      <w:u w:val="single"/>
    </w:rPr>
  </w:style>
  <w:style w:type="character" w:customStyle="1" w:styleId="Char0">
    <w:name w:val="页眉 Char"/>
    <w:basedOn w:val="a0"/>
    <w:link w:val="a5"/>
    <w:uiPriority w:val="99"/>
    <w:qFormat/>
    <w:locked/>
    <w:rsid w:val="009164E1"/>
    <w:rPr>
      <w:rFonts w:ascii="Times New Roman" w:eastAsia="宋体" w:hAnsi="Times New Roman" w:cs="Times New Roman"/>
      <w:sz w:val="18"/>
      <w:szCs w:val="18"/>
    </w:rPr>
  </w:style>
  <w:style w:type="paragraph" w:customStyle="1" w:styleId="080318">
    <w:name w:val="产品方案正文080318"/>
    <w:basedOn w:val="222"/>
    <w:qFormat/>
    <w:rsid w:val="009164E1"/>
    <w:pPr>
      <w:ind w:firstLine="200"/>
    </w:pPr>
    <w:rPr>
      <w:rFonts w:ascii="宋体"/>
    </w:rPr>
  </w:style>
  <w:style w:type="paragraph" w:customStyle="1" w:styleId="222">
    <w:name w:val="样式 样式 产品正文2 + 首行缩进:  2 字符 + 首行缩进:  2 字符"/>
    <w:basedOn w:val="a"/>
    <w:qFormat/>
    <w:rsid w:val="009164E1"/>
    <w:pPr>
      <w:autoSpaceDE w:val="0"/>
      <w:autoSpaceDN w:val="0"/>
      <w:adjustRightInd w:val="0"/>
      <w:snapToGrid w:val="0"/>
      <w:spacing w:line="360" w:lineRule="auto"/>
      <w:ind w:firstLineChars="200" w:firstLine="480"/>
    </w:pPr>
    <w:rPr>
      <w:rFonts w:ascii="仿宋_GB2312" w:eastAsia="仿宋_GB2312" w:cs="宋体"/>
      <w:sz w:val="24"/>
      <w:szCs w:val="20"/>
      <w:lang w:val="zh-CN"/>
    </w:rPr>
  </w:style>
  <w:style w:type="character" w:customStyle="1" w:styleId="Char">
    <w:name w:val="页脚 Char"/>
    <w:basedOn w:val="a0"/>
    <w:link w:val="a4"/>
    <w:uiPriority w:val="99"/>
    <w:semiHidden/>
    <w:qFormat/>
    <w:locked/>
    <w:rsid w:val="009164E1"/>
    <w:rPr>
      <w:rFonts w:ascii="Times New Roman" w:eastAsia="宋体" w:hAnsi="Times New Roman" w:cs="Times New Roman"/>
      <w:sz w:val="18"/>
      <w:szCs w:val="18"/>
    </w:rPr>
  </w:style>
  <w:style w:type="character" w:customStyle="1" w:styleId="txtcontent11">
    <w:name w:val="txtcontent11"/>
    <w:basedOn w:val="a0"/>
    <w:qFormat/>
    <w:rsid w:val="009164E1"/>
    <w:rPr>
      <w:color w:val="000000"/>
      <w:sz w:val="19"/>
      <w:szCs w:val="19"/>
    </w:rPr>
  </w:style>
  <w:style w:type="paragraph" w:customStyle="1" w:styleId="Default">
    <w:name w:val="Default"/>
    <w:qFormat/>
    <w:rsid w:val="009164E1"/>
    <w:pPr>
      <w:widowControl w:val="0"/>
      <w:autoSpaceDE w:val="0"/>
      <w:autoSpaceDN w:val="0"/>
      <w:adjustRightInd w:val="0"/>
    </w:pPr>
    <w:rPr>
      <w:rFonts w:ascii="宋体" w:cs="宋体"/>
      <w:color w:val="000000"/>
      <w:sz w:val="24"/>
      <w:szCs w:val="24"/>
    </w:rPr>
  </w:style>
  <w:style w:type="paragraph" w:styleId="a8">
    <w:name w:val="List Paragraph"/>
    <w:basedOn w:val="a"/>
    <w:uiPriority w:val="34"/>
    <w:qFormat/>
    <w:rsid w:val="009164E1"/>
    <w:pPr>
      <w:ind w:firstLineChars="200" w:firstLine="420"/>
    </w:pPr>
    <w:rPr>
      <w:szCs w:val="24"/>
    </w:rPr>
  </w:style>
  <w:style w:type="paragraph" w:customStyle="1" w:styleId="Revision1">
    <w:name w:val="Revision1"/>
    <w:hidden/>
    <w:uiPriority w:val="99"/>
    <w:semiHidden/>
    <w:qFormat/>
    <w:rsid w:val="009164E1"/>
    <w:rPr>
      <w:kern w:val="2"/>
      <w:sz w:val="21"/>
      <w:szCs w:val="21"/>
    </w:rPr>
  </w:style>
  <w:style w:type="paragraph" w:customStyle="1" w:styleId="1">
    <w:name w:val="修订1"/>
    <w:hidden/>
    <w:uiPriority w:val="99"/>
    <w:unhideWhenUsed/>
    <w:qFormat/>
    <w:rsid w:val="009164E1"/>
    <w:rPr>
      <w:kern w:val="2"/>
      <w:sz w:val="21"/>
      <w:szCs w:val="21"/>
    </w:rPr>
  </w:style>
  <w:style w:type="paragraph" w:customStyle="1" w:styleId="10">
    <w:name w:val="普通(网站)1"/>
    <w:basedOn w:val="a"/>
    <w:qFormat/>
    <w:rsid w:val="009164E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4</DocSecurity>
  <Lines>9</Lines>
  <Paragraphs>2</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银华基金管理有限公司关于增加光大银行、哈尔滨银行、东莞证券</dc:title>
  <dc:creator>gaoying</dc:creator>
  <cp:lastModifiedBy>ZHONGM</cp:lastModifiedBy>
  <cp:revision>2</cp:revision>
  <cp:lastPrinted>2022-05-11T10:06:00Z</cp:lastPrinted>
  <dcterms:created xsi:type="dcterms:W3CDTF">2024-07-23T16:01:00Z</dcterms:created>
  <dcterms:modified xsi:type="dcterms:W3CDTF">2024-07-23T16:01:00Z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3BB8E699A2204415BDD674165B10113A</vt:lpwstr>
  </property>
  <property fmtid="{D5CDD505-2E9C-101B-9397-08002B2CF9AE}" pid="4" name="GrammarlyDocumentId">
    <vt:lpwstr>cca618f6a765fd344b2aefee12bf5a9455632d66e438ac8531d039222b1e239e</vt:lpwstr>
  </property>
</Properties>
</file>