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42" w:rsidRPr="001D3407" w:rsidRDefault="00217367" w:rsidP="00152964">
      <w:pPr>
        <w:pStyle w:val="HTML"/>
        <w:spacing w:line="360" w:lineRule="auto"/>
        <w:jc w:val="center"/>
        <w:rPr>
          <w:b/>
          <w:sz w:val="28"/>
          <w:szCs w:val="30"/>
        </w:rPr>
      </w:pPr>
      <w:bookmarkStart w:id="0" w:name="_GoBack"/>
      <w:bookmarkEnd w:id="0"/>
      <w:r w:rsidRPr="00217367">
        <w:rPr>
          <w:rFonts w:hint="eastAsia"/>
          <w:b/>
          <w:sz w:val="28"/>
          <w:szCs w:val="30"/>
        </w:rPr>
        <w:t>浦银安盛基金管理有限公司关于旗下部分基金新增</w:t>
      </w:r>
      <w:r w:rsidR="008510CE">
        <w:rPr>
          <w:rFonts w:hint="eastAsia"/>
          <w:b/>
          <w:sz w:val="28"/>
          <w:szCs w:val="30"/>
        </w:rPr>
        <w:t>国金</w:t>
      </w:r>
      <w:r w:rsidRPr="00217367">
        <w:rPr>
          <w:rFonts w:hint="eastAsia"/>
          <w:b/>
          <w:sz w:val="28"/>
          <w:szCs w:val="30"/>
        </w:rPr>
        <w:t>证券为一级交易商代理机构的公告</w:t>
      </w:r>
    </w:p>
    <w:p w:rsidR="007419BA" w:rsidRPr="001D3407" w:rsidRDefault="007419BA" w:rsidP="00B924BC">
      <w:pPr>
        <w:pStyle w:val="HTML"/>
        <w:spacing w:line="360" w:lineRule="auto"/>
        <w:jc w:val="center"/>
        <w:rPr>
          <w:b/>
          <w:sz w:val="28"/>
          <w:szCs w:val="30"/>
        </w:rPr>
      </w:pPr>
    </w:p>
    <w:p w:rsidR="00C44A42" w:rsidRPr="001D3407" w:rsidRDefault="00765D07" w:rsidP="00762C12">
      <w:pPr>
        <w:pStyle w:val="HTML"/>
        <w:spacing w:line="360" w:lineRule="auto"/>
        <w:ind w:firstLine="420"/>
        <w:jc w:val="both"/>
        <w:rPr>
          <w:sz w:val="21"/>
        </w:rPr>
      </w:pPr>
      <w:r w:rsidRPr="001D3407">
        <w:rPr>
          <w:rFonts w:hint="eastAsia"/>
          <w:sz w:val="21"/>
        </w:rPr>
        <w:t>经</w:t>
      </w:r>
      <w:r w:rsidR="00B857BC" w:rsidRPr="001D3407">
        <w:rPr>
          <w:rFonts w:hint="eastAsia"/>
          <w:sz w:val="21"/>
        </w:rPr>
        <w:t>浦银安盛基金管理有限公司（以下简称“本公司”）与</w:t>
      </w:r>
      <w:r w:rsidR="008510CE">
        <w:rPr>
          <w:rFonts w:asciiTheme="minorEastAsia" w:eastAsiaTheme="minorEastAsia" w:hAnsiTheme="minorEastAsia" w:hint="eastAsia"/>
          <w:sz w:val="21"/>
          <w:szCs w:val="21"/>
        </w:rPr>
        <w:t>国金</w:t>
      </w:r>
      <w:r w:rsidR="00217367" w:rsidRPr="00427D4D">
        <w:rPr>
          <w:rFonts w:asciiTheme="minorEastAsia" w:eastAsiaTheme="minorEastAsia" w:hAnsiTheme="minorEastAsia" w:hint="eastAsia"/>
          <w:sz w:val="21"/>
          <w:szCs w:val="21"/>
        </w:rPr>
        <w:t>证券</w:t>
      </w:r>
      <w:r w:rsidR="008643BF">
        <w:rPr>
          <w:rFonts w:asciiTheme="minorEastAsia" w:eastAsiaTheme="minorEastAsia" w:hAnsiTheme="minorEastAsia" w:hint="eastAsia"/>
          <w:sz w:val="21"/>
          <w:szCs w:val="21"/>
        </w:rPr>
        <w:t>股份</w:t>
      </w:r>
      <w:r w:rsidR="00217367" w:rsidRPr="00427D4D">
        <w:rPr>
          <w:rFonts w:asciiTheme="minorEastAsia" w:eastAsiaTheme="minorEastAsia" w:hAnsiTheme="minorEastAsia" w:hint="eastAsia"/>
          <w:sz w:val="21"/>
          <w:szCs w:val="21"/>
        </w:rPr>
        <w:t>有限公司</w:t>
      </w:r>
      <w:r w:rsidR="00217367" w:rsidRPr="00787B87">
        <w:rPr>
          <w:rFonts w:asciiTheme="minorEastAsia" w:eastAsiaTheme="minorEastAsia" w:hAnsiTheme="minorEastAsia" w:hint="eastAsia"/>
          <w:sz w:val="21"/>
          <w:szCs w:val="21"/>
        </w:rPr>
        <w:t>（以下简称“</w:t>
      </w:r>
      <w:r w:rsidR="00E42033">
        <w:rPr>
          <w:rFonts w:asciiTheme="minorEastAsia" w:eastAsiaTheme="minorEastAsia" w:hAnsiTheme="minorEastAsia" w:hint="eastAsia"/>
          <w:sz w:val="21"/>
          <w:szCs w:val="21"/>
        </w:rPr>
        <w:t>国金</w:t>
      </w:r>
      <w:r w:rsidR="00217367">
        <w:rPr>
          <w:rFonts w:asciiTheme="minorEastAsia" w:eastAsiaTheme="minorEastAsia" w:hAnsiTheme="minorEastAsia" w:hint="eastAsia"/>
          <w:sz w:val="21"/>
          <w:szCs w:val="21"/>
        </w:rPr>
        <w:t>证券</w:t>
      </w:r>
      <w:r w:rsidR="00217367" w:rsidRPr="00787B87">
        <w:rPr>
          <w:rFonts w:asciiTheme="minorEastAsia" w:eastAsiaTheme="minorEastAsia" w:hAnsiTheme="minorEastAsia" w:hint="eastAsia"/>
          <w:sz w:val="21"/>
          <w:szCs w:val="21"/>
        </w:rPr>
        <w:t>”）</w:t>
      </w:r>
      <w:r w:rsidR="00B857BC" w:rsidRPr="001D3407">
        <w:rPr>
          <w:rFonts w:hint="eastAsia"/>
          <w:sz w:val="21"/>
        </w:rPr>
        <w:t>协商一致，</w:t>
      </w:r>
      <w:r w:rsidR="00DE39EA" w:rsidRPr="001D3407">
        <w:rPr>
          <w:rFonts w:hint="eastAsia"/>
          <w:sz w:val="21"/>
        </w:rPr>
        <w:t>本公司</w:t>
      </w:r>
      <w:r w:rsidR="007419BA" w:rsidRPr="001D3407">
        <w:rPr>
          <w:rFonts w:hint="eastAsia"/>
          <w:sz w:val="21"/>
        </w:rPr>
        <w:t>决定自</w:t>
      </w:r>
      <w:r w:rsidR="007419BA" w:rsidRPr="001D3407">
        <w:rPr>
          <w:sz w:val="21"/>
        </w:rPr>
        <w:t>202</w:t>
      </w:r>
      <w:r w:rsidR="003261C0">
        <w:rPr>
          <w:sz w:val="21"/>
        </w:rPr>
        <w:t>4</w:t>
      </w:r>
      <w:r w:rsidR="007419BA" w:rsidRPr="001D3407">
        <w:rPr>
          <w:rFonts w:hint="eastAsia"/>
          <w:sz w:val="21"/>
        </w:rPr>
        <w:t>年</w:t>
      </w:r>
      <w:r w:rsidR="003261C0">
        <w:rPr>
          <w:sz w:val="21"/>
        </w:rPr>
        <w:t>7</w:t>
      </w:r>
      <w:r w:rsidR="007419BA" w:rsidRPr="001D3407">
        <w:rPr>
          <w:rFonts w:hint="eastAsia"/>
          <w:sz w:val="21"/>
        </w:rPr>
        <w:t>月</w:t>
      </w:r>
      <w:r w:rsidR="001571F4">
        <w:rPr>
          <w:sz w:val="21"/>
        </w:rPr>
        <w:t>24</w:t>
      </w:r>
      <w:r w:rsidR="007419BA" w:rsidRPr="001D3407">
        <w:rPr>
          <w:rFonts w:hint="eastAsia"/>
          <w:sz w:val="21"/>
        </w:rPr>
        <w:t>日起增加</w:t>
      </w:r>
      <w:r w:rsidR="00E42033">
        <w:rPr>
          <w:rFonts w:hint="eastAsia"/>
          <w:sz w:val="21"/>
        </w:rPr>
        <w:t>国金</w:t>
      </w:r>
      <w:r w:rsidR="00217367">
        <w:rPr>
          <w:rFonts w:hint="eastAsia"/>
          <w:sz w:val="21"/>
        </w:rPr>
        <w:t>证券</w:t>
      </w:r>
      <w:r w:rsidR="007419BA" w:rsidRPr="001D3407">
        <w:rPr>
          <w:rFonts w:hint="eastAsia"/>
          <w:sz w:val="21"/>
        </w:rPr>
        <w:t>为</w:t>
      </w:r>
      <w:r w:rsidR="00383D1A" w:rsidRPr="001D3407">
        <w:rPr>
          <w:rFonts w:hint="eastAsia"/>
          <w:sz w:val="21"/>
        </w:rPr>
        <w:t>本</w:t>
      </w:r>
      <w:r w:rsidR="00CD5C06" w:rsidRPr="001D3407">
        <w:rPr>
          <w:rFonts w:hint="eastAsia"/>
          <w:sz w:val="21"/>
        </w:rPr>
        <w:t>公司旗下</w:t>
      </w:r>
      <w:r w:rsidR="008643BF" w:rsidRPr="008643BF">
        <w:rPr>
          <w:rFonts w:hint="eastAsia"/>
          <w:sz w:val="21"/>
        </w:rPr>
        <w:t>浦银安盛中证ESG</w:t>
      </w:r>
      <w:r w:rsidR="00AE5544">
        <w:rPr>
          <w:sz w:val="21"/>
        </w:rPr>
        <w:t xml:space="preserve"> </w:t>
      </w:r>
      <w:r w:rsidR="008643BF" w:rsidRPr="008643BF">
        <w:rPr>
          <w:rFonts w:hint="eastAsia"/>
          <w:sz w:val="21"/>
        </w:rPr>
        <w:t>120策略交易型开放式指数证券投资基金</w:t>
      </w:r>
      <w:r w:rsidR="007419BA" w:rsidRPr="001D3407">
        <w:rPr>
          <w:rFonts w:hint="eastAsia"/>
          <w:sz w:val="21"/>
        </w:rPr>
        <w:t>（</w:t>
      </w:r>
      <w:r w:rsidR="007C515B" w:rsidRPr="001D3407">
        <w:rPr>
          <w:rFonts w:hint="eastAsia"/>
          <w:sz w:val="21"/>
        </w:rPr>
        <w:t>基金代码：</w:t>
      </w:r>
      <w:r w:rsidR="00217367" w:rsidRPr="00217367">
        <w:rPr>
          <w:sz w:val="21"/>
        </w:rPr>
        <w:t>5</w:t>
      </w:r>
      <w:r w:rsidR="008643BF">
        <w:rPr>
          <w:sz w:val="21"/>
        </w:rPr>
        <w:t>16720</w:t>
      </w:r>
      <w:r w:rsidR="00217367">
        <w:rPr>
          <w:sz w:val="21"/>
        </w:rPr>
        <w:t>）、</w:t>
      </w:r>
      <w:r w:rsidR="008643BF" w:rsidRPr="008643BF">
        <w:rPr>
          <w:rFonts w:hint="eastAsia"/>
          <w:sz w:val="21"/>
        </w:rPr>
        <w:t>浦银安盛中证证券公司30交易型开放式指数证券投资基金</w:t>
      </w:r>
      <w:r w:rsidR="00217367">
        <w:rPr>
          <w:rFonts w:hint="eastAsia"/>
          <w:sz w:val="21"/>
        </w:rPr>
        <w:t>（基金代码：</w:t>
      </w:r>
      <w:r w:rsidR="008643BF">
        <w:rPr>
          <w:sz w:val="21"/>
        </w:rPr>
        <w:t>516</w:t>
      </w:r>
      <w:r w:rsidR="00217367" w:rsidRPr="00217367">
        <w:rPr>
          <w:sz w:val="21"/>
        </w:rPr>
        <w:t>7</w:t>
      </w:r>
      <w:r w:rsidR="008643BF">
        <w:rPr>
          <w:sz w:val="21"/>
        </w:rPr>
        <w:t>3</w:t>
      </w:r>
      <w:r w:rsidR="00217367" w:rsidRPr="00217367">
        <w:rPr>
          <w:sz w:val="21"/>
        </w:rPr>
        <w:t>0</w:t>
      </w:r>
      <w:r w:rsidR="00217367">
        <w:rPr>
          <w:rFonts w:hint="eastAsia"/>
          <w:sz w:val="21"/>
        </w:rPr>
        <w:t>）</w:t>
      </w:r>
      <w:r w:rsidR="008643BF">
        <w:rPr>
          <w:sz w:val="21"/>
        </w:rPr>
        <w:t>、</w:t>
      </w:r>
      <w:r w:rsidR="008643BF" w:rsidRPr="008643BF">
        <w:rPr>
          <w:rFonts w:hint="eastAsia"/>
          <w:sz w:val="21"/>
        </w:rPr>
        <w:t>浦银安盛中证沪港深游戏及文化传媒交易型开放式指数证券投资基金</w:t>
      </w:r>
      <w:r w:rsidR="008643BF">
        <w:rPr>
          <w:rFonts w:hint="eastAsia"/>
          <w:sz w:val="21"/>
        </w:rPr>
        <w:t>（基金代码：</w:t>
      </w:r>
      <w:r w:rsidR="008643BF">
        <w:rPr>
          <w:sz w:val="21"/>
        </w:rPr>
        <w:t>517</w:t>
      </w:r>
      <w:r w:rsidR="008643BF" w:rsidRPr="00217367">
        <w:rPr>
          <w:sz w:val="21"/>
        </w:rPr>
        <w:t>7</w:t>
      </w:r>
      <w:r w:rsidR="008643BF">
        <w:rPr>
          <w:sz w:val="21"/>
        </w:rPr>
        <w:t>7</w:t>
      </w:r>
      <w:r w:rsidR="008643BF" w:rsidRPr="00217367">
        <w:rPr>
          <w:sz w:val="21"/>
        </w:rPr>
        <w:t>0</w:t>
      </w:r>
      <w:r w:rsidR="008643BF">
        <w:rPr>
          <w:rFonts w:hint="eastAsia"/>
          <w:sz w:val="21"/>
        </w:rPr>
        <w:t>）</w:t>
      </w:r>
      <w:r w:rsidR="003261C0">
        <w:rPr>
          <w:rFonts w:hint="eastAsia"/>
          <w:sz w:val="21"/>
        </w:rPr>
        <w:t>、</w:t>
      </w:r>
      <w:r w:rsidR="000450B7" w:rsidRPr="000450B7">
        <w:rPr>
          <w:rFonts w:hint="eastAsia"/>
          <w:sz w:val="21"/>
        </w:rPr>
        <w:t>浦银安盛MSCI中国A股交易型开放式指数证券投资基金（基金代码：</w:t>
      </w:r>
      <w:r w:rsidR="000450B7" w:rsidRPr="000450B7">
        <w:rPr>
          <w:sz w:val="21"/>
        </w:rPr>
        <w:t>515780</w:t>
      </w:r>
      <w:r w:rsidR="000450B7" w:rsidRPr="000450B7">
        <w:rPr>
          <w:rFonts w:hint="eastAsia"/>
          <w:sz w:val="21"/>
        </w:rPr>
        <w:t>）</w:t>
      </w:r>
      <w:r w:rsidR="000450B7">
        <w:rPr>
          <w:rFonts w:hint="eastAsia"/>
          <w:sz w:val="21"/>
        </w:rPr>
        <w:t>、</w:t>
      </w:r>
      <w:r w:rsidR="000450B7" w:rsidRPr="000450B7">
        <w:rPr>
          <w:rFonts w:hint="eastAsia"/>
          <w:sz w:val="21"/>
        </w:rPr>
        <w:t>浦银安盛中证智能电动汽车交易型开放式指数证券投资基金（基金代码：5</w:t>
      </w:r>
      <w:r w:rsidR="000450B7">
        <w:rPr>
          <w:sz w:val="21"/>
        </w:rPr>
        <w:t>60000</w:t>
      </w:r>
      <w:r w:rsidR="000450B7" w:rsidRPr="000450B7">
        <w:rPr>
          <w:rFonts w:hint="eastAsia"/>
          <w:sz w:val="21"/>
        </w:rPr>
        <w:t>）</w:t>
      </w:r>
      <w:r w:rsidR="000450B7">
        <w:rPr>
          <w:rFonts w:hint="eastAsia"/>
          <w:sz w:val="21"/>
        </w:rPr>
        <w:t>、</w:t>
      </w:r>
      <w:r w:rsidR="000450B7" w:rsidRPr="000450B7">
        <w:rPr>
          <w:rFonts w:hint="eastAsia"/>
          <w:sz w:val="21"/>
        </w:rPr>
        <w:t>浦银安盛创业板交易型开放式指数证券投资基金（基金代码：</w:t>
      </w:r>
      <w:r w:rsidR="000450B7" w:rsidRPr="000450B7">
        <w:rPr>
          <w:sz w:val="21"/>
        </w:rPr>
        <w:t>159810</w:t>
      </w:r>
      <w:r w:rsidR="000450B7" w:rsidRPr="000450B7">
        <w:rPr>
          <w:rFonts w:hint="eastAsia"/>
          <w:sz w:val="21"/>
        </w:rPr>
        <w:t>）</w:t>
      </w:r>
      <w:r w:rsidR="00441924">
        <w:rPr>
          <w:rFonts w:hint="eastAsia"/>
          <w:sz w:val="21"/>
        </w:rPr>
        <w:t>、</w:t>
      </w:r>
      <w:r w:rsidR="00441924" w:rsidRPr="00441924">
        <w:rPr>
          <w:rFonts w:hint="eastAsia"/>
          <w:sz w:val="21"/>
        </w:rPr>
        <w:t>浦银安盛中证光伏产业交易型开放式指数证券投资基金（基金代码：159</w:t>
      </w:r>
      <w:r w:rsidR="00441924">
        <w:rPr>
          <w:sz w:val="21"/>
        </w:rPr>
        <w:t>609</w:t>
      </w:r>
      <w:r w:rsidR="00441924" w:rsidRPr="00441924">
        <w:rPr>
          <w:rFonts w:hint="eastAsia"/>
          <w:sz w:val="21"/>
        </w:rPr>
        <w:t>）</w:t>
      </w:r>
      <w:r w:rsidR="00DE39EA" w:rsidRPr="001D3407">
        <w:rPr>
          <w:rFonts w:hint="eastAsia"/>
          <w:sz w:val="21"/>
        </w:rPr>
        <w:t>的</w:t>
      </w:r>
      <w:r w:rsidR="002D1017" w:rsidRPr="001D3407">
        <w:rPr>
          <w:rFonts w:hint="eastAsia"/>
          <w:sz w:val="21"/>
        </w:rPr>
        <w:t>一级交易商（申购赎回代理券商）</w:t>
      </w:r>
      <w:r w:rsidR="00C00D6E" w:rsidRPr="001D3407">
        <w:rPr>
          <w:rFonts w:hint="eastAsia"/>
          <w:sz w:val="21"/>
        </w:rPr>
        <w:t>。</w:t>
      </w:r>
    </w:p>
    <w:p w:rsidR="003A2A97" w:rsidRPr="001D3407" w:rsidRDefault="00DE39EA" w:rsidP="006740AB">
      <w:pPr>
        <w:spacing w:line="360" w:lineRule="auto"/>
        <w:ind w:firstLineChars="200" w:firstLine="420"/>
        <w:rPr>
          <w:rFonts w:ascii="宋体" w:hAnsi="宋体" w:cs="宋体"/>
          <w:color w:val="000000"/>
          <w:kern w:val="0"/>
        </w:rPr>
      </w:pPr>
      <w:r w:rsidRPr="001D3407">
        <w:rPr>
          <w:rFonts w:ascii="宋体" w:hAnsi="宋体" w:cs="宋体" w:hint="eastAsia"/>
          <w:color w:val="000000"/>
          <w:kern w:val="0"/>
        </w:rPr>
        <w:t>届时</w:t>
      </w:r>
      <w:r w:rsidR="003A2A97" w:rsidRPr="001D3407">
        <w:rPr>
          <w:rFonts w:ascii="宋体" w:hAnsi="宋体" w:cs="宋体" w:hint="eastAsia"/>
          <w:color w:val="000000"/>
          <w:kern w:val="0"/>
        </w:rPr>
        <w:t>投资者可通过</w:t>
      </w:r>
      <w:r w:rsidRPr="001D3407">
        <w:rPr>
          <w:rFonts w:ascii="宋体" w:hAnsi="宋体" w:cs="宋体" w:hint="eastAsia"/>
          <w:color w:val="000000"/>
          <w:kern w:val="0"/>
        </w:rPr>
        <w:t>上述</w:t>
      </w:r>
      <w:r w:rsidR="002D1017" w:rsidRPr="001D3407">
        <w:rPr>
          <w:rFonts w:ascii="宋体" w:hAnsi="宋体" w:cs="宋体" w:hint="eastAsia"/>
          <w:color w:val="000000"/>
          <w:kern w:val="0"/>
        </w:rPr>
        <w:t>一级交易商或按上述</w:t>
      </w:r>
      <w:r w:rsidR="002D1017" w:rsidRPr="001D3407">
        <w:rPr>
          <w:rFonts w:hint="eastAsia"/>
        </w:rPr>
        <w:t>一级交易商提供的其他方式办理</w:t>
      </w:r>
      <w:r w:rsidR="00CF2702">
        <w:rPr>
          <w:rFonts w:hint="eastAsia"/>
        </w:rPr>
        <w:t>上述</w:t>
      </w:r>
      <w:r w:rsidR="002D1017" w:rsidRPr="001D3407">
        <w:rPr>
          <w:rFonts w:hint="eastAsia"/>
        </w:rPr>
        <w:t>基金的申购和赎回</w:t>
      </w:r>
      <w:r w:rsidR="00CF0900" w:rsidRPr="001D3407">
        <w:rPr>
          <w:rFonts w:hint="eastAsia"/>
        </w:rPr>
        <w:t>业务</w:t>
      </w:r>
      <w:r w:rsidR="002D1017" w:rsidRPr="001D3407">
        <w:rPr>
          <w:rFonts w:hint="eastAsia"/>
        </w:rPr>
        <w:t>。</w:t>
      </w:r>
      <w:r w:rsidR="003A2A97" w:rsidRPr="001D3407">
        <w:rPr>
          <w:rFonts w:ascii="宋体" w:hAnsi="宋体" w:cs="宋体" w:hint="eastAsia"/>
          <w:color w:val="000000"/>
          <w:kern w:val="0"/>
        </w:rPr>
        <w:t>具体业务办理程序以</w:t>
      </w:r>
      <w:r w:rsidRPr="001D3407">
        <w:rPr>
          <w:rFonts w:hint="eastAsia"/>
        </w:rPr>
        <w:t>上述机构的</w:t>
      </w:r>
      <w:r w:rsidR="003A2A97" w:rsidRPr="001D3407">
        <w:rPr>
          <w:rFonts w:ascii="宋体" w:hAnsi="宋体" w:cs="宋体" w:hint="eastAsia"/>
          <w:color w:val="000000"/>
          <w:kern w:val="0"/>
        </w:rPr>
        <w:t>相关业务规定为准</w:t>
      </w:r>
      <w:r w:rsidRPr="001D3407">
        <w:rPr>
          <w:rFonts w:ascii="宋体" w:hAnsi="宋体" w:cs="宋体" w:hint="eastAsia"/>
          <w:color w:val="000000"/>
          <w:kern w:val="0"/>
        </w:rPr>
        <w:t>，敬请投资者留意上述机构的相关公告</w:t>
      </w:r>
      <w:r w:rsidR="003A2A97" w:rsidRPr="001D3407">
        <w:rPr>
          <w:rFonts w:ascii="宋体" w:hAnsi="宋体" w:cs="宋体" w:hint="eastAsia"/>
          <w:color w:val="000000"/>
          <w:kern w:val="0"/>
        </w:rPr>
        <w:t>。</w:t>
      </w:r>
    </w:p>
    <w:p w:rsidR="00C44A42" w:rsidRPr="001D3407" w:rsidRDefault="00C44A42" w:rsidP="003B2BD2">
      <w:pPr>
        <w:pStyle w:val="HTML"/>
        <w:spacing w:line="360" w:lineRule="auto"/>
        <w:ind w:firstLineChars="200" w:firstLine="420"/>
        <w:jc w:val="both"/>
        <w:rPr>
          <w:sz w:val="21"/>
        </w:rPr>
      </w:pPr>
      <w:r w:rsidRPr="001D3407">
        <w:rPr>
          <w:rFonts w:hint="eastAsia"/>
          <w:sz w:val="21"/>
        </w:rPr>
        <w:t>投资者可通过以下途径咨询有关详情：</w:t>
      </w:r>
    </w:p>
    <w:p w:rsidR="00217367" w:rsidRPr="00427D4D" w:rsidRDefault="00217367" w:rsidP="00217367">
      <w:pPr>
        <w:pStyle w:val="HTML"/>
        <w:spacing w:line="360" w:lineRule="auto"/>
        <w:ind w:firstLineChars="200" w:firstLine="420"/>
        <w:jc w:val="both"/>
        <w:rPr>
          <w:sz w:val="21"/>
          <w:szCs w:val="21"/>
        </w:rPr>
      </w:pPr>
      <w:r>
        <w:rPr>
          <w:rFonts w:hint="eastAsia"/>
          <w:sz w:val="21"/>
          <w:szCs w:val="21"/>
        </w:rPr>
        <w:t>1、</w:t>
      </w:r>
      <w:r w:rsidR="008510CE">
        <w:rPr>
          <w:rFonts w:hint="eastAsia"/>
          <w:sz w:val="21"/>
          <w:szCs w:val="21"/>
        </w:rPr>
        <w:t>国金</w:t>
      </w:r>
      <w:r w:rsidRPr="00427D4D">
        <w:rPr>
          <w:rFonts w:hint="eastAsia"/>
          <w:sz w:val="21"/>
          <w:szCs w:val="21"/>
        </w:rPr>
        <w:t>证券</w:t>
      </w:r>
      <w:r w:rsidR="008643BF">
        <w:rPr>
          <w:rFonts w:hint="eastAsia"/>
          <w:sz w:val="21"/>
          <w:szCs w:val="21"/>
        </w:rPr>
        <w:t>股份</w:t>
      </w:r>
      <w:r w:rsidRPr="00427D4D">
        <w:rPr>
          <w:rFonts w:hint="eastAsia"/>
          <w:sz w:val="21"/>
          <w:szCs w:val="21"/>
        </w:rPr>
        <w:t>有限公司</w:t>
      </w:r>
    </w:p>
    <w:p w:rsidR="00217367" w:rsidRDefault="00217367" w:rsidP="00217367">
      <w:pPr>
        <w:pStyle w:val="HTML"/>
        <w:tabs>
          <w:tab w:val="clear" w:pos="2748"/>
        </w:tabs>
        <w:spacing w:line="360" w:lineRule="auto"/>
        <w:ind w:firstLineChars="350" w:firstLine="735"/>
        <w:jc w:val="both"/>
        <w:rPr>
          <w:sz w:val="21"/>
          <w:szCs w:val="21"/>
        </w:rPr>
      </w:pPr>
      <w:r>
        <w:rPr>
          <w:rFonts w:hint="eastAsia"/>
          <w:sz w:val="21"/>
          <w:szCs w:val="21"/>
        </w:rPr>
        <w:t>客户服务热线：</w:t>
      </w:r>
      <w:r w:rsidR="008510CE" w:rsidRPr="008510CE">
        <w:rPr>
          <w:sz w:val="21"/>
          <w:szCs w:val="21"/>
        </w:rPr>
        <w:t>95310</w:t>
      </w:r>
    </w:p>
    <w:p w:rsidR="00217367" w:rsidRDefault="00217367" w:rsidP="00217367">
      <w:pPr>
        <w:pStyle w:val="HTML"/>
        <w:tabs>
          <w:tab w:val="clear" w:pos="3664"/>
        </w:tabs>
        <w:spacing w:line="360" w:lineRule="auto"/>
        <w:ind w:firstLineChars="350" w:firstLine="735"/>
        <w:jc w:val="both"/>
        <w:rPr>
          <w:sz w:val="21"/>
          <w:szCs w:val="21"/>
        </w:rPr>
      </w:pPr>
      <w:r>
        <w:rPr>
          <w:rFonts w:hint="eastAsia"/>
          <w:sz w:val="21"/>
          <w:szCs w:val="21"/>
        </w:rPr>
        <w:t>网址：</w:t>
      </w:r>
      <w:r w:rsidR="008510CE" w:rsidRPr="008510CE">
        <w:rPr>
          <w:sz w:val="21"/>
          <w:szCs w:val="21"/>
        </w:rPr>
        <w:t>www.gjzq.com.cn</w:t>
      </w:r>
    </w:p>
    <w:p w:rsidR="00217367" w:rsidRPr="006E1C17" w:rsidRDefault="008643BF" w:rsidP="00217367">
      <w:pPr>
        <w:pStyle w:val="HTML"/>
        <w:spacing w:line="360" w:lineRule="auto"/>
        <w:ind w:firstLineChars="200" w:firstLine="420"/>
        <w:jc w:val="both"/>
        <w:rPr>
          <w:rFonts w:asciiTheme="minorEastAsia" w:eastAsiaTheme="minorEastAsia" w:hAnsiTheme="minorEastAsia"/>
          <w:sz w:val="21"/>
          <w:szCs w:val="21"/>
        </w:rPr>
      </w:pPr>
      <w:r>
        <w:rPr>
          <w:sz w:val="21"/>
          <w:szCs w:val="21"/>
        </w:rPr>
        <w:t>2</w:t>
      </w:r>
      <w:r w:rsidR="00217367" w:rsidRPr="006E1C17">
        <w:rPr>
          <w:rFonts w:asciiTheme="minorEastAsia" w:eastAsiaTheme="minorEastAsia" w:hAnsiTheme="minorEastAsia"/>
          <w:sz w:val="21"/>
          <w:szCs w:val="21"/>
        </w:rPr>
        <w:t>、</w:t>
      </w:r>
      <w:r w:rsidR="00217367" w:rsidRPr="006E1C17">
        <w:rPr>
          <w:rFonts w:asciiTheme="minorEastAsia" w:eastAsiaTheme="minorEastAsia" w:hAnsiTheme="minorEastAsia" w:hint="eastAsia"/>
          <w:sz w:val="21"/>
          <w:szCs w:val="21"/>
        </w:rPr>
        <w:t>浦银安盛基金管理有限公司</w:t>
      </w:r>
    </w:p>
    <w:p w:rsidR="00217367" w:rsidRPr="006E1C17" w:rsidRDefault="00217367" w:rsidP="00217367">
      <w:pPr>
        <w:pStyle w:val="HTML"/>
        <w:spacing w:line="360" w:lineRule="auto"/>
        <w:ind w:firstLineChars="350" w:firstLine="735"/>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客服专线：</w:t>
      </w:r>
      <w:r w:rsidRPr="006E1C17">
        <w:rPr>
          <w:rFonts w:asciiTheme="minorEastAsia" w:eastAsiaTheme="minorEastAsia" w:hAnsiTheme="minorEastAsia"/>
          <w:sz w:val="21"/>
          <w:szCs w:val="21"/>
        </w:rPr>
        <w:t>021-33079999</w:t>
      </w:r>
      <w:r>
        <w:rPr>
          <w:rFonts w:asciiTheme="minorEastAsia" w:eastAsiaTheme="minorEastAsia" w:hAnsiTheme="minorEastAsia"/>
          <w:sz w:val="21"/>
          <w:szCs w:val="21"/>
        </w:rPr>
        <w:t>或</w:t>
      </w:r>
      <w:r w:rsidRPr="006E1C17">
        <w:rPr>
          <w:rFonts w:asciiTheme="minorEastAsia" w:eastAsiaTheme="minorEastAsia" w:hAnsiTheme="minorEastAsia"/>
          <w:sz w:val="21"/>
          <w:szCs w:val="21"/>
        </w:rPr>
        <w:t xml:space="preserve">4008828999 </w:t>
      </w:r>
    </w:p>
    <w:p w:rsidR="00217367" w:rsidRPr="006E1C17" w:rsidRDefault="00217367" w:rsidP="00217367">
      <w:pPr>
        <w:pStyle w:val="HTML"/>
        <w:spacing w:line="360" w:lineRule="auto"/>
        <w:ind w:firstLineChars="350" w:firstLine="735"/>
        <w:jc w:val="both"/>
        <w:rPr>
          <w:rFonts w:asciiTheme="minorEastAsia" w:eastAsiaTheme="minorEastAsia" w:hAnsiTheme="minorEastAsia"/>
          <w:color w:val="auto"/>
          <w:sz w:val="21"/>
          <w:szCs w:val="21"/>
        </w:rPr>
      </w:pPr>
      <w:r w:rsidRPr="006E1C17">
        <w:rPr>
          <w:rFonts w:asciiTheme="minorEastAsia" w:eastAsiaTheme="minorEastAsia" w:hAnsiTheme="minorEastAsia" w:hint="eastAsia"/>
          <w:sz w:val="21"/>
          <w:szCs w:val="21"/>
        </w:rPr>
        <w:t>网址：</w:t>
      </w:r>
      <w:hyperlink r:id="rId8" w:history="1">
        <w:r w:rsidRPr="00E772AE">
          <w:rPr>
            <w:rStyle w:val="aa"/>
            <w:rFonts w:asciiTheme="minorEastAsia" w:eastAsiaTheme="minorEastAsia" w:hAnsiTheme="minorEastAsia"/>
            <w:color w:val="auto"/>
            <w:sz w:val="21"/>
            <w:szCs w:val="21"/>
            <w:u w:val="none"/>
          </w:rPr>
          <w:t>www.py-axa.com</w:t>
        </w:r>
      </w:hyperlink>
    </w:p>
    <w:p w:rsidR="00DE4625" w:rsidRPr="001D3407" w:rsidRDefault="00DF5C9F" w:rsidP="003B2BD2">
      <w:pPr>
        <w:pStyle w:val="HTML"/>
        <w:spacing w:line="360" w:lineRule="auto"/>
        <w:ind w:firstLineChars="200" w:firstLine="422"/>
        <w:jc w:val="both"/>
        <w:rPr>
          <w:b/>
          <w:sz w:val="21"/>
        </w:rPr>
      </w:pPr>
      <w:r w:rsidRPr="001D3407">
        <w:rPr>
          <w:rFonts w:hint="eastAsia"/>
          <w:b/>
          <w:sz w:val="21"/>
        </w:rPr>
        <w:t>风险提示：</w:t>
      </w:r>
    </w:p>
    <w:p w:rsidR="00A20799" w:rsidRPr="001D3407" w:rsidRDefault="00C44A42" w:rsidP="002D1017">
      <w:pPr>
        <w:pStyle w:val="HTML"/>
        <w:spacing w:line="360" w:lineRule="auto"/>
        <w:ind w:firstLineChars="200" w:firstLine="420"/>
        <w:jc w:val="both"/>
        <w:rPr>
          <w:sz w:val="21"/>
        </w:rPr>
      </w:pPr>
      <w:r w:rsidRPr="001D3407">
        <w:rPr>
          <w:rFonts w:hint="eastAsia"/>
          <w:sz w:val="21"/>
        </w:rPr>
        <w:t>本公司承诺以诚实信用、勤勉尽责的原则管理和运用基金资产，但不保证基金一定盈利，也不保证最低收益。</w:t>
      </w:r>
      <w:r w:rsidR="00023B9F" w:rsidRPr="001D3407">
        <w:rPr>
          <w:rFonts w:hint="eastAsia"/>
          <w:sz w:val="21"/>
        </w:rPr>
        <w:t>投资者</w:t>
      </w:r>
      <w:r w:rsidR="00A20799" w:rsidRPr="001D3407">
        <w:rPr>
          <w:rFonts w:hint="eastAsia"/>
          <w:sz w:val="21"/>
        </w:rPr>
        <w:t>投资</w:t>
      </w:r>
      <w:r w:rsidR="0048788E" w:rsidRPr="001D3407">
        <w:rPr>
          <w:rFonts w:hint="eastAsia"/>
          <w:sz w:val="21"/>
        </w:rPr>
        <w:t>上述基金</w:t>
      </w:r>
      <w:r w:rsidR="00A20799" w:rsidRPr="001D3407">
        <w:rPr>
          <w:rFonts w:hint="eastAsia"/>
          <w:sz w:val="21"/>
        </w:rPr>
        <w:t>前</w:t>
      </w:r>
      <w:r w:rsidR="0048788E" w:rsidRPr="001D3407">
        <w:rPr>
          <w:rFonts w:hint="eastAsia"/>
          <w:sz w:val="21"/>
        </w:rPr>
        <w:t>应</w:t>
      </w:r>
      <w:r w:rsidR="00A20799" w:rsidRPr="001D3407">
        <w:rPr>
          <w:rFonts w:hint="eastAsia"/>
          <w:sz w:val="21"/>
        </w:rPr>
        <w:t>认真阅读基金的基金合同和招募说明书</w:t>
      </w:r>
      <w:r w:rsidR="00AE5544">
        <w:rPr>
          <w:rFonts w:hint="eastAsia"/>
          <w:sz w:val="21"/>
        </w:rPr>
        <w:t>（更新）</w:t>
      </w:r>
      <w:r w:rsidR="00A20799" w:rsidRPr="001D3407">
        <w:rPr>
          <w:rFonts w:hint="eastAsia"/>
          <w:sz w:val="21"/>
        </w:rPr>
        <w:t>等法律文件，提请投资者注意投资风险</w:t>
      </w:r>
      <w:r w:rsidR="00BA076D" w:rsidRPr="001D3407">
        <w:rPr>
          <w:rFonts w:hint="eastAsia"/>
          <w:sz w:val="21"/>
        </w:rPr>
        <w:t>，选择适合自身风险承受能力的投资品种进行投资</w:t>
      </w:r>
      <w:r w:rsidR="00A20799" w:rsidRPr="001D3407">
        <w:rPr>
          <w:rFonts w:hint="eastAsia"/>
          <w:sz w:val="21"/>
        </w:rPr>
        <w:t>。</w:t>
      </w:r>
    </w:p>
    <w:p w:rsidR="00C44A42" w:rsidRDefault="00C44A42" w:rsidP="003B2BD2">
      <w:pPr>
        <w:pStyle w:val="HTML"/>
        <w:spacing w:line="360" w:lineRule="auto"/>
        <w:ind w:firstLineChars="200" w:firstLine="420"/>
        <w:jc w:val="both"/>
        <w:rPr>
          <w:sz w:val="21"/>
        </w:rPr>
      </w:pPr>
      <w:r w:rsidRPr="001D3407">
        <w:rPr>
          <w:rFonts w:hint="eastAsia"/>
          <w:sz w:val="21"/>
        </w:rPr>
        <w:t>特此公告。</w:t>
      </w:r>
    </w:p>
    <w:p w:rsidR="00CF2702" w:rsidRPr="001D3407" w:rsidRDefault="00CF2702" w:rsidP="003B2BD2">
      <w:pPr>
        <w:pStyle w:val="HTML"/>
        <w:spacing w:line="360" w:lineRule="auto"/>
        <w:ind w:firstLineChars="200" w:firstLine="420"/>
        <w:jc w:val="both"/>
        <w:rPr>
          <w:sz w:val="21"/>
        </w:rPr>
      </w:pPr>
    </w:p>
    <w:p w:rsidR="002D1017" w:rsidRPr="001D3407" w:rsidRDefault="00C44A42" w:rsidP="003B2BD2">
      <w:pPr>
        <w:pStyle w:val="HTML"/>
        <w:spacing w:line="360" w:lineRule="auto"/>
        <w:ind w:firstLineChars="200" w:firstLine="480"/>
        <w:jc w:val="right"/>
      </w:pPr>
      <w:r w:rsidRPr="001D3407">
        <w:rPr>
          <w:rFonts w:hint="eastAsia"/>
        </w:rPr>
        <w:lastRenderedPageBreak/>
        <w:t xml:space="preserve">    　　</w:t>
      </w:r>
    </w:p>
    <w:p w:rsidR="00C44A42" w:rsidRPr="001D3407" w:rsidRDefault="00AD7A5C" w:rsidP="006740AB">
      <w:pPr>
        <w:pStyle w:val="HTML"/>
        <w:spacing w:line="360" w:lineRule="auto"/>
        <w:ind w:firstLineChars="200" w:firstLine="440"/>
        <w:jc w:val="right"/>
        <w:rPr>
          <w:sz w:val="22"/>
        </w:rPr>
      </w:pPr>
      <w:r w:rsidRPr="001D3407">
        <w:rPr>
          <w:rFonts w:hint="eastAsia"/>
          <w:sz w:val="22"/>
        </w:rPr>
        <w:t>浦银安盛</w:t>
      </w:r>
      <w:r w:rsidR="00C44A42" w:rsidRPr="001D3407">
        <w:rPr>
          <w:rFonts w:hint="eastAsia"/>
          <w:sz w:val="22"/>
        </w:rPr>
        <w:t>基金管理有限公司</w:t>
      </w:r>
    </w:p>
    <w:p w:rsidR="00C8368A" w:rsidRPr="006740AB" w:rsidRDefault="00305E6C" w:rsidP="006740AB">
      <w:pPr>
        <w:pStyle w:val="HTML"/>
        <w:spacing w:line="360" w:lineRule="auto"/>
        <w:ind w:firstLineChars="200" w:firstLine="440"/>
        <w:jc w:val="right"/>
        <w:rPr>
          <w:sz w:val="22"/>
        </w:rPr>
      </w:pPr>
      <w:r w:rsidRPr="001D3407">
        <w:rPr>
          <w:rFonts w:hint="eastAsia"/>
          <w:sz w:val="22"/>
        </w:rPr>
        <w:t xml:space="preserve">    　　</w:t>
      </w:r>
      <w:r w:rsidRPr="001D3407">
        <w:rPr>
          <w:sz w:val="22"/>
        </w:rPr>
        <w:t xml:space="preserve">  </w:t>
      </w:r>
      <w:r w:rsidR="00C00D6E" w:rsidRPr="001D3407">
        <w:rPr>
          <w:sz w:val="22"/>
        </w:rPr>
        <w:t>202</w:t>
      </w:r>
      <w:r w:rsidR="00441924">
        <w:rPr>
          <w:sz w:val="22"/>
        </w:rPr>
        <w:t>4</w:t>
      </w:r>
      <w:r w:rsidR="00F569C7" w:rsidRPr="001D3407">
        <w:rPr>
          <w:rFonts w:hint="eastAsia"/>
          <w:sz w:val="22"/>
        </w:rPr>
        <w:t>年</w:t>
      </w:r>
      <w:r w:rsidR="00441924">
        <w:rPr>
          <w:sz w:val="22"/>
        </w:rPr>
        <w:t>7</w:t>
      </w:r>
      <w:r w:rsidR="00062806" w:rsidRPr="001D3407">
        <w:rPr>
          <w:rFonts w:hint="eastAsia"/>
          <w:sz w:val="22"/>
        </w:rPr>
        <w:t>月</w:t>
      </w:r>
      <w:r w:rsidR="001571F4">
        <w:rPr>
          <w:sz w:val="22"/>
        </w:rPr>
        <w:t>23</w:t>
      </w:r>
      <w:r w:rsidR="00C44A42" w:rsidRPr="001D3407">
        <w:rPr>
          <w:rFonts w:hint="eastAsia"/>
          <w:sz w:val="22"/>
        </w:rPr>
        <w:t>日</w:t>
      </w:r>
      <w:r w:rsidR="00C44A42" w:rsidRPr="006740AB">
        <w:rPr>
          <w:sz w:val="22"/>
        </w:rPr>
        <w:t xml:space="preserve">  </w:t>
      </w:r>
    </w:p>
    <w:sectPr w:rsidR="00C8368A" w:rsidRPr="006740AB" w:rsidSect="00DB422A">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D02" w:rsidRDefault="00350D02">
      <w:r>
        <w:separator/>
      </w:r>
    </w:p>
  </w:endnote>
  <w:endnote w:type="continuationSeparator" w:id="0">
    <w:p w:rsidR="00350D02" w:rsidRDefault="00350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8F" w:rsidRDefault="00A30FB5" w:rsidP="00A72DD9">
    <w:pPr>
      <w:pStyle w:val="a3"/>
      <w:framePr w:wrap="around" w:vAnchor="text" w:hAnchor="margin" w:xAlign="center" w:y="1"/>
      <w:rPr>
        <w:rStyle w:val="a4"/>
      </w:rPr>
    </w:pPr>
    <w:r>
      <w:rPr>
        <w:rStyle w:val="a4"/>
      </w:rPr>
      <w:fldChar w:fldCharType="begin"/>
    </w:r>
    <w:r w:rsidR="002C348F">
      <w:rPr>
        <w:rStyle w:val="a4"/>
      </w:rPr>
      <w:instrText xml:space="preserve">PAGE  </w:instrText>
    </w:r>
    <w:r>
      <w:rPr>
        <w:rStyle w:val="a4"/>
      </w:rPr>
      <w:fldChar w:fldCharType="end"/>
    </w:r>
  </w:p>
  <w:p w:rsidR="002C348F" w:rsidRDefault="002C348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8F" w:rsidRDefault="00A30FB5" w:rsidP="00A72DD9">
    <w:pPr>
      <w:pStyle w:val="a3"/>
      <w:framePr w:wrap="around" w:vAnchor="text" w:hAnchor="margin" w:xAlign="center" w:y="1"/>
      <w:rPr>
        <w:rStyle w:val="a4"/>
      </w:rPr>
    </w:pPr>
    <w:r>
      <w:rPr>
        <w:rStyle w:val="a4"/>
      </w:rPr>
      <w:fldChar w:fldCharType="begin"/>
    </w:r>
    <w:r w:rsidR="002C348F">
      <w:rPr>
        <w:rStyle w:val="a4"/>
      </w:rPr>
      <w:instrText xml:space="preserve">PAGE  </w:instrText>
    </w:r>
    <w:r>
      <w:rPr>
        <w:rStyle w:val="a4"/>
      </w:rPr>
      <w:fldChar w:fldCharType="separate"/>
    </w:r>
    <w:r w:rsidR="00FB31F6">
      <w:rPr>
        <w:rStyle w:val="a4"/>
        <w:noProof/>
      </w:rPr>
      <w:t>1</w:t>
    </w:r>
    <w:r>
      <w:rPr>
        <w:rStyle w:val="a4"/>
      </w:rPr>
      <w:fldChar w:fldCharType="end"/>
    </w:r>
  </w:p>
  <w:p w:rsidR="002C348F" w:rsidRDefault="002C34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D02" w:rsidRDefault="00350D02">
      <w:r>
        <w:separator/>
      </w:r>
    </w:p>
  </w:footnote>
  <w:footnote w:type="continuationSeparator" w:id="0">
    <w:p w:rsidR="00350D02" w:rsidRDefault="00350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6028"/>
    <w:multiLevelType w:val="hybridMultilevel"/>
    <w:tmpl w:val="56A46538"/>
    <w:lvl w:ilvl="0" w:tplc="28CEC8A8">
      <w:start w:val="1"/>
      <w:numFmt w:val="decimal"/>
      <w:lvlText w:val="%1、"/>
      <w:lvlJc w:val="left"/>
      <w:pPr>
        <w:tabs>
          <w:tab w:val="num" w:pos="1781"/>
        </w:tabs>
        <w:ind w:left="460" w:firstLine="68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5F33BEE"/>
    <w:multiLevelType w:val="hybridMultilevel"/>
    <w:tmpl w:val="45845EBC"/>
    <w:lvl w:ilvl="0" w:tplc="4D3A0C4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410192"/>
    <w:multiLevelType w:val="hybridMultilevel"/>
    <w:tmpl w:val="BA0A9322"/>
    <w:lvl w:ilvl="0" w:tplc="07EA1764">
      <w:start w:val="1"/>
      <w:numFmt w:val="japaneseCounting"/>
      <w:lvlText w:val="（%1）"/>
      <w:lvlJc w:val="left"/>
      <w:pPr>
        <w:tabs>
          <w:tab w:val="num" w:pos="1575"/>
        </w:tabs>
        <w:ind w:left="1575" w:hanging="115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37918E9"/>
    <w:multiLevelType w:val="hybridMultilevel"/>
    <w:tmpl w:val="D49A910A"/>
    <w:lvl w:ilvl="0" w:tplc="7F349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A42"/>
    <w:rsid w:val="000065F5"/>
    <w:rsid w:val="00011D6B"/>
    <w:rsid w:val="00023B9F"/>
    <w:rsid w:val="00026CD9"/>
    <w:rsid w:val="00031156"/>
    <w:rsid w:val="000363F1"/>
    <w:rsid w:val="00036FF1"/>
    <w:rsid w:val="000450B7"/>
    <w:rsid w:val="0005652B"/>
    <w:rsid w:val="00062806"/>
    <w:rsid w:val="00084791"/>
    <w:rsid w:val="000850FE"/>
    <w:rsid w:val="000858EA"/>
    <w:rsid w:val="00090907"/>
    <w:rsid w:val="00094737"/>
    <w:rsid w:val="00096968"/>
    <w:rsid w:val="00096A6D"/>
    <w:rsid w:val="000A153F"/>
    <w:rsid w:val="000A1FB3"/>
    <w:rsid w:val="000B019E"/>
    <w:rsid w:val="000B27B1"/>
    <w:rsid w:val="000C18C3"/>
    <w:rsid w:val="000C37A2"/>
    <w:rsid w:val="000C54A2"/>
    <w:rsid w:val="000D4B73"/>
    <w:rsid w:val="000E5499"/>
    <w:rsid w:val="000E6E2C"/>
    <w:rsid w:val="000F4621"/>
    <w:rsid w:val="000F56E4"/>
    <w:rsid w:val="001009E7"/>
    <w:rsid w:val="00107470"/>
    <w:rsid w:val="00115337"/>
    <w:rsid w:val="0012515E"/>
    <w:rsid w:val="00152964"/>
    <w:rsid w:val="001571F4"/>
    <w:rsid w:val="001616F7"/>
    <w:rsid w:val="001622F6"/>
    <w:rsid w:val="00162924"/>
    <w:rsid w:val="001677AD"/>
    <w:rsid w:val="001742DE"/>
    <w:rsid w:val="00186E87"/>
    <w:rsid w:val="001A13C3"/>
    <w:rsid w:val="001A666F"/>
    <w:rsid w:val="001B39E4"/>
    <w:rsid w:val="001C1C07"/>
    <w:rsid w:val="001D3407"/>
    <w:rsid w:val="001D51D5"/>
    <w:rsid w:val="001E468D"/>
    <w:rsid w:val="001F5B8F"/>
    <w:rsid w:val="001F6182"/>
    <w:rsid w:val="00217367"/>
    <w:rsid w:val="002254EF"/>
    <w:rsid w:val="00226812"/>
    <w:rsid w:val="00231CCD"/>
    <w:rsid w:val="0024442A"/>
    <w:rsid w:val="00244D4C"/>
    <w:rsid w:val="002654F1"/>
    <w:rsid w:val="002806E6"/>
    <w:rsid w:val="0029605C"/>
    <w:rsid w:val="002B29A9"/>
    <w:rsid w:val="002B29DB"/>
    <w:rsid w:val="002B3DEF"/>
    <w:rsid w:val="002B411A"/>
    <w:rsid w:val="002C0C10"/>
    <w:rsid w:val="002C126E"/>
    <w:rsid w:val="002C30E6"/>
    <w:rsid w:val="002C348F"/>
    <w:rsid w:val="002C55C2"/>
    <w:rsid w:val="002D1017"/>
    <w:rsid w:val="002E6722"/>
    <w:rsid w:val="002F07F6"/>
    <w:rsid w:val="002F1495"/>
    <w:rsid w:val="002F2D9D"/>
    <w:rsid w:val="00301D6D"/>
    <w:rsid w:val="00302801"/>
    <w:rsid w:val="00304D56"/>
    <w:rsid w:val="00305E6C"/>
    <w:rsid w:val="00310414"/>
    <w:rsid w:val="00314AE2"/>
    <w:rsid w:val="0032440C"/>
    <w:rsid w:val="003261C0"/>
    <w:rsid w:val="003262DF"/>
    <w:rsid w:val="00326C76"/>
    <w:rsid w:val="00331D0D"/>
    <w:rsid w:val="00340D03"/>
    <w:rsid w:val="00340EA4"/>
    <w:rsid w:val="00350D02"/>
    <w:rsid w:val="0035149D"/>
    <w:rsid w:val="00361A37"/>
    <w:rsid w:val="00365D1F"/>
    <w:rsid w:val="00365D61"/>
    <w:rsid w:val="00370608"/>
    <w:rsid w:val="00383D1A"/>
    <w:rsid w:val="00392F42"/>
    <w:rsid w:val="003A06A1"/>
    <w:rsid w:val="003A2A97"/>
    <w:rsid w:val="003A438D"/>
    <w:rsid w:val="003B2BD2"/>
    <w:rsid w:val="003C0715"/>
    <w:rsid w:val="003C106E"/>
    <w:rsid w:val="003C18EB"/>
    <w:rsid w:val="003C2BC6"/>
    <w:rsid w:val="003D47D8"/>
    <w:rsid w:val="003E1882"/>
    <w:rsid w:val="003E3036"/>
    <w:rsid w:val="003F3A48"/>
    <w:rsid w:val="003F6115"/>
    <w:rsid w:val="003F78E2"/>
    <w:rsid w:val="003F7A06"/>
    <w:rsid w:val="004033BA"/>
    <w:rsid w:val="004062F8"/>
    <w:rsid w:val="00407728"/>
    <w:rsid w:val="004101C6"/>
    <w:rsid w:val="00412B61"/>
    <w:rsid w:val="004223BA"/>
    <w:rsid w:val="0042472C"/>
    <w:rsid w:val="004255BA"/>
    <w:rsid w:val="00432685"/>
    <w:rsid w:val="004410B0"/>
    <w:rsid w:val="00441924"/>
    <w:rsid w:val="004437B3"/>
    <w:rsid w:val="0044385F"/>
    <w:rsid w:val="004438EE"/>
    <w:rsid w:val="004564AD"/>
    <w:rsid w:val="00463E0E"/>
    <w:rsid w:val="00473C64"/>
    <w:rsid w:val="00482A27"/>
    <w:rsid w:val="004836F8"/>
    <w:rsid w:val="00483789"/>
    <w:rsid w:val="0048788E"/>
    <w:rsid w:val="00496777"/>
    <w:rsid w:val="004A1BAE"/>
    <w:rsid w:val="004A41F0"/>
    <w:rsid w:val="004B2E13"/>
    <w:rsid w:val="004B7D64"/>
    <w:rsid w:val="004C5E27"/>
    <w:rsid w:val="004E0BF7"/>
    <w:rsid w:val="00507083"/>
    <w:rsid w:val="00523FAD"/>
    <w:rsid w:val="005262B7"/>
    <w:rsid w:val="00544139"/>
    <w:rsid w:val="00544901"/>
    <w:rsid w:val="00563211"/>
    <w:rsid w:val="0056651A"/>
    <w:rsid w:val="00576193"/>
    <w:rsid w:val="00593E6C"/>
    <w:rsid w:val="005A0622"/>
    <w:rsid w:val="005A480F"/>
    <w:rsid w:val="005A56FF"/>
    <w:rsid w:val="005B0287"/>
    <w:rsid w:val="005B18A9"/>
    <w:rsid w:val="005B24CA"/>
    <w:rsid w:val="005B5918"/>
    <w:rsid w:val="005C2E83"/>
    <w:rsid w:val="005C7781"/>
    <w:rsid w:val="005D74A4"/>
    <w:rsid w:val="005D7D96"/>
    <w:rsid w:val="00610C16"/>
    <w:rsid w:val="00610F51"/>
    <w:rsid w:val="006211E3"/>
    <w:rsid w:val="0063147A"/>
    <w:rsid w:val="00637359"/>
    <w:rsid w:val="00644744"/>
    <w:rsid w:val="006527C0"/>
    <w:rsid w:val="0066218C"/>
    <w:rsid w:val="00665330"/>
    <w:rsid w:val="006740AB"/>
    <w:rsid w:val="0067514F"/>
    <w:rsid w:val="00684824"/>
    <w:rsid w:val="006A39ED"/>
    <w:rsid w:val="006C140A"/>
    <w:rsid w:val="006D2069"/>
    <w:rsid w:val="006D2B1D"/>
    <w:rsid w:val="006D33BC"/>
    <w:rsid w:val="006E7DB6"/>
    <w:rsid w:val="006E7E6E"/>
    <w:rsid w:val="00705A29"/>
    <w:rsid w:val="00716AD5"/>
    <w:rsid w:val="00727287"/>
    <w:rsid w:val="0073028C"/>
    <w:rsid w:val="007314E3"/>
    <w:rsid w:val="007419BA"/>
    <w:rsid w:val="00742BC9"/>
    <w:rsid w:val="007448B9"/>
    <w:rsid w:val="0075116D"/>
    <w:rsid w:val="00757344"/>
    <w:rsid w:val="00757BAA"/>
    <w:rsid w:val="00760504"/>
    <w:rsid w:val="00762C12"/>
    <w:rsid w:val="00765D07"/>
    <w:rsid w:val="00773882"/>
    <w:rsid w:val="007814D3"/>
    <w:rsid w:val="00783221"/>
    <w:rsid w:val="00797719"/>
    <w:rsid w:val="007B4DF6"/>
    <w:rsid w:val="007C2EFC"/>
    <w:rsid w:val="007C32A8"/>
    <w:rsid w:val="007C515B"/>
    <w:rsid w:val="007C7AFE"/>
    <w:rsid w:val="007E3BC2"/>
    <w:rsid w:val="007E62CB"/>
    <w:rsid w:val="007E7A8C"/>
    <w:rsid w:val="007F16C4"/>
    <w:rsid w:val="007F2691"/>
    <w:rsid w:val="008033A9"/>
    <w:rsid w:val="00824E3C"/>
    <w:rsid w:val="0082684C"/>
    <w:rsid w:val="008510CE"/>
    <w:rsid w:val="00856E29"/>
    <w:rsid w:val="008637BD"/>
    <w:rsid w:val="008643BF"/>
    <w:rsid w:val="00871CE6"/>
    <w:rsid w:val="00874F93"/>
    <w:rsid w:val="00876427"/>
    <w:rsid w:val="00887E4E"/>
    <w:rsid w:val="00896813"/>
    <w:rsid w:val="0089681A"/>
    <w:rsid w:val="008A111B"/>
    <w:rsid w:val="008C0DE0"/>
    <w:rsid w:val="008C50D3"/>
    <w:rsid w:val="008D4F05"/>
    <w:rsid w:val="008F2B13"/>
    <w:rsid w:val="0092076B"/>
    <w:rsid w:val="00923F84"/>
    <w:rsid w:val="00923FD2"/>
    <w:rsid w:val="00927F86"/>
    <w:rsid w:val="00941343"/>
    <w:rsid w:val="00941787"/>
    <w:rsid w:val="009451A9"/>
    <w:rsid w:val="0095205E"/>
    <w:rsid w:val="00960D3D"/>
    <w:rsid w:val="0096526A"/>
    <w:rsid w:val="0096584A"/>
    <w:rsid w:val="0098194A"/>
    <w:rsid w:val="00984550"/>
    <w:rsid w:val="0098560E"/>
    <w:rsid w:val="00991C46"/>
    <w:rsid w:val="00993C91"/>
    <w:rsid w:val="00996208"/>
    <w:rsid w:val="00996720"/>
    <w:rsid w:val="009A4ABB"/>
    <w:rsid w:val="009A5160"/>
    <w:rsid w:val="009B7361"/>
    <w:rsid w:val="009C06BC"/>
    <w:rsid w:val="009C67D8"/>
    <w:rsid w:val="009D6552"/>
    <w:rsid w:val="009D6E9E"/>
    <w:rsid w:val="009D794A"/>
    <w:rsid w:val="009E0621"/>
    <w:rsid w:val="009F174D"/>
    <w:rsid w:val="00A05D70"/>
    <w:rsid w:val="00A07C81"/>
    <w:rsid w:val="00A12846"/>
    <w:rsid w:val="00A20799"/>
    <w:rsid w:val="00A30FB5"/>
    <w:rsid w:val="00A31DD6"/>
    <w:rsid w:val="00A42B25"/>
    <w:rsid w:val="00A54C08"/>
    <w:rsid w:val="00A62F12"/>
    <w:rsid w:val="00A72DD9"/>
    <w:rsid w:val="00A73114"/>
    <w:rsid w:val="00A73F29"/>
    <w:rsid w:val="00A74A91"/>
    <w:rsid w:val="00A8234A"/>
    <w:rsid w:val="00A8533A"/>
    <w:rsid w:val="00A95B2A"/>
    <w:rsid w:val="00AA107B"/>
    <w:rsid w:val="00AA12EF"/>
    <w:rsid w:val="00AA25BD"/>
    <w:rsid w:val="00AB0212"/>
    <w:rsid w:val="00AC164F"/>
    <w:rsid w:val="00AC1BEC"/>
    <w:rsid w:val="00AC4306"/>
    <w:rsid w:val="00AD7A5C"/>
    <w:rsid w:val="00AE312B"/>
    <w:rsid w:val="00AE5544"/>
    <w:rsid w:val="00AF6FF5"/>
    <w:rsid w:val="00B00CD7"/>
    <w:rsid w:val="00B01CBE"/>
    <w:rsid w:val="00B129C0"/>
    <w:rsid w:val="00B2065D"/>
    <w:rsid w:val="00B22146"/>
    <w:rsid w:val="00B222BD"/>
    <w:rsid w:val="00B25974"/>
    <w:rsid w:val="00B30430"/>
    <w:rsid w:val="00B60BB0"/>
    <w:rsid w:val="00B715B7"/>
    <w:rsid w:val="00B75C22"/>
    <w:rsid w:val="00B84AC1"/>
    <w:rsid w:val="00B857BC"/>
    <w:rsid w:val="00B877D7"/>
    <w:rsid w:val="00B924BC"/>
    <w:rsid w:val="00B9753F"/>
    <w:rsid w:val="00BA076D"/>
    <w:rsid w:val="00BB6BC5"/>
    <w:rsid w:val="00BB7854"/>
    <w:rsid w:val="00BD0B80"/>
    <w:rsid w:val="00BE63CE"/>
    <w:rsid w:val="00BE641D"/>
    <w:rsid w:val="00BF163E"/>
    <w:rsid w:val="00C00D6E"/>
    <w:rsid w:val="00C10330"/>
    <w:rsid w:val="00C20440"/>
    <w:rsid w:val="00C25B05"/>
    <w:rsid w:val="00C26DAD"/>
    <w:rsid w:val="00C410AE"/>
    <w:rsid w:val="00C41522"/>
    <w:rsid w:val="00C43B7A"/>
    <w:rsid w:val="00C44A42"/>
    <w:rsid w:val="00C453B1"/>
    <w:rsid w:val="00C6028F"/>
    <w:rsid w:val="00C81B1C"/>
    <w:rsid w:val="00C8368A"/>
    <w:rsid w:val="00C935F0"/>
    <w:rsid w:val="00C94EF0"/>
    <w:rsid w:val="00C9755A"/>
    <w:rsid w:val="00CA434A"/>
    <w:rsid w:val="00CA4375"/>
    <w:rsid w:val="00CB0815"/>
    <w:rsid w:val="00CB6425"/>
    <w:rsid w:val="00CC3164"/>
    <w:rsid w:val="00CC6E9F"/>
    <w:rsid w:val="00CD5C06"/>
    <w:rsid w:val="00CD7164"/>
    <w:rsid w:val="00CD73B4"/>
    <w:rsid w:val="00CF0900"/>
    <w:rsid w:val="00CF1189"/>
    <w:rsid w:val="00CF2702"/>
    <w:rsid w:val="00CF2E03"/>
    <w:rsid w:val="00CF7B43"/>
    <w:rsid w:val="00D055D0"/>
    <w:rsid w:val="00D057E8"/>
    <w:rsid w:val="00D12197"/>
    <w:rsid w:val="00D124D3"/>
    <w:rsid w:val="00D17462"/>
    <w:rsid w:val="00D20756"/>
    <w:rsid w:val="00D24604"/>
    <w:rsid w:val="00D44733"/>
    <w:rsid w:val="00D62F24"/>
    <w:rsid w:val="00D646D4"/>
    <w:rsid w:val="00D64D8F"/>
    <w:rsid w:val="00D658F2"/>
    <w:rsid w:val="00D66D49"/>
    <w:rsid w:val="00D700BA"/>
    <w:rsid w:val="00D71C95"/>
    <w:rsid w:val="00D84D45"/>
    <w:rsid w:val="00DB2EDF"/>
    <w:rsid w:val="00DB39EC"/>
    <w:rsid w:val="00DB422A"/>
    <w:rsid w:val="00DC4406"/>
    <w:rsid w:val="00DC441D"/>
    <w:rsid w:val="00DC5024"/>
    <w:rsid w:val="00DC6D02"/>
    <w:rsid w:val="00DE39EA"/>
    <w:rsid w:val="00DE4625"/>
    <w:rsid w:val="00DF0867"/>
    <w:rsid w:val="00DF54E3"/>
    <w:rsid w:val="00DF5C9F"/>
    <w:rsid w:val="00E11CCA"/>
    <w:rsid w:val="00E21F4D"/>
    <w:rsid w:val="00E223E2"/>
    <w:rsid w:val="00E23064"/>
    <w:rsid w:val="00E23260"/>
    <w:rsid w:val="00E4063F"/>
    <w:rsid w:val="00E42033"/>
    <w:rsid w:val="00E47DAD"/>
    <w:rsid w:val="00E47FEF"/>
    <w:rsid w:val="00E67291"/>
    <w:rsid w:val="00E72707"/>
    <w:rsid w:val="00E772AE"/>
    <w:rsid w:val="00E90F7D"/>
    <w:rsid w:val="00E91274"/>
    <w:rsid w:val="00EA2479"/>
    <w:rsid w:val="00EA5BC7"/>
    <w:rsid w:val="00EC37D7"/>
    <w:rsid w:val="00EC7613"/>
    <w:rsid w:val="00ED19CB"/>
    <w:rsid w:val="00ED7513"/>
    <w:rsid w:val="00EE20AD"/>
    <w:rsid w:val="00EE6BEB"/>
    <w:rsid w:val="00EF7D90"/>
    <w:rsid w:val="00F04CA5"/>
    <w:rsid w:val="00F15F04"/>
    <w:rsid w:val="00F2435A"/>
    <w:rsid w:val="00F26455"/>
    <w:rsid w:val="00F3202E"/>
    <w:rsid w:val="00F335A1"/>
    <w:rsid w:val="00F33CB8"/>
    <w:rsid w:val="00F36E72"/>
    <w:rsid w:val="00F4163D"/>
    <w:rsid w:val="00F47AC1"/>
    <w:rsid w:val="00F5087E"/>
    <w:rsid w:val="00F5135C"/>
    <w:rsid w:val="00F569C7"/>
    <w:rsid w:val="00F60712"/>
    <w:rsid w:val="00F65342"/>
    <w:rsid w:val="00F70683"/>
    <w:rsid w:val="00F70B9B"/>
    <w:rsid w:val="00F74C12"/>
    <w:rsid w:val="00F90119"/>
    <w:rsid w:val="00F9415E"/>
    <w:rsid w:val="00F95D8F"/>
    <w:rsid w:val="00F97B02"/>
    <w:rsid w:val="00FA441E"/>
    <w:rsid w:val="00FA4734"/>
    <w:rsid w:val="00FA4822"/>
    <w:rsid w:val="00FB31F6"/>
    <w:rsid w:val="00FC175B"/>
    <w:rsid w:val="00FC6BDD"/>
    <w:rsid w:val="00FD1696"/>
    <w:rsid w:val="00FD1C23"/>
    <w:rsid w:val="00FD7066"/>
    <w:rsid w:val="00FD7353"/>
    <w:rsid w:val="00FE5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C44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3">
    <w:name w:val="footer"/>
    <w:basedOn w:val="a"/>
    <w:rsid w:val="00C44A42"/>
    <w:pPr>
      <w:tabs>
        <w:tab w:val="center" w:pos="4153"/>
        <w:tab w:val="right" w:pos="8306"/>
      </w:tabs>
      <w:snapToGrid w:val="0"/>
      <w:jc w:val="left"/>
    </w:pPr>
    <w:rPr>
      <w:sz w:val="18"/>
      <w:szCs w:val="18"/>
    </w:rPr>
  </w:style>
  <w:style w:type="character" w:styleId="a4">
    <w:name w:val="page number"/>
    <w:basedOn w:val="a0"/>
    <w:rsid w:val="00C44A42"/>
  </w:style>
  <w:style w:type="paragraph" w:styleId="a5">
    <w:name w:val="Balloon Text"/>
    <w:basedOn w:val="a"/>
    <w:semiHidden/>
    <w:rsid w:val="0044385F"/>
    <w:rPr>
      <w:sz w:val="18"/>
      <w:szCs w:val="18"/>
    </w:rPr>
  </w:style>
  <w:style w:type="character" w:styleId="a6">
    <w:name w:val="annotation reference"/>
    <w:basedOn w:val="a0"/>
    <w:semiHidden/>
    <w:rsid w:val="00D84D45"/>
    <w:rPr>
      <w:sz w:val="21"/>
      <w:szCs w:val="21"/>
    </w:rPr>
  </w:style>
  <w:style w:type="paragraph" w:styleId="a7">
    <w:name w:val="annotation text"/>
    <w:basedOn w:val="a"/>
    <w:semiHidden/>
    <w:rsid w:val="00D84D45"/>
    <w:pPr>
      <w:jc w:val="left"/>
    </w:pPr>
  </w:style>
  <w:style w:type="paragraph" w:styleId="a8">
    <w:name w:val="annotation subject"/>
    <w:basedOn w:val="a7"/>
    <w:next w:val="a7"/>
    <w:semiHidden/>
    <w:rsid w:val="00D84D45"/>
    <w:rPr>
      <w:b/>
      <w:bCs/>
    </w:rPr>
  </w:style>
  <w:style w:type="paragraph" w:customStyle="1" w:styleId="Default">
    <w:name w:val="Default"/>
    <w:rsid w:val="00A8234A"/>
    <w:pPr>
      <w:widowControl w:val="0"/>
      <w:autoSpaceDE w:val="0"/>
      <w:autoSpaceDN w:val="0"/>
      <w:adjustRightInd w:val="0"/>
    </w:pPr>
    <w:rPr>
      <w:rFonts w:ascii="宋体" w:cs="宋体"/>
      <w:color w:val="000000"/>
      <w:sz w:val="24"/>
      <w:szCs w:val="24"/>
    </w:rPr>
  </w:style>
  <w:style w:type="paragraph" w:styleId="a9">
    <w:name w:val="header"/>
    <w:basedOn w:val="a"/>
    <w:link w:val="Char"/>
    <w:rsid w:val="00A05D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A05D70"/>
    <w:rPr>
      <w:kern w:val="2"/>
      <w:sz w:val="18"/>
      <w:szCs w:val="18"/>
    </w:rPr>
  </w:style>
  <w:style w:type="character" w:styleId="aa">
    <w:name w:val="Hyperlink"/>
    <w:basedOn w:val="a0"/>
    <w:rsid w:val="00DE4625"/>
    <w:rPr>
      <w:color w:val="0000FF"/>
      <w:u w:val="single"/>
    </w:rPr>
  </w:style>
  <w:style w:type="character" w:customStyle="1" w:styleId="txtcontent11">
    <w:name w:val="txtcontent11"/>
    <w:basedOn w:val="a0"/>
    <w:rsid w:val="00762C12"/>
    <w:rPr>
      <w:rFonts w:ascii="ˎ̥" w:hAnsi="ˎ̥" w:hint="default"/>
      <w:b w:val="0"/>
      <w:bCs w:val="0"/>
      <w:color w:val="000000"/>
      <w:sz w:val="21"/>
      <w:szCs w:val="21"/>
    </w:rPr>
  </w:style>
  <w:style w:type="table" w:styleId="ab">
    <w:name w:val="Table Grid"/>
    <w:basedOn w:val="a1"/>
    <w:rsid w:val="003028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otnote reference"/>
    <w:basedOn w:val="a0"/>
    <w:rsid w:val="00D057E8"/>
    <w:rPr>
      <w:vertAlign w:val="superscript"/>
    </w:rPr>
  </w:style>
  <w:style w:type="paragraph" w:customStyle="1" w:styleId="CharCharCharCharCharCharChar">
    <w:name w:val="Char Char Char Char Char Char Char"/>
    <w:basedOn w:val="a"/>
    <w:rsid w:val="00D62F24"/>
  </w:style>
  <w:style w:type="character" w:customStyle="1" w:styleId="HTMLChar">
    <w:name w:val="HTML 预设格式 Char"/>
    <w:basedOn w:val="a0"/>
    <w:link w:val="HTML"/>
    <w:rsid w:val="00C20440"/>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4403709">
      <w:bodyDiv w:val="1"/>
      <w:marLeft w:val="0"/>
      <w:marRight w:val="0"/>
      <w:marTop w:val="0"/>
      <w:marBottom w:val="0"/>
      <w:divBdr>
        <w:top w:val="none" w:sz="0" w:space="0" w:color="auto"/>
        <w:left w:val="none" w:sz="0" w:space="0" w:color="auto"/>
        <w:bottom w:val="none" w:sz="0" w:space="0" w:color="auto"/>
        <w:right w:val="none" w:sz="0" w:space="0" w:color="auto"/>
      </w:divBdr>
    </w:div>
    <w:div w:id="354312769">
      <w:bodyDiv w:val="1"/>
      <w:marLeft w:val="0"/>
      <w:marRight w:val="0"/>
      <w:marTop w:val="0"/>
      <w:marBottom w:val="0"/>
      <w:divBdr>
        <w:top w:val="none" w:sz="0" w:space="0" w:color="auto"/>
        <w:left w:val="none" w:sz="0" w:space="0" w:color="auto"/>
        <w:bottom w:val="none" w:sz="0" w:space="0" w:color="auto"/>
        <w:right w:val="none" w:sz="0" w:space="0" w:color="auto"/>
      </w:divBdr>
    </w:div>
    <w:div w:id="562719245">
      <w:bodyDiv w:val="1"/>
      <w:marLeft w:val="0"/>
      <w:marRight w:val="0"/>
      <w:marTop w:val="0"/>
      <w:marBottom w:val="0"/>
      <w:divBdr>
        <w:top w:val="none" w:sz="0" w:space="0" w:color="auto"/>
        <w:left w:val="none" w:sz="0" w:space="0" w:color="auto"/>
        <w:bottom w:val="none" w:sz="0" w:space="0" w:color="auto"/>
        <w:right w:val="none" w:sz="0" w:space="0" w:color="auto"/>
      </w:divBdr>
    </w:div>
    <w:div w:id="1293290408">
      <w:bodyDiv w:val="1"/>
      <w:marLeft w:val="0"/>
      <w:marRight w:val="0"/>
      <w:marTop w:val="0"/>
      <w:marBottom w:val="0"/>
      <w:divBdr>
        <w:top w:val="none" w:sz="0" w:space="0" w:color="auto"/>
        <w:left w:val="none" w:sz="0" w:space="0" w:color="auto"/>
        <w:bottom w:val="none" w:sz="0" w:space="0" w:color="auto"/>
        <w:right w:val="none" w:sz="0" w:space="0" w:color="auto"/>
      </w:divBdr>
    </w:div>
    <w:div w:id="1536231530">
      <w:bodyDiv w:val="1"/>
      <w:marLeft w:val="0"/>
      <w:marRight w:val="0"/>
      <w:marTop w:val="0"/>
      <w:marBottom w:val="0"/>
      <w:divBdr>
        <w:top w:val="none" w:sz="0" w:space="0" w:color="auto"/>
        <w:left w:val="none" w:sz="0" w:space="0" w:color="auto"/>
        <w:bottom w:val="none" w:sz="0" w:space="0" w:color="auto"/>
        <w:right w:val="none" w:sz="0" w:space="0" w:color="auto"/>
      </w:divBdr>
    </w:div>
    <w:div w:id="1609461016">
      <w:bodyDiv w:val="1"/>
      <w:marLeft w:val="0"/>
      <w:marRight w:val="0"/>
      <w:marTop w:val="0"/>
      <w:marBottom w:val="0"/>
      <w:divBdr>
        <w:top w:val="none" w:sz="0" w:space="0" w:color="auto"/>
        <w:left w:val="none" w:sz="0" w:space="0" w:color="auto"/>
        <w:bottom w:val="none" w:sz="0" w:space="0" w:color="auto"/>
        <w:right w:val="none" w:sz="0" w:space="0" w:color="auto"/>
      </w:divBdr>
    </w:div>
    <w:div w:id="1795706506">
      <w:bodyDiv w:val="1"/>
      <w:marLeft w:val="0"/>
      <w:marRight w:val="0"/>
      <w:marTop w:val="0"/>
      <w:marBottom w:val="0"/>
      <w:divBdr>
        <w:top w:val="none" w:sz="0" w:space="0" w:color="auto"/>
        <w:left w:val="none" w:sz="0" w:space="0" w:color="auto"/>
        <w:bottom w:val="none" w:sz="0" w:space="0" w:color="auto"/>
        <w:right w:val="none" w:sz="0" w:space="0" w:color="auto"/>
      </w:divBdr>
    </w:div>
    <w:div w:id="20916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ax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8A933-6AC5-45B4-9CF8-53F98EF1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4</DocSecurity>
  <Lines>5</Lines>
  <Paragraphs>1</Paragraphs>
  <ScaleCrop>false</ScaleCrop>
  <Company>py-axa</Company>
  <LinksUpToDate>false</LinksUpToDate>
  <CharactersWithSpaces>842</CharactersWithSpaces>
  <SharedDoc>false</SharedDoc>
  <HLinks>
    <vt:vector size="6" baseType="variant">
      <vt:variant>
        <vt:i4>6291495</vt:i4>
      </vt:variant>
      <vt:variant>
        <vt:i4>0</vt:i4>
      </vt:variant>
      <vt:variant>
        <vt:i4>0</vt:i4>
      </vt:variant>
      <vt:variant>
        <vt:i4>5</vt:i4>
      </vt:variant>
      <vt:variant>
        <vt:lpwstr>http://www.py-axa.com/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zhumy</dc:creator>
  <cp:lastModifiedBy>ZHONGM</cp:lastModifiedBy>
  <cp:revision>2</cp:revision>
  <cp:lastPrinted>2018-12-27T06:14:00Z</cp:lastPrinted>
  <dcterms:created xsi:type="dcterms:W3CDTF">2024-07-22T16:01:00Z</dcterms:created>
  <dcterms:modified xsi:type="dcterms:W3CDTF">2024-07-22T16:01:00Z</dcterms:modified>
</cp:coreProperties>
</file>