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3A" w:rsidRDefault="001B073A">
      <w:pPr>
        <w:widowControl w:val="0"/>
        <w:jc w:val="both"/>
        <w:rPr>
          <w:lang w:eastAsia="zh-CN"/>
        </w:rPr>
      </w:pPr>
      <w:bookmarkStart w:id="0" w:name="_GoBack"/>
      <w:bookmarkEnd w:id="0"/>
    </w:p>
    <w:p w:rsidR="001B073A" w:rsidRDefault="001B073A">
      <w:pPr>
        <w:widowControl w:val="0"/>
        <w:jc w:val="both"/>
      </w:pPr>
    </w:p>
    <w:p w:rsidR="001B073A" w:rsidRDefault="001B073A">
      <w:pPr>
        <w:widowControl w:val="0"/>
        <w:jc w:val="both"/>
      </w:pPr>
    </w:p>
    <w:p w:rsidR="001B073A" w:rsidRDefault="001B073A">
      <w:pPr>
        <w:widowControl w:val="0"/>
        <w:jc w:val="both"/>
      </w:pPr>
    </w:p>
    <w:p w:rsidR="001B073A" w:rsidRDefault="00774104">
      <w:pPr>
        <w:widowControl w:val="0"/>
        <w:jc w:val="center"/>
        <w:rPr>
          <w:sz w:val="48"/>
          <w:szCs w:val="48"/>
          <w:lang w:eastAsia="zh-CN"/>
        </w:rPr>
      </w:pPr>
      <w:r>
        <w:rPr>
          <w:rFonts w:ascii="宋体" w:eastAsia="宋体" w:hAnsi="宋体" w:cs="宋体"/>
          <w:b/>
          <w:bCs/>
          <w:sz w:val="48"/>
          <w:szCs w:val="48"/>
          <w:lang w:eastAsia="zh-CN"/>
        </w:rPr>
        <w:t>鹏华中短债3个月定期开放债券型证券投资基金开放申购、赎回和转换业务的公告</w:t>
      </w:r>
    </w:p>
    <w:p w:rsidR="001B073A" w:rsidRDefault="001B073A">
      <w:pPr>
        <w:widowControl w:val="0"/>
        <w:jc w:val="center"/>
        <w:rPr>
          <w:sz w:val="30"/>
          <w:szCs w:val="30"/>
          <w:lang w:eastAsia="zh-CN"/>
        </w:rPr>
      </w:pPr>
    </w:p>
    <w:p w:rsidR="001B073A" w:rsidRDefault="001B073A">
      <w:pPr>
        <w:widowControl w:val="0"/>
        <w:jc w:val="center"/>
        <w:rPr>
          <w:sz w:val="30"/>
          <w:szCs w:val="30"/>
          <w:lang w:eastAsia="zh-CN"/>
        </w:rPr>
      </w:pPr>
    </w:p>
    <w:p w:rsidR="001B073A" w:rsidRDefault="001B073A">
      <w:pPr>
        <w:widowControl w:val="0"/>
        <w:jc w:val="center"/>
        <w:rPr>
          <w:sz w:val="30"/>
          <w:szCs w:val="30"/>
          <w:lang w:eastAsia="zh-CN"/>
        </w:rPr>
      </w:pPr>
    </w:p>
    <w:p w:rsidR="001B073A" w:rsidRDefault="001B073A">
      <w:pPr>
        <w:widowControl w:val="0"/>
        <w:jc w:val="center"/>
        <w:rPr>
          <w:sz w:val="30"/>
          <w:szCs w:val="30"/>
          <w:lang w:eastAsia="zh-CN"/>
        </w:rPr>
      </w:pPr>
    </w:p>
    <w:p w:rsidR="001B073A" w:rsidRDefault="001B073A">
      <w:pPr>
        <w:widowControl w:val="0"/>
        <w:jc w:val="center"/>
        <w:rPr>
          <w:sz w:val="30"/>
          <w:szCs w:val="30"/>
          <w:lang w:eastAsia="zh-CN"/>
        </w:rPr>
      </w:pPr>
    </w:p>
    <w:p w:rsidR="001B073A" w:rsidRDefault="001B073A">
      <w:pPr>
        <w:widowControl w:val="0"/>
        <w:jc w:val="center"/>
        <w:rPr>
          <w:sz w:val="30"/>
          <w:szCs w:val="30"/>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774104">
      <w:pPr>
        <w:widowControl w:val="0"/>
        <w:jc w:val="both"/>
        <w:rPr>
          <w:lang w:eastAsia="zh-CN"/>
        </w:rPr>
      </w:pPr>
      <w:r>
        <w:rPr>
          <w:rFonts w:eastAsia="Times New Roman"/>
          <w:lang w:eastAsia="zh-CN"/>
        </w:rPr>
        <w:t> </w:t>
      </w:r>
    </w:p>
    <w:p w:rsidR="001B073A" w:rsidRDefault="00774104">
      <w:pPr>
        <w:widowControl w:val="0"/>
        <w:jc w:val="both"/>
        <w:rPr>
          <w:lang w:eastAsia="zh-CN"/>
        </w:rPr>
      </w:pPr>
      <w:r>
        <w:rPr>
          <w:rFonts w:eastAsia="Times New Roman"/>
          <w:lang w:eastAsia="zh-CN"/>
        </w:rPr>
        <w:t> </w:t>
      </w:r>
    </w:p>
    <w:p w:rsidR="001B073A" w:rsidRDefault="00774104">
      <w:pPr>
        <w:widowControl w:val="0"/>
        <w:jc w:val="both"/>
        <w:rPr>
          <w:lang w:eastAsia="zh-CN"/>
        </w:rPr>
      </w:pPr>
      <w:r>
        <w:rPr>
          <w:rFonts w:eastAsia="Times New Roman"/>
          <w:lang w:eastAsia="zh-CN"/>
        </w:rPr>
        <w:t> </w:t>
      </w:r>
    </w:p>
    <w:p w:rsidR="001B073A" w:rsidRDefault="00774104">
      <w:pPr>
        <w:widowControl w:val="0"/>
        <w:jc w:val="both"/>
        <w:rPr>
          <w:lang w:eastAsia="zh-CN"/>
        </w:rPr>
      </w:pPr>
      <w:r>
        <w:rPr>
          <w:rFonts w:eastAsia="Times New Roman"/>
          <w:lang w:eastAsia="zh-CN"/>
        </w:rPr>
        <w:t> </w:t>
      </w:r>
    </w:p>
    <w:p w:rsidR="001B073A" w:rsidRDefault="00774104">
      <w:pPr>
        <w:widowControl w:val="0"/>
        <w:jc w:val="both"/>
        <w:rPr>
          <w:lang w:eastAsia="zh-CN"/>
        </w:rPr>
      </w:pPr>
      <w:r>
        <w:rPr>
          <w:rFonts w:eastAsia="Times New Roman"/>
          <w:lang w:eastAsia="zh-CN"/>
        </w:rPr>
        <w:t> </w:t>
      </w:r>
    </w:p>
    <w:p w:rsidR="001B073A" w:rsidRDefault="00774104">
      <w:pPr>
        <w:widowControl w:val="0"/>
        <w:jc w:val="both"/>
        <w:rPr>
          <w:lang w:eastAsia="zh-CN"/>
        </w:rPr>
      </w:pPr>
      <w:r>
        <w:rPr>
          <w:rFonts w:eastAsia="Times New Roman"/>
          <w:lang w:eastAsia="zh-CN"/>
        </w:rPr>
        <w:t> </w:t>
      </w:r>
    </w:p>
    <w:p w:rsidR="001B073A" w:rsidRDefault="001B073A">
      <w:pPr>
        <w:widowControl w:val="0"/>
        <w:jc w:val="both"/>
        <w:rPr>
          <w:lang w:eastAsia="zh-CN"/>
        </w:rPr>
      </w:pPr>
    </w:p>
    <w:p w:rsidR="001B073A" w:rsidRDefault="001B073A">
      <w:pPr>
        <w:widowControl w:val="0"/>
        <w:jc w:val="both"/>
        <w:rPr>
          <w:lang w:eastAsia="zh-CN"/>
        </w:rPr>
      </w:pPr>
    </w:p>
    <w:p w:rsidR="001B073A" w:rsidRDefault="001B073A">
      <w:pPr>
        <w:widowControl w:val="0"/>
        <w:jc w:val="both"/>
        <w:rPr>
          <w:lang w:eastAsia="zh-CN"/>
        </w:rPr>
      </w:pPr>
    </w:p>
    <w:p w:rsidR="001B073A" w:rsidRDefault="00774104">
      <w:pPr>
        <w:widowControl w:val="0"/>
        <w:ind w:left="2100" w:firstLine="420"/>
        <w:jc w:val="both"/>
        <w:rPr>
          <w:sz w:val="28"/>
          <w:szCs w:val="28"/>
        </w:rPr>
      </w:pPr>
      <w:r>
        <w:rPr>
          <w:rFonts w:ascii="宋体" w:eastAsia="宋体" w:hAnsi="宋体" w:cs="宋体"/>
          <w:b/>
          <w:bCs/>
          <w:sz w:val="28"/>
          <w:szCs w:val="28"/>
          <w:lang w:eastAsia="zh-CN"/>
        </w:rPr>
        <w:t>公告送出日期：2024年07月19日</w:t>
      </w:r>
    </w:p>
    <w:p w:rsidR="001B073A" w:rsidRDefault="001B073A">
      <w:pPr>
        <w:widowControl w:val="0"/>
        <w:jc w:val="both"/>
      </w:pPr>
    </w:p>
    <w:p w:rsidR="001B073A" w:rsidRDefault="001B073A">
      <w:pPr>
        <w:widowControl w:val="0"/>
        <w:jc w:val="both"/>
      </w:pPr>
    </w:p>
    <w:p w:rsidR="001B073A" w:rsidRDefault="00774104">
      <w:pPr>
        <w:widowControl w:val="0"/>
        <w:jc w:val="both"/>
      </w:pPr>
      <w:r>
        <w:rPr>
          <w:rFonts w:eastAsia="Times New Roman"/>
          <w:lang w:eastAsia="zh-CN"/>
        </w:rPr>
        <w:t> </w:t>
      </w:r>
    </w:p>
    <w:p w:rsidR="001B073A" w:rsidRDefault="00774104">
      <w:pPr>
        <w:widowControl w:val="0"/>
        <w:jc w:val="both"/>
      </w:pPr>
      <w:r>
        <w:rPr>
          <w:rFonts w:eastAsia="Times New Roman"/>
          <w:lang w:eastAsia="zh-CN"/>
        </w:rPr>
        <w:t> </w:t>
      </w:r>
    </w:p>
    <w:p w:rsidR="001B073A" w:rsidRDefault="00774104">
      <w:pPr>
        <w:widowControl w:val="0"/>
        <w:jc w:val="both"/>
      </w:pPr>
      <w:r>
        <w:rPr>
          <w:rFonts w:eastAsia="Times New Roman"/>
          <w:lang w:eastAsia="zh-CN"/>
        </w:rPr>
        <w:t> </w:t>
      </w:r>
    </w:p>
    <w:p w:rsidR="001B073A" w:rsidRDefault="001B073A">
      <w:pPr>
        <w:widowControl w:val="0"/>
        <w:jc w:val="both"/>
      </w:pPr>
    </w:p>
    <w:p w:rsidR="001B073A" w:rsidRDefault="00774104">
      <w:pPr>
        <w:pStyle w:val="2"/>
        <w:keepLines/>
        <w:widowControl w:val="0"/>
        <w:spacing w:before="156" w:after="156"/>
        <w:rPr>
          <w:rFonts w:ascii="Times New Roman" w:hAnsi="Times New Roman" w:cs="Times New Roman"/>
        </w:rPr>
      </w:pPr>
      <w:r>
        <w:rPr>
          <w:rFonts w:ascii="宋体" w:eastAsia="宋体" w:hAnsi="宋体" w:cs="宋体"/>
          <w:i w:val="0"/>
          <w:iCs w:val="0"/>
          <w:sz w:val="24"/>
          <w:szCs w:val="24"/>
          <w:lang w:eastAsia="zh-CN"/>
        </w:rPr>
        <w:lastRenderedPageBreak/>
        <w:t>1公告基本信息</w:t>
      </w:r>
    </w:p>
    <w:tbl>
      <w:tblPr>
        <w:tblW w:w="8290" w:type="dxa"/>
        <w:tblInd w:w="13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967"/>
        <w:gridCol w:w="1843"/>
        <w:gridCol w:w="1701"/>
        <w:gridCol w:w="1779"/>
      </w:tblGrid>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基金名称</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鹏华中短债3个月定期开放债券型证券投资基金</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基金简称</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鹏华中短债3个月定开债券</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基金主代码</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006434</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基金运作方式</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契约型开放式</w:t>
            </w:r>
          </w:p>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本基金以定期开放方式运作，即采用封闭运作和开放运作交替循环的方式。本基金自基金合同生效之日（含）起或自每一开放期结束之日次日（含）起至3 个月后的对应日的前一日止的期间封闭运作，不办理申购与赎回业务，也不上市交易。如该对应日不存在对应日期或为非工作日，则顺延至下一工作日。本基金自封闭期结束之后第一个工作日（含）起进入开放期，每个开放期原则上不少于一个工作日、不超过二十个工作日，开放期的具体时间以基金管理人届时公告为准。如发生不可抗力或其他情形致使基金无法按时开放或需依据基金合同暂停申购与赎回业务的，基金管理人有权合理调整申购或赎回业务的办理期间并予以公告。</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基金合同生效日</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2018年10月17日</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基金管理人名称</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鹏华基金管理有限公司</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基金托管人名称</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中国工商银行股份有限公司</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基金份额登记机构名称</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鹏华基金管理有限公司</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公告依据</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《鹏华中短债3个月定期开放债券型证券投资基金基金合同》（以下简称“基金合同”）、《鹏华中短债3个月定期开放债券型证券投资基金招募说明书》及其更新（以下简称“招募说明书”）</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申购起始日</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2024年07月24日</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赎回起始日</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2024年07月24日</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转换转入起始日</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2024年07月24日</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转换转出起始日</w:t>
            </w:r>
          </w:p>
        </w:tc>
        <w:tc>
          <w:tcPr>
            <w:tcW w:w="5323" w:type="dxa"/>
            <w:gridSpan w:val="3"/>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2024年07月24日</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下属基金份额类别的基金简称</w:t>
            </w:r>
          </w:p>
        </w:tc>
        <w:tc>
          <w:tcPr>
            <w:tcW w:w="1843"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鹏华中短债3个月定开债券A</w:t>
            </w:r>
          </w:p>
        </w:tc>
        <w:tc>
          <w:tcPr>
            <w:tcW w:w="1701"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鹏华中短债3个月定开债券C</w:t>
            </w:r>
          </w:p>
        </w:tc>
        <w:tc>
          <w:tcPr>
            <w:tcW w:w="1779"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鹏华中短债3个月定开债券E</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下属基金份额类别的交易代码</w:t>
            </w:r>
          </w:p>
        </w:tc>
        <w:tc>
          <w:tcPr>
            <w:tcW w:w="1843"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006434</w:t>
            </w:r>
          </w:p>
        </w:tc>
        <w:tc>
          <w:tcPr>
            <w:tcW w:w="1701"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006456</w:t>
            </w:r>
          </w:p>
        </w:tc>
        <w:tc>
          <w:tcPr>
            <w:tcW w:w="1779"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021154</w:t>
            </w:r>
          </w:p>
        </w:tc>
      </w:tr>
      <w:tr w:rsidR="001B073A" w:rsidTr="0007297D">
        <w:tc>
          <w:tcPr>
            <w:tcW w:w="2967"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lang w:eastAsia="zh-CN"/>
              </w:rPr>
            </w:pPr>
            <w:r>
              <w:rPr>
                <w:rFonts w:ascii="宋体" w:eastAsia="宋体" w:hAnsi="宋体" w:cs="宋体"/>
                <w:sz w:val="21"/>
                <w:szCs w:val="21"/>
                <w:lang w:eastAsia="zh-CN"/>
              </w:rPr>
              <w:t>该类基金份额是否开放申购、赎回、转换转入、转换转出</w:t>
            </w:r>
          </w:p>
        </w:tc>
        <w:tc>
          <w:tcPr>
            <w:tcW w:w="1843"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是</w:t>
            </w:r>
          </w:p>
        </w:tc>
        <w:tc>
          <w:tcPr>
            <w:tcW w:w="1701"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是</w:t>
            </w:r>
          </w:p>
        </w:tc>
        <w:tc>
          <w:tcPr>
            <w:tcW w:w="1779" w:type="dxa"/>
            <w:tcBorders>
              <w:top w:val="single" w:sz="8" w:space="0" w:color="auto"/>
              <w:left w:val="single" w:sz="8" w:space="0" w:color="auto"/>
              <w:bottom w:val="single" w:sz="8" w:space="0" w:color="auto"/>
              <w:right w:val="single" w:sz="8" w:space="0" w:color="auto"/>
            </w:tcBorders>
            <w:tcMar>
              <w:top w:w="25" w:type="dxa"/>
              <w:left w:w="123" w:type="dxa"/>
              <w:bottom w:w="25" w:type="dxa"/>
              <w:right w:w="108" w:type="dxa"/>
            </w:tcMar>
            <w:hideMark/>
          </w:tcPr>
          <w:p w:rsidR="001B073A" w:rsidRDefault="00774104" w:rsidP="0096506F">
            <w:pPr>
              <w:jc w:val="both"/>
              <w:rPr>
                <w:rFonts w:ascii="宋体" w:eastAsia="宋体" w:hAnsi="宋体" w:cs="宋体"/>
                <w:sz w:val="21"/>
                <w:szCs w:val="21"/>
              </w:rPr>
            </w:pPr>
            <w:r>
              <w:rPr>
                <w:rFonts w:ascii="宋体" w:eastAsia="宋体" w:hAnsi="宋体" w:cs="宋体"/>
                <w:sz w:val="21"/>
                <w:szCs w:val="21"/>
                <w:lang w:eastAsia="zh-CN"/>
              </w:rPr>
              <w:t>是</w:t>
            </w:r>
          </w:p>
        </w:tc>
      </w:tr>
    </w:tbl>
    <w:p w:rsidR="001B073A" w:rsidRDefault="00774104">
      <w:pPr>
        <w:pStyle w:val="2"/>
        <w:keepLines/>
        <w:widowControl w:val="0"/>
        <w:spacing w:after="156"/>
        <w:rPr>
          <w:rFonts w:ascii="Times New Roman" w:hAnsi="Times New Roman" w:cs="Times New Roman"/>
          <w:lang w:eastAsia="zh-CN"/>
        </w:rPr>
      </w:pPr>
      <w:r>
        <w:rPr>
          <w:rFonts w:ascii="宋体" w:eastAsia="宋体" w:hAnsi="宋体" w:cs="宋体"/>
          <w:i w:val="0"/>
          <w:iCs w:val="0"/>
          <w:sz w:val="24"/>
          <w:szCs w:val="24"/>
          <w:lang w:eastAsia="zh-CN"/>
        </w:rPr>
        <w:t>2 申购、赎回和转换业务的办理时间</w:t>
      </w:r>
    </w:p>
    <w:p w:rsidR="001B073A" w:rsidRDefault="00774104">
      <w:pPr>
        <w:widowControl w:val="0"/>
        <w:spacing w:line="360" w:lineRule="auto"/>
        <w:ind w:firstLine="420"/>
        <w:rPr>
          <w:sz w:val="21"/>
          <w:szCs w:val="21"/>
          <w:lang w:eastAsia="zh-CN"/>
        </w:rPr>
      </w:pPr>
      <w:r>
        <w:rPr>
          <w:rFonts w:ascii="宋体" w:eastAsia="宋体" w:hAnsi="宋体" w:cs="宋体"/>
          <w:sz w:val="21"/>
          <w:szCs w:val="21"/>
          <w:lang w:eastAsia="zh-CN"/>
        </w:rPr>
        <w:t>鹏华中短债3个月定期开放债券型证券投资基金（以下简称“本基金”）自2024年07月24日起（含当日）进入开放期，其中开放申购时间为2024年07月24日至2024年08月20日，在此期间接受投资者的申购和转换转入业务申请；开放赎回时间为2024年07月24日至2024年07月30日，在此期间接受投资者的赎回和转换转出业务申请。</w:t>
      </w:r>
    </w:p>
    <w:p w:rsidR="001B073A" w:rsidRDefault="00774104">
      <w:pPr>
        <w:pStyle w:val="2"/>
        <w:keepLines/>
        <w:widowControl w:val="0"/>
        <w:spacing w:before="156" w:after="156"/>
        <w:rPr>
          <w:rFonts w:ascii="Times New Roman" w:hAnsi="Times New Roman" w:cs="Times New Roman"/>
          <w:lang w:eastAsia="zh-CN"/>
        </w:rPr>
      </w:pPr>
      <w:r>
        <w:rPr>
          <w:rFonts w:ascii="宋体" w:eastAsia="宋体" w:hAnsi="宋体" w:cs="宋体"/>
          <w:i w:val="0"/>
          <w:iCs w:val="0"/>
          <w:sz w:val="24"/>
          <w:szCs w:val="24"/>
          <w:lang w:eastAsia="zh-CN"/>
        </w:rPr>
        <w:t>3 申购业务</w:t>
      </w:r>
    </w:p>
    <w:p w:rsidR="001B073A" w:rsidRDefault="00774104">
      <w:pPr>
        <w:widowControl w:val="0"/>
        <w:spacing w:before="156" w:after="156"/>
        <w:rPr>
          <w:lang w:eastAsia="zh-CN"/>
        </w:rPr>
      </w:pPr>
      <w:r>
        <w:rPr>
          <w:rFonts w:ascii="宋体" w:eastAsia="宋体" w:hAnsi="宋体" w:cs="宋体"/>
          <w:b/>
          <w:bCs/>
          <w:lang w:eastAsia="zh-CN"/>
        </w:rPr>
        <w:t>3.1 申购金额限制</w:t>
      </w:r>
    </w:p>
    <w:p w:rsidR="001B073A" w:rsidRDefault="00774104">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lastRenderedPageBreak/>
        <w:t>1、投资人通过销售机构申购本基金，单笔最低申购金额为1元。各销售机构对本基金最低申购金额及交易级差有其他规定的，以销售机构的规定为准。通过基金管理人直销中心申购本基金，首次最低申购金额为100万元，追加申购单笔最低金额为1万元，但根据法律法规或基金管理人的要求无法通过网上直销渠道申购的不受前述限制。本基金直销中心单笔申购最低金额与申购级差限制可由基金管理人酌情调整。</w:t>
      </w:r>
    </w:p>
    <w:p w:rsidR="001B073A" w:rsidRDefault="00774104">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2、本基金对单个基金份额持有人不设置最高申购金额限制，但单一投资者持有基金份额数不得达到或超过基金份额总数的50%(在基金运作过程中因基金份额赎回等情形导致被动达到或超过50%的除外)。</w:t>
      </w:r>
    </w:p>
    <w:p w:rsidR="001B073A" w:rsidRDefault="00774104">
      <w:pPr>
        <w:widowControl w:val="0"/>
        <w:spacing w:before="156" w:after="156"/>
        <w:rPr>
          <w:lang w:eastAsia="zh-CN"/>
        </w:rPr>
      </w:pPr>
      <w:r>
        <w:rPr>
          <w:rFonts w:ascii="宋体" w:eastAsia="宋体" w:hAnsi="宋体" w:cs="宋体"/>
          <w:b/>
          <w:bCs/>
          <w:lang w:eastAsia="zh-CN"/>
        </w:rPr>
        <w:t>3.2 申购费率</w:t>
      </w:r>
    </w:p>
    <w:p w:rsidR="0007297D" w:rsidRDefault="00774104" w:rsidP="0007297D">
      <w:pPr>
        <w:spacing w:line="360" w:lineRule="auto"/>
        <w:ind w:firstLine="550"/>
        <w:jc w:val="both"/>
        <w:rPr>
          <w:rFonts w:ascii="宋体" w:eastAsia="宋体" w:hAnsi="宋体" w:cs="宋体"/>
          <w:sz w:val="21"/>
          <w:szCs w:val="21"/>
          <w:lang w:eastAsia="zh-CN"/>
        </w:rPr>
      </w:pPr>
      <w:r w:rsidRPr="0007297D">
        <w:rPr>
          <w:rFonts w:ascii="宋体" w:eastAsia="宋体" w:hAnsi="宋体" w:cs="宋体"/>
          <w:sz w:val="21"/>
          <w:szCs w:val="21"/>
          <w:lang w:eastAsia="zh-CN"/>
        </w:rPr>
        <w:t>本基金A类基金份额</w:t>
      </w:r>
      <w:r w:rsidR="0007297D" w:rsidRPr="0007297D">
        <w:rPr>
          <w:rFonts w:ascii="宋体" w:eastAsia="宋体" w:hAnsi="宋体" w:cs="宋体" w:hint="eastAsia"/>
          <w:sz w:val="21"/>
          <w:szCs w:val="21"/>
          <w:lang w:eastAsia="zh-CN"/>
        </w:rPr>
        <w:t>和E类</w:t>
      </w:r>
      <w:r w:rsidR="0007297D" w:rsidRPr="0007297D">
        <w:rPr>
          <w:rFonts w:ascii="宋体" w:eastAsia="宋体" w:hAnsi="宋体" w:cs="宋体"/>
          <w:sz w:val="21"/>
          <w:szCs w:val="21"/>
          <w:lang w:eastAsia="zh-CN"/>
        </w:rPr>
        <w:t>基金份额</w:t>
      </w:r>
      <w:r w:rsidRPr="0007297D">
        <w:rPr>
          <w:rFonts w:ascii="宋体" w:eastAsia="宋体" w:hAnsi="宋体" w:cs="宋体"/>
          <w:sz w:val="21"/>
          <w:szCs w:val="21"/>
          <w:lang w:eastAsia="zh-CN"/>
        </w:rPr>
        <w:t>在申购时收取申购费用，C类基金份额</w:t>
      </w:r>
      <w:r w:rsidR="0007297D" w:rsidRPr="0007297D">
        <w:rPr>
          <w:rFonts w:ascii="宋体" w:eastAsia="宋体" w:hAnsi="宋体" w:cs="宋体" w:hint="eastAsia"/>
          <w:sz w:val="21"/>
          <w:szCs w:val="21"/>
          <w:lang w:eastAsia="zh-CN"/>
        </w:rPr>
        <w:t>不收取</w:t>
      </w:r>
      <w:r w:rsidR="0007297D" w:rsidRPr="0007297D">
        <w:rPr>
          <w:rFonts w:ascii="宋体" w:eastAsia="宋体" w:hAnsi="宋体" w:cs="宋体"/>
          <w:sz w:val="21"/>
          <w:szCs w:val="21"/>
          <w:lang w:eastAsia="zh-CN"/>
        </w:rPr>
        <w:t>申购费用</w:t>
      </w:r>
      <w:r w:rsidR="0007297D">
        <w:rPr>
          <w:rFonts w:ascii="宋体" w:eastAsia="宋体" w:hAnsi="宋体" w:cs="宋体" w:hint="eastAsia"/>
          <w:sz w:val="21"/>
          <w:szCs w:val="21"/>
          <w:lang w:eastAsia="zh-CN"/>
        </w:rPr>
        <w:t>。</w:t>
      </w:r>
    </w:p>
    <w:p w:rsidR="001B073A" w:rsidRPr="0007297D" w:rsidRDefault="00774104" w:rsidP="0007297D">
      <w:pPr>
        <w:spacing w:line="360" w:lineRule="auto"/>
        <w:ind w:firstLine="550"/>
        <w:jc w:val="both"/>
        <w:rPr>
          <w:rFonts w:ascii="宋体" w:eastAsia="宋体" w:hAnsi="宋体" w:cs="宋体"/>
          <w:sz w:val="21"/>
          <w:szCs w:val="21"/>
          <w:lang w:eastAsia="zh-CN"/>
        </w:rPr>
      </w:pPr>
      <w:r w:rsidRPr="0007297D">
        <w:rPr>
          <w:rFonts w:ascii="宋体" w:eastAsia="宋体" w:hAnsi="宋体" w:cs="宋体"/>
          <w:sz w:val="21"/>
          <w:szCs w:val="21"/>
          <w:lang w:eastAsia="zh-CN"/>
        </w:rPr>
        <w:t>本基金A类基金份额的申购费率如下表所示：</w:t>
      </w:r>
    </w:p>
    <w:tbl>
      <w:tblPr>
        <w:tblW w:w="8018" w:type="dxa"/>
        <w:tblInd w:w="52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100"/>
        <w:gridCol w:w="2276"/>
        <w:gridCol w:w="2642"/>
      </w:tblGrid>
      <w:tr w:rsidR="001B073A" w:rsidRPr="0007297D">
        <w:trPr>
          <w:trHeight w:val="415"/>
        </w:trPr>
        <w:tc>
          <w:tcPr>
            <w:tcW w:w="3100" w:type="dxa"/>
            <w:tcBorders>
              <w:top w:val="single" w:sz="6" w:space="0" w:color="auto"/>
              <w:bottom w:val="single" w:sz="6" w:space="0" w:color="auto"/>
              <w:right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cs="宋体"/>
                <w:b/>
                <w:bCs/>
                <w:sz w:val="21"/>
                <w:szCs w:val="21"/>
                <w:lang w:eastAsia="zh-CN"/>
              </w:rPr>
              <w:t>申购金额</w:t>
            </w:r>
            <w:r w:rsidRPr="0007297D">
              <w:rPr>
                <w:rFonts w:asciiTheme="minorEastAsia" w:hAnsiTheme="minorEastAsia"/>
                <w:b/>
                <w:bCs/>
                <w:sz w:val="21"/>
                <w:szCs w:val="21"/>
                <w:lang w:eastAsia="zh-CN"/>
              </w:rPr>
              <w:t>M</w:t>
            </w:r>
            <w:r w:rsidRPr="0007297D">
              <w:rPr>
                <w:rFonts w:asciiTheme="minorEastAsia" w:hAnsiTheme="minorEastAsia" w:cs="宋体"/>
                <w:b/>
                <w:bCs/>
                <w:sz w:val="21"/>
                <w:szCs w:val="21"/>
                <w:lang w:eastAsia="zh-CN"/>
              </w:rPr>
              <w:t>（元）</w:t>
            </w:r>
          </w:p>
        </w:tc>
        <w:tc>
          <w:tcPr>
            <w:tcW w:w="2276" w:type="dxa"/>
            <w:tcBorders>
              <w:top w:val="single" w:sz="6" w:space="0" w:color="auto"/>
              <w:left w:val="single" w:sz="6" w:space="0" w:color="auto"/>
              <w:bottom w:val="single" w:sz="6" w:space="0" w:color="auto"/>
              <w:right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cs="宋体"/>
                <w:b/>
                <w:bCs/>
                <w:sz w:val="21"/>
                <w:szCs w:val="21"/>
                <w:lang w:eastAsia="zh-CN"/>
              </w:rPr>
              <w:t>一般申购费率</w:t>
            </w:r>
          </w:p>
        </w:tc>
        <w:tc>
          <w:tcPr>
            <w:tcW w:w="2642" w:type="dxa"/>
            <w:tcBorders>
              <w:top w:val="single" w:sz="6" w:space="0" w:color="auto"/>
              <w:left w:val="single" w:sz="6" w:space="0" w:color="auto"/>
              <w:bottom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cs="宋体"/>
                <w:b/>
                <w:bCs/>
                <w:sz w:val="21"/>
                <w:szCs w:val="21"/>
                <w:lang w:eastAsia="zh-CN"/>
              </w:rPr>
              <w:t>特定申购费率</w:t>
            </w:r>
          </w:p>
        </w:tc>
      </w:tr>
      <w:tr w:rsidR="001B073A" w:rsidRPr="0007297D">
        <w:trPr>
          <w:trHeight w:val="415"/>
        </w:trPr>
        <w:tc>
          <w:tcPr>
            <w:tcW w:w="3100" w:type="dxa"/>
            <w:tcBorders>
              <w:top w:val="single" w:sz="6" w:space="0" w:color="auto"/>
              <w:bottom w:val="single" w:sz="6" w:space="0" w:color="auto"/>
              <w:right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sz w:val="21"/>
                <w:szCs w:val="21"/>
                <w:lang w:eastAsia="zh-CN"/>
              </w:rPr>
              <w:t>M&lt;100</w:t>
            </w:r>
            <w:r w:rsidRPr="0007297D">
              <w:rPr>
                <w:rFonts w:asciiTheme="minorEastAsia" w:hAnsiTheme="minorEastAsia" w:cs="宋体"/>
                <w:sz w:val="21"/>
                <w:szCs w:val="21"/>
                <w:lang w:eastAsia="zh-CN"/>
              </w:rPr>
              <w:t>万</w:t>
            </w:r>
          </w:p>
        </w:tc>
        <w:tc>
          <w:tcPr>
            <w:tcW w:w="2276" w:type="dxa"/>
            <w:tcBorders>
              <w:top w:val="single" w:sz="6" w:space="0" w:color="auto"/>
              <w:left w:val="single" w:sz="6" w:space="0" w:color="auto"/>
              <w:bottom w:val="single" w:sz="6" w:space="0" w:color="auto"/>
              <w:right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sz w:val="21"/>
                <w:szCs w:val="21"/>
                <w:lang w:eastAsia="zh-CN"/>
              </w:rPr>
              <w:t>0.40%</w:t>
            </w:r>
          </w:p>
        </w:tc>
        <w:tc>
          <w:tcPr>
            <w:tcW w:w="2642" w:type="dxa"/>
            <w:tcBorders>
              <w:top w:val="single" w:sz="6" w:space="0" w:color="auto"/>
              <w:left w:val="single" w:sz="6" w:space="0" w:color="auto"/>
              <w:bottom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sz w:val="21"/>
                <w:szCs w:val="21"/>
                <w:lang w:eastAsia="zh-CN"/>
              </w:rPr>
              <w:t>0.16%</w:t>
            </w:r>
          </w:p>
        </w:tc>
      </w:tr>
      <w:tr w:rsidR="001B073A" w:rsidRPr="0007297D">
        <w:trPr>
          <w:trHeight w:val="415"/>
        </w:trPr>
        <w:tc>
          <w:tcPr>
            <w:tcW w:w="3100" w:type="dxa"/>
            <w:tcBorders>
              <w:top w:val="single" w:sz="6" w:space="0" w:color="auto"/>
              <w:bottom w:val="single" w:sz="6" w:space="0" w:color="auto"/>
              <w:right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sz w:val="21"/>
                <w:szCs w:val="21"/>
                <w:lang w:eastAsia="zh-CN"/>
              </w:rPr>
              <w:t>100</w:t>
            </w:r>
            <w:r w:rsidRPr="0007297D">
              <w:rPr>
                <w:rFonts w:asciiTheme="minorEastAsia" w:hAnsiTheme="minorEastAsia" w:cs="宋体"/>
                <w:sz w:val="21"/>
                <w:szCs w:val="21"/>
                <w:lang w:eastAsia="zh-CN"/>
              </w:rPr>
              <w:t>万</w:t>
            </w:r>
            <w:r w:rsidRPr="0007297D">
              <w:rPr>
                <w:rFonts w:asciiTheme="minorEastAsia" w:hAnsiTheme="minorEastAsia"/>
                <w:sz w:val="21"/>
                <w:szCs w:val="21"/>
                <w:lang w:eastAsia="zh-CN"/>
              </w:rPr>
              <w:t>≤ M &lt;500</w:t>
            </w:r>
            <w:r w:rsidRPr="0007297D">
              <w:rPr>
                <w:rFonts w:asciiTheme="minorEastAsia" w:hAnsiTheme="minorEastAsia" w:cs="宋体"/>
                <w:sz w:val="21"/>
                <w:szCs w:val="21"/>
                <w:lang w:eastAsia="zh-CN"/>
              </w:rPr>
              <w:t>万</w:t>
            </w:r>
          </w:p>
        </w:tc>
        <w:tc>
          <w:tcPr>
            <w:tcW w:w="2276" w:type="dxa"/>
            <w:tcBorders>
              <w:top w:val="single" w:sz="6" w:space="0" w:color="auto"/>
              <w:left w:val="single" w:sz="6" w:space="0" w:color="auto"/>
              <w:bottom w:val="single" w:sz="6" w:space="0" w:color="auto"/>
              <w:right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sz w:val="21"/>
                <w:szCs w:val="21"/>
                <w:lang w:eastAsia="zh-CN"/>
              </w:rPr>
              <w:t>0.15%</w:t>
            </w:r>
          </w:p>
        </w:tc>
        <w:tc>
          <w:tcPr>
            <w:tcW w:w="2642" w:type="dxa"/>
            <w:tcBorders>
              <w:top w:val="single" w:sz="6" w:space="0" w:color="auto"/>
              <w:left w:val="single" w:sz="6" w:space="0" w:color="auto"/>
              <w:bottom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sz w:val="21"/>
                <w:szCs w:val="21"/>
                <w:lang w:eastAsia="zh-CN"/>
              </w:rPr>
              <w:t>0.04%</w:t>
            </w:r>
          </w:p>
        </w:tc>
      </w:tr>
      <w:tr w:rsidR="001B073A" w:rsidRPr="0007297D">
        <w:trPr>
          <w:trHeight w:val="415"/>
        </w:trPr>
        <w:tc>
          <w:tcPr>
            <w:tcW w:w="3100" w:type="dxa"/>
            <w:tcBorders>
              <w:top w:val="single" w:sz="6" w:space="0" w:color="auto"/>
              <w:right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sz w:val="21"/>
                <w:szCs w:val="21"/>
                <w:lang w:eastAsia="zh-CN"/>
              </w:rPr>
              <w:t>M≥ 500</w:t>
            </w:r>
            <w:r w:rsidRPr="0007297D">
              <w:rPr>
                <w:rFonts w:asciiTheme="minorEastAsia" w:hAnsiTheme="minorEastAsia" w:cs="宋体"/>
                <w:sz w:val="21"/>
                <w:szCs w:val="21"/>
                <w:lang w:eastAsia="zh-CN"/>
              </w:rPr>
              <w:t>万</w:t>
            </w:r>
          </w:p>
        </w:tc>
        <w:tc>
          <w:tcPr>
            <w:tcW w:w="2276" w:type="dxa"/>
            <w:tcBorders>
              <w:top w:val="single" w:sz="6" w:space="0" w:color="auto"/>
              <w:left w:val="single" w:sz="6" w:space="0" w:color="auto"/>
              <w:right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cs="宋体"/>
                <w:sz w:val="21"/>
                <w:szCs w:val="21"/>
                <w:lang w:eastAsia="zh-CN"/>
              </w:rPr>
              <w:t>每笔</w:t>
            </w:r>
            <w:r w:rsidRPr="0007297D">
              <w:rPr>
                <w:rFonts w:asciiTheme="minorEastAsia" w:hAnsiTheme="minorEastAsia"/>
                <w:sz w:val="21"/>
                <w:szCs w:val="21"/>
                <w:lang w:eastAsia="zh-CN"/>
              </w:rPr>
              <w:t>1000</w:t>
            </w:r>
            <w:r w:rsidRPr="0007297D">
              <w:rPr>
                <w:rFonts w:asciiTheme="minorEastAsia" w:hAnsiTheme="minorEastAsia" w:cs="宋体"/>
                <w:sz w:val="21"/>
                <w:szCs w:val="21"/>
                <w:lang w:eastAsia="zh-CN"/>
              </w:rPr>
              <w:t>元</w:t>
            </w:r>
          </w:p>
        </w:tc>
        <w:tc>
          <w:tcPr>
            <w:tcW w:w="2642" w:type="dxa"/>
            <w:tcBorders>
              <w:top w:val="single" w:sz="6" w:space="0" w:color="auto"/>
              <w:left w:val="single" w:sz="6" w:space="0" w:color="auto"/>
            </w:tcBorders>
            <w:tcMar>
              <w:top w:w="8" w:type="dxa"/>
              <w:left w:w="102" w:type="dxa"/>
              <w:bottom w:w="8" w:type="dxa"/>
              <w:right w:w="102" w:type="dxa"/>
            </w:tcMar>
            <w:vAlign w:val="center"/>
            <w:hideMark/>
          </w:tcPr>
          <w:p w:rsidR="001B073A" w:rsidRPr="0007297D" w:rsidRDefault="00774104">
            <w:pPr>
              <w:spacing w:line="360" w:lineRule="auto"/>
              <w:jc w:val="center"/>
              <w:rPr>
                <w:rFonts w:asciiTheme="minorEastAsia" w:hAnsiTheme="minorEastAsia"/>
                <w:sz w:val="21"/>
                <w:szCs w:val="21"/>
              </w:rPr>
            </w:pPr>
            <w:r w:rsidRPr="0007297D">
              <w:rPr>
                <w:rFonts w:asciiTheme="minorEastAsia" w:hAnsiTheme="minorEastAsia" w:cs="宋体"/>
                <w:sz w:val="21"/>
                <w:szCs w:val="21"/>
                <w:lang w:eastAsia="zh-CN"/>
              </w:rPr>
              <w:t>每笔</w:t>
            </w:r>
            <w:r w:rsidRPr="0007297D">
              <w:rPr>
                <w:rFonts w:asciiTheme="minorEastAsia" w:hAnsiTheme="minorEastAsia"/>
                <w:sz w:val="21"/>
                <w:szCs w:val="21"/>
                <w:lang w:eastAsia="zh-CN"/>
              </w:rPr>
              <w:t>1000</w:t>
            </w:r>
            <w:r w:rsidRPr="0007297D">
              <w:rPr>
                <w:rFonts w:asciiTheme="minorEastAsia" w:hAnsiTheme="minorEastAsia" w:cs="宋体"/>
                <w:sz w:val="21"/>
                <w:szCs w:val="21"/>
                <w:lang w:eastAsia="zh-CN"/>
              </w:rPr>
              <w:t>元</w:t>
            </w:r>
          </w:p>
        </w:tc>
      </w:tr>
    </w:tbl>
    <w:p w:rsidR="0007297D" w:rsidRDefault="0007297D" w:rsidP="0007297D">
      <w:pPr>
        <w:spacing w:line="360" w:lineRule="auto"/>
        <w:ind w:firstLine="550"/>
        <w:jc w:val="both"/>
        <w:rPr>
          <w:rFonts w:ascii="宋体" w:eastAsia="宋体" w:hAnsi="宋体" w:cs="宋体"/>
          <w:sz w:val="21"/>
          <w:szCs w:val="21"/>
          <w:lang w:eastAsia="zh-CN"/>
        </w:rPr>
      </w:pPr>
    </w:p>
    <w:p w:rsidR="0007297D" w:rsidRPr="0007297D" w:rsidRDefault="0007297D" w:rsidP="0007297D">
      <w:pPr>
        <w:spacing w:line="360" w:lineRule="auto"/>
        <w:ind w:firstLine="550"/>
        <w:jc w:val="both"/>
        <w:rPr>
          <w:rFonts w:ascii="宋体" w:eastAsia="宋体" w:hAnsi="宋体" w:cs="宋体"/>
          <w:sz w:val="21"/>
          <w:szCs w:val="21"/>
          <w:lang w:eastAsia="zh-CN"/>
        </w:rPr>
      </w:pPr>
      <w:r w:rsidRPr="0007297D">
        <w:rPr>
          <w:rFonts w:ascii="宋体" w:eastAsia="宋体" w:hAnsi="宋体" w:cs="宋体"/>
          <w:sz w:val="21"/>
          <w:szCs w:val="21"/>
          <w:lang w:eastAsia="zh-CN"/>
        </w:rPr>
        <w:t>本基金</w:t>
      </w:r>
      <w:r>
        <w:rPr>
          <w:rFonts w:ascii="宋体" w:eastAsia="宋体" w:hAnsi="宋体" w:cs="宋体"/>
          <w:sz w:val="21"/>
          <w:szCs w:val="21"/>
          <w:lang w:eastAsia="zh-CN"/>
        </w:rPr>
        <w:t>E</w:t>
      </w:r>
      <w:r w:rsidRPr="0007297D">
        <w:rPr>
          <w:rFonts w:ascii="宋体" w:eastAsia="宋体" w:hAnsi="宋体" w:cs="宋体"/>
          <w:sz w:val="21"/>
          <w:szCs w:val="21"/>
          <w:lang w:eastAsia="zh-CN"/>
        </w:rPr>
        <w:t>类基金份额的申购费率如下表所示：</w:t>
      </w:r>
    </w:p>
    <w:tbl>
      <w:tblPr>
        <w:tblW w:w="8018" w:type="dxa"/>
        <w:tblInd w:w="522"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tblPr>
      <w:tblGrid>
        <w:gridCol w:w="3283"/>
        <w:gridCol w:w="2409"/>
        <w:gridCol w:w="2326"/>
      </w:tblGrid>
      <w:tr w:rsidR="0007297D" w:rsidRPr="0007297D" w:rsidTr="003C270D">
        <w:trPr>
          <w:trHeight w:val="415"/>
        </w:trPr>
        <w:tc>
          <w:tcPr>
            <w:tcW w:w="3011" w:type="dxa"/>
            <w:tcBorders>
              <w:top w:val="single" w:sz="6" w:space="0" w:color="auto"/>
              <w:bottom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cs="宋体"/>
                <w:b/>
                <w:bCs/>
                <w:sz w:val="21"/>
                <w:szCs w:val="21"/>
                <w:lang w:eastAsia="zh-CN"/>
              </w:rPr>
              <w:t>申购金额</w:t>
            </w:r>
            <w:r w:rsidRPr="0007297D">
              <w:rPr>
                <w:rFonts w:asciiTheme="minorEastAsia" w:hAnsiTheme="minorEastAsia"/>
                <w:b/>
                <w:bCs/>
                <w:sz w:val="21"/>
                <w:szCs w:val="21"/>
                <w:lang w:eastAsia="zh-CN"/>
              </w:rPr>
              <w:t>M</w:t>
            </w:r>
            <w:r w:rsidRPr="0007297D">
              <w:rPr>
                <w:rFonts w:asciiTheme="minorEastAsia" w:hAnsiTheme="minorEastAsia" w:cs="宋体"/>
                <w:b/>
                <w:bCs/>
                <w:sz w:val="21"/>
                <w:szCs w:val="21"/>
                <w:lang w:eastAsia="zh-CN"/>
              </w:rPr>
              <w:t>（元）</w:t>
            </w:r>
          </w:p>
        </w:tc>
        <w:tc>
          <w:tcPr>
            <w:tcW w:w="2210" w:type="dxa"/>
            <w:tcBorders>
              <w:top w:val="single" w:sz="6" w:space="0" w:color="auto"/>
              <w:left w:val="single" w:sz="6" w:space="0" w:color="auto"/>
              <w:bottom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cs="宋体"/>
                <w:b/>
                <w:bCs/>
                <w:sz w:val="21"/>
                <w:szCs w:val="21"/>
                <w:lang w:eastAsia="zh-CN"/>
              </w:rPr>
              <w:t>一般申购费率</w:t>
            </w:r>
          </w:p>
        </w:tc>
        <w:tc>
          <w:tcPr>
            <w:tcW w:w="2134" w:type="dxa"/>
            <w:tcBorders>
              <w:top w:val="single" w:sz="6" w:space="0" w:color="auto"/>
              <w:left w:val="single" w:sz="6" w:space="0" w:color="auto"/>
              <w:bottom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cs="宋体"/>
                <w:b/>
                <w:bCs/>
                <w:sz w:val="21"/>
                <w:szCs w:val="21"/>
                <w:lang w:eastAsia="zh-CN"/>
              </w:rPr>
              <w:t>特定申购费率</w:t>
            </w:r>
          </w:p>
        </w:tc>
      </w:tr>
      <w:tr w:rsidR="0007297D" w:rsidRPr="0007297D" w:rsidTr="003C270D">
        <w:trPr>
          <w:trHeight w:val="415"/>
        </w:trPr>
        <w:tc>
          <w:tcPr>
            <w:tcW w:w="3011" w:type="dxa"/>
            <w:tcBorders>
              <w:top w:val="single" w:sz="6" w:space="0" w:color="auto"/>
              <w:bottom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M&lt;100</w:t>
            </w:r>
            <w:r w:rsidRPr="0007297D">
              <w:rPr>
                <w:rFonts w:asciiTheme="minorEastAsia" w:hAnsiTheme="minorEastAsia" w:cs="宋体"/>
                <w:sz w:val="21"/>
                <w:szCs w:val="21"/>
                <w:lang w:eastAsia="zh-CN"/>
              </w:rPr>
              <w:t>万</w:t>
            </w:r>
          </w:p>
        </w:tc>
        <w:tc>
          <w:tcPr>
            <w:tcW w:w="2210" w:type="dxa"/>
            <w:tcBorders>
              <w:top w:val="single" w:sz="6" w:space="0" w:color="auto"/>
              <w:left w:val="single" w:sz="6" w:space="0" w:color="auto"/>
              <w:bottom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0.50%</w:t>
            </w:r>
          </w:p>
        </w:tc>
        <w:tc>
          <w:tcPr>
            <w:tcW w:w="2134" w:type="dxa"/>
            <w:tcBorders>
              <w:top w:val="single" w:sz="6" w:space="0" w:color="auto"/>
              <w:left w:val="single" w:sz="6" w:space="0" w:color="auto"/>
              <w:bottom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0.20%</w:t>
            </w:r>
          </w:p>
        </w:tc>
      </w:tr>
      <w:tr w:rsidR="0007297D" w:rsidRPr="0007297D" w:rsidTr="003C270D">
        <w:trPr>
          <w:trHeight w:val="415"/>
        </w:trPr>
        <w:tc>
          <w:tcPr>
            <w:tcW w:w="3011" w:type="dxa"/>
            <w:tcBorders>
              <w:top w:val="single" w:sz="6" w:space="0" w:color="auto"/>
              <w:bottom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100</w:t>
            </w:r>
            <w:r w:rsidRPr="0007297D">
              <w:rPr>
                <w:rFonts w:asciiTheme="minorEastAsia" w:hAnsiTheme="minorEastAsia" w:cs="宋体"/>
                <w:sz w:val="21"/>
                <w:szCs w:val="21"/>
                <w:lang w:eastAsia="zh-CN"/>
              </w:rPr>
              <w:t>万</w:t>
            </w:r>
            <w:r w:rsidRPr="0007297D">
              <w:rPr>
                <w:rFonts w:asciiTheme="minorEastAsia" w:hAnsiTheme="minorEastAsia"/>
                <w:sz w:val="21"/>
                <w:szCs w:val="21"/>
                <w:lang w:eastAsia="zh-CN"/>
              </w:rPr>
              <w:t>≤ M &lt;500</w:t>
            </w:r>
            <w:r w:rsidRPr="0007297D">
              <w:rPr>
                <w:rFonts w:asciiTheme="minorEastAsia" w:hAnsiTheme="minorEastAsia" w:cs="宋体"/>
                <w:sz w:val="21"/>
                <w:szCs w:val="21"/>
                <w:lang w:eastAsia="zh-CN"/>
              </w:rPr>
              <w:t>万</w:t>
            </w:r>
          </w:p>
        </w:tc>
        <w:tc>
          <w:tcPr>
            <w:tcW w:w="2210" w:type="dxa"/>
            <w:tcBorders>
              <w:top w:val="single" w:sz="6" w:space="0" w:color="auto"/>
              <w:left w:val="single" w:sz="6" w:space="0" w:color="auto"/>
              <w:bottom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0.20%</w:t>
            </w:r>
          </w:p>
        </w:tc>
        <w:tc>
          <w:tcPr>
            <w:tcW w:w="2134" w:type="dxa"/>
            <w:tcBorders>
              <w:top w:val="single" w:sz="6" w:space="0" w:color="auto"/>
              <w:left w:val="single" w:sz="6" w:space="0" w:color="auto"/>
              <w:bottom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0.06%</w:t>
            </w:r>
          </w:p>
        </w:tc>
      </w:tr>
      <w:tr w:rsidR="0007297D" w:rsidRPr="0007297D" w:rsidTr="003C270D">
        <w:trPr>
          <w:trHeight w:val="415"/>
        </w:trPr>
        <w:tc>
          <w:tcPr>
            <w:tcW w:w="3011" w:type="dxa"/>
            <w:tcBorders>
              <w:top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M≥ 500</w:t>
            </w:r>
            <w:r w:rsidRPr="0007297D">
              <w:rPr>
                <w:rFonts w:asciiTheme="minorEastAsia" w:hAnsiTheme="minorEastAsia" w:cs="宋体"/>
                <w:sz w:val="21"/>
                <w:szCs w:val="21"/>
                <w:lang w:eastAsia="zh-CN"/>
              </w:rPr>
              <w:t>万</w:t>
            </w:r>
          </w:p>
        </w:tc>
        <w:tc>
          <w:tcPr>
            <w:tcW w:w="2210" w:type="dxa"/>
            <w:tcBorders>
              <w:top w:val="single" w:sz="6" w:space="0" w:color="auto"/>
              <w:left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cs="宋体"/>
                <w:sz w:val="21"/>
                <w:szCs w:val="21"/>
                <w:lang w:eastAsia="zh-CN"/>
              </w:rPr>
              <w:t>每笔</w:t>
            </w:r>
            <w:r w:rsidRPr="0007297D">
              <w:rPr>
                <w:rFonts w:asciiTheme="minorEastAsia" w:hAnsiTheme="minorEastAsia"/>
                <w:sz w:val="21"/>
                <w:szCs w:val="21"/>
                <w:lang w:eastAsia="zh-CN"/>
              </w:rPr>
              <w:t>1000</w:t>
            </w:r>
            <w:r w:rsidRPr="0007297D">
              <w:rPr>
                <w:rFonts w:asciiTheme="minorEastAsia" w:hAnsiTheme="minorEastAsia" w:cs="宋体"/>
                <w:sz w:val="21"/>
                <w:szCs w:val="21"/>
                <w:lang w:eastAsia="zh-CN"/>
              </w:rPr>
              <w:t>元</w:t>
            </w:r>
          </w:p>
        </w:tc>
        <w:tc>
          <w:tcPr>
            <w:tcW w:w="2134" w:type="dxa"/>
            <w:tcBorders>
              <w:top w:val="single" w:sz="6" w:space="0" w:color="auto"/>
              <w:lef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cs="宋体"/>
                <w:sz w:val="21"/>
                <w:szCs w:val="21"/>
                <w:lang w:eastAsia="zh-CN"/>
              </w:rPr>
              <w:t>每笔</w:t>
            </w:r>
            <w:r w:rsidRPr="0007297D">
              <w:rPr>
                <w:rFonts w:asciiTheme="minorEastAsia" w:hAnsiTheme="minorEastAsia"/>
                <w:sz w:val="21"/>
                <w:szCs w:val="21"/>
                <w:lang w:eastAsia="zh-CN"/>
              </w:rPr>
              <w:t>1000</w:t>
            </w:r>
            <w:r w:rsidRPr="0007297D">
              <w:rPr>
                <w:rFonts w:asciiTheme="minorEastAsia" w:hAnsiTheme="minorEastAsia" w:cs="宋体"/>
                <w:sz w:val="21"/>
                <w:szCs w:val="21"/>
                <w:lang w:eastAsia="zh-CN"/>
              </w:rPr>
              <w:t>元</w:t>
            </w:r>
          </w:p>
        </w:tc>
      </w:tr>
    </w:tbl>
    <w:p w:rsidR="001B073A" w:rsidRDefault="00774104">
      <w:pPr>
        <w:widowControl w:val="0"/>
        <w:spacing w:before="240" w:line="360" w:lineRule="auto"/>
        <w:jc w:val="both"/>
        <w:rPr>
          <w:rFonts w:ascii="宋体" w:eastAsia="宋体" w:hAnsi="宋体" w:cs="宋体"/>
          <w:sz w:val="21"/>
          <w:szCs w:val="21"/>
          <w:lang w:eastAsia="zh-CN"/>
        </w:rPr>
      </w:pPr>
      <w:r>
        <w:rPr>
          <w:rFonts w:ascii="宋体" w:eastAsia="宋体" w:hAnsi="宋体" w:cs="宋体"/>
          <w:sz w:val="21"/>
          <w:szCs w:val="21"/>
          <w:lang w:eastAsia="zh-CN"/>
        </w:rPr>
        <w:t>注：1、本基金的申购费用应在投资人申购A类</w:t>
      </w:r>
      <w:r w:rsidR="00177483">
        <w:rPr>
          <w:rFonts w:ascii="宋体" w:eastAsia="宋体" w:hAnsi="宋体" w:cs="宋体" w:hint="eastAsia"/>
          <w:sz w:val="21"/>
          <w:szCs w:val="21"/>
          <w:lang w:eastAsia="zh-CN"/>
        </w:rPr>
        <w:t>和</w:t>
      </w:r>
      <w:r w:rsidR="0007297D">
        <w:rPr>
          <w:rFonts w:ascii="宋体" w:eastAsia="宋体" w:hAnsi="宋体" w:cs="宋体" w:hint="eastAsia"/>
          <w:sz w:val="21"/>
          <w:szCs w:val="21"/>
          <w:lang w:eastAsia="zh-CN"/>
        </w:rPr>
        <w:t>E类</w:t>
      </w:r>
      <w:r>
        <w:rPr>
          <w:rFonts w:ascii="宋体" w:eastAsia="宋体" w:hAnsi="宋体" w:cs="宋体"/>
          <w:sz w:val="21"/>
          <w:szCs w:val="21"/>
          <w:lang w:eastAsia="zh-CN"/>
        </w:rPr>
        <w:t>基金份额时收取。投资人在一天之内如果有多笔申购，适用费率按单笔分别计算。</w:t>
      </w:r>
    </w:p>
    <w:p w:rsidR="001B073A" w:rsidRDefault="00774104">
      <w:pPr>
        <w:widowControl w:val="0"/>
        <w:spacing w:line="360" w:lineRule="auto"/>
        <w:jc w:val="both"/>
        <w:rPr>
          <w:rFonts w:ascii="宋体" w:eastAsia="宋体" w:hAnsi="宋体" w:cs="宋体"/>
          <w:sz w:val="21"/>
          <w:szCs w:val="21"/>
          <w:lang w:eastAsia="zh-CN"/>
        </w:rPr>
      </w:pPr>
      <w:r>
        <w:rPr>
          <w:rFonts w:ascii="宋体" w:eastAsia="宋体" w:hAnsi="宋体" w:cs="宋体"/>
          <w:sz w:val="21"/>
          <w:szCs w:val="21"/>
          <w:lang w:eastAsia="zh-CN"/>
        </w:rPr>
        <w:t>2、申购费用由申购A类</w:t>
      </w:r>
      <w:r w:rsidR="00177483">
        <w:rPr>
          <w:rFonts w:ascii="宋体" w:eastAsia="宋体" w:hAnsi="宋体" w:cs="宋体" w:hint="eastAsia"/>
          <w:sz w:val="21"/>
          <w:szCs w:val="21"/>
          <w:lang w:eastAsia="zh-CN"/>
        </w:rPr>
        <w:t>和</w:t>
      </w:r>
      <w:r w:rsidR="0007297D">
        <w:rPr>
          <w:rFonts w:ascii="宋体" w:eastAsia="宋体" w:hAnsi="宋体" w:cs="宋体" w:hint="eastAsia"/>
          <w:sz w:val="21"/>
          <w:szCs w:val="21"/>
          <w:lang w:eastAsia="zh-CN"/>
        </w:rPr>
        <w:t>E类</w:t>
      </w:r>
      <w:r>
        <w:rPr>
          <w:rFonts w:ascii="宋体" w:eastAsia="宋体" w:hAnsi="宋体" w:cs="宋体"/>
          <w:sz w:val="21"/>
          <w:szCs w:val="21"/>
          <w:lang w:eastAsia="zh-CN"/>
        </w:rPr>
        <w:t>基金份额的投资人承担，不列入基金财产，主要用于本基金的市场推广、销售、登记等各项费用。</w:t>
      </w:r>
    </w:p>
    <w:p w:rsidR="001B073A" w:rsidRDefault="00774104">
      <w:pPr>
        <w:widowControl w:val="0"/>
        <w:spacing w:line="360" w:lineRule="auto"/>
        <w:jc w:val="both"/>
        <w:rPr>
          <w:rFonts w:ascii="宋体" w:eastAsia="宋体" w:hAnsi="宋体" w:cs="宋体"/>
          <w:sz w:val="21"/>
          <w:szCs w:val="21"/>
          <w:lang w:eastAsia="zh-CN"/>
        </w:rPr>
      </w:pPr>
      <w:r>
        <w:rPr>
          <w:rFonts w:ascii="宋体" w:eastAsia="宋体" w:hAnsi="宋体" w:cs="宋体"/>
          <w:sz w:val="21"/>
          <w:szCs w:val="21"/>
          <w:lang w:eastAsia="zh-CN"/>
        </w:rPr>
        <w:t>3、本基金A类</w:t>
      </w:r>
      <w:r w:rsidR="0007297D">
        <w:rPr>
          <w:rFonts w:ascii="宋体" w:eastAsia="宋体" w:hAnsi="宋体" w:cs="宋体" w:hint="eastAsia"/>
          <w:sz w:val="21"/>
          <w:szCs w:val="21"/>
          <w:lang w:eastAsia="zh-CN"/>
        </w:rPr>
        <w:t>和E类</w:t>
      </w:r>
      <w:r>
        <w:rPr>
          <w:rFonts w:ascii="宋体" w:eastAsia="宋体" w:hAnsi="宋体" w:cs="宋体"/>
          <w:sz w:val="21"/>
          <w:szCs w:val="21"/>
          <w:lang w:eastAsia="zh-CN"/>
        </w:rPr>
        <w:t>基金份额对通过直销中心申购的养老金客户与除此之外的其他投资人实施差别的申购费率。通过基金管理人的直销中心申购本基金A类</w:t>
      </w:r>
      <w:r w:rsidR="00177483">
        <w:rPr>
          <w:rFonts w:ascii="宋体" w:eastAsia="宋体" w:hAnsi="宋体" w:cs="宋体" w:hint="eastAsia"/>
          <w:sz w:val="21"/>
          <w:szCs w:val="21"/>
          <w:lang w:eastAsia="zh-CN"/>
        </w:rPr>
        <w:t>和</w:t>
      </w:r>
      <w:r w:rsidR="0007297D">
        <w:rPr>
          <w:rFonts w:ascii="宋体" w:eastAsia="宋体" w:hAnsi="宋体" w:cs="宋体" w:hint="eastAsia"/>
          <w:sz w:val="21"/>
          <w:szCs w:val="21"/>
          <w:lang w:eastAsia="zh-CN"/>
        </w:rPr>
        <w:t>E类</w:t>
      </w:r>
      <w:r>
        <w:rPr>
          <w:rFonts w:ascii="宋体" w:eastAsia="宋体" w:hAnsi="宋体" w:cs="宋体"/>
          <w:sz w:val="21"/>
          <w:szCs w:val="21"/>
          <w:lang w:eastAsia="zh-CN"/>
        </w:rPr>
        <w:t>基金份额的养老金客户适用特定申购费率，其他投资人申购本基金A类</w:t>
      </w:r>
      <w:r w:rsidR="00177483">
        <w:rPr>
          <w:rFonts w:ascii="宋体" w:eastAsia="宋体" w:hAnsi="宋体" w:cs="宋体" w:hint="eastAsia"/>
          <w:sz w:val="21"/>
          <w:szCs w:val="21"/>
          <w:lang w:eastAsia="zh-CN"/>
        </w:rPr>
        <w:t>和</w:t>
      </w:r>
      <w:r w:rsidR="0007297D">
        <w:rPr>
          <w:rFonts w:ascii="宋体" w:eastAsia="宋体" w:hAnsi="宋体" w:cs="宋体" w:hint="eastAsia"/>
          <w:sz w:val="21"/>
          <w:szCs w:val="21"/>
          <w:lang w:eastAsia="zh-CN"/>
        </w:rPr>
        <w:t>E类</w:t>
      </w:r>
      <w:r>
        <w:rPr>
          <w:rFonts w:ascii="宋体" w:eastAsia="宋体" w:hAnsi="宋体" w:cs="宋体"/>
          <w:sz w:val="21"/>
          <w:szCs w:val="21"/>
          <w:lang w:eastAsia="zh-CN"/>
        </w:rPr>
        <w:t>基金份额的适用一般申购费率。养老金客户指基本养老基金与依法成立的养老计划筹集的资金及其投资运营收益形成的补充养老基金等，包括但不限于全国社会保障基金、可以投资基金的地方社会保险基金、企业年金单一计划以及集合计划、商业养老保险组合。如将来出现经养老基金监管部门认可的新的养老基金类型，基金管理人可在招募说明书更新时或发布临时公告将其纳入养老金客户范围。非养老金客户指除养老金客户外的其他投资人。</w:t>
      </w:r>
    </w:p>
    <w:p w:rsidR="001B073A" w:rsidRDefault="00774104">
      <w:pPr>
        <w:pStyle w:val="2"/>
        <w:keepLines/>
        <w:widowControl w:val="0"/>
        <w:spacing w:before="156" w:after="156"/>
        <w:jc w:val="both"/>
        <w:rPr>
          <w:rFonts w:ascii="Times New Roman" w:hAnsi="Times New Roman" w:cs="Times New Roman"/>
          <w:lang w:eastAsia="zh-CN"/>
        </w:rPr>
      </w:pPr>
      <w:r>
        <w:rPr>
          <w:rFonts w:ascii="宋体" w:eastAsia="宋体" w:hAnsi="宋体" w:cs="宋体"/>
          <w:i w:val="0"/>
          <w:iCs w:val="0"/>
          <w:sz w:val="24"/>
          <w:szCs w:val="24"/>
          <w:lang w:eastAsia="zh-CN"/>
        </w:rPr>
        <w:t>4 赎回业务</w:t>
      </w:r>
    </w:p>
    <w:p w:rsidR="001B073A" w:rsidRDefault="00774104">
      <w:pPr>
        <w:widowControl w:val="0"/>
        <w:spacing w:before="156" w:after="156"/>
        <w:rPr>
          <w:lang w:eastAsia="zh-CN"/>
        </w:rPr>
      </w:pPr>
      <w:r>
        <w:rPr>
          <w:rFonts w:ascii="宋体" w:eastAsia="宋体" w:hAnsi="宋体" w:cs="宋体"/>
          <w:b/>
          <w:bCs/>
          <w:lang w:eastAsia="zh-CN"/>
        </w:rPr>
        <w:t>4.1 赎回份额限制</w:t>
      </w:r>
    </w:p>
    <w:p w:rsidR="001B073A" w:rsidRDefault="00774104">
      <w:pPr>
        <w:widowControl w:val="0"/>
        <w:spacing w:line="360" w:lineRule="auto"/>
        <w:ind w:firstLine="420"/>
        <w:rPr>
          <w:sz w:val="21"/>
          <w:szCs w:val="21"/>
          <w:lang w:eastAsia="zh-CN"/>
        </w:rPr>
      </w:pPr>
      <w:r>
        <w:rPr>
          <w:rFonts w:ascii="宋体" w:eastAsia="宋体" w:hAnsi="宋体" w:cs="宋体"/>
          <w:sz w:val="21"/>
          <w:szCs w:val="21"/>
          <w:lang w:eastAsia="zh-CN"/>
        </w:rPr>
        <w:t>投资人赎回本基金份额时，可申请将其持有的部分或全部基金份额赎回，赎回时单笔最低赎回基金份额为1份；账户最低余额为1份基金份额，若某笔赎回将导致投资人在销售机构托管的单只基金份额余额不足1份时，该笔赎回业务应包括账户内全部基金份额，否则，剩余部分的基金份额将被强制赎回。</w:t>
      </w:r>
    </w:p>
    <w:p w:rsidR="001B073A" w:rsidRDefault="00774104">
      <w:pPr>
        <w:widowControl w:val="0"/>
        <w:spacing w:before="156" w:after="156"/>
        <w:jc w:val="both"/>
        <w:rPr>
          <w:lang w:eastAsia="zh-CN"/>
        </w:rPr>
      </w:pPr>
      <w:r>
        <w:rPr>
          <w:rFonts w:ascii="宋体" w:eastAsia="宋体" w:hAnsi="宋体" w:cs="宋体"/>
          <w:b/>
          <w:bCs/>
          <w:lang w:eastAsia="zh-CN"/>
        </w:rPr>
        <w:t>4.2赎回费率</w:t>
      </w:r>
    </w:p>
    <w:p w:rsidR="001B073A" w:rsidRPr="0007297D" w:rsidRDefault="00774104">
      <w:pPr>
        <w:widowControl w:val="0"/>
        <w:spacing w:before="156" w:after="156"/>
        <w:ind w:firstLine="550"/>
        <w:jc w:val="both"/>
        <w:rPr>
          <w:rFonts w:asciiTheme="minorEastAsia" w:hAnsiTheme="minorEastAsia"/>
          <w:sz w:val="21"/>
          <w:szCs w:val="21"/>
          <w:lang w:eastAsia="zh-CN"/>
        </w:rPr>
      </w:pPr>
      <w:r w:rsidRPr="0007297D">
        <w:rPr>
          <w:rFonts w:asciiTheme="minorEastAsia" w:hAnsiTheme="minorEastAsia" w:cs="宋体"/>
          <w:sz w:val="21"/>
          <w:szCs w:val="21"/>
          <w:lang w:eastAsia="zh-CN"/>
        </w:rPr>
        <w:t>本基金的赎回费率如下表所示（</w:t>
      </w:r>
      <w:r w:rsidRPr="0007297D">
        <w:rPr>
          <w:rFonts w:asciiTheme="minorEastAsia" w:hAnsiTheme="minorEastAsia"/>
          <w:sz w:val="21"/>
          <w:szCs w:val="21"/>
          <w:lang w:eastAsia="zh-CN"/>
        </w:rPr>
        <w:t>A</w:t>
      </w:r>
      <w:r w:rsidRPr="0007297D">
        <w:rPr>
          <w:rFonts w:asciiTheme="minorEastAsia" w:hAnsiTheme="minorEastAsia" w:cs="宋体"/>
          <w:sz w:val="21"/>
          <w:szCs w:val="21"/>
          <w:lang w:eastAsia="zh-CN"/>
        </w:rPr>
        <w:t>类和</w:t>
      </w:r>
      <w:r w:rsidRPr="0007297D">
        <w:rPr>
          <w:rFonts w:asciiTheme="minorEastAsia" w:hAnsiTheme="minorEastAsia"/>
          <w:sz w:val="21"/>
          <w:szCs w:val="21"/>
          <w:lang w:eastAsia="zh-CN"/>
        </w:rPr>
        <w:t>C</w:t>
      </w:r>
      <w:r w:rsidRPr="0007297D">
        <w:rPr>
          <w:rFonts w:asciiTheme="minorEastAsia" w:hAnsiTheme="minorEastAsia" w:cs="宋体"/>
          <w:sz w:val="21"/>
          <w:szCs w:val="21"/>
          <w:lang w:eastAsia="zh-CN"/>
        </w:rPr>
        <w:t>类基金份额适用相同的赎回费率）：</w:t>
      </w:r>
    </w:p>
    <w:tbl>
      <w:tblPr>
        <w:tblW w:w="0" w:type="auto"/>
        <w:tblInd w:w="63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162"/>
        <w:gridCol w:w="3040"/>
      </w:tblGrid>
      <w:tr w:rsidR="001B073A" w:rsidRPr="0007297D">
        <w:trPr>
          <w:trHeight w:val="461"/>
        </w:trPr>
        <w:tc>
          <w:tcPr>
            <w:tcW w:w="3162" w:type="dxa"/>
            <w:tcBorders>
              <w:bottom w:val="single" w:sz="6" w:space="0" w:color="auto"/>
              <w:right w:val="single" w:sz="6" w:space="0" w:color="auto"/>
            </w:tcBorders>
            <w:tcMar>
              <w:top w:w="8" w:type="dxa"/>
              <w:left w:w="102" w:type="dxa"/>
              <w:bottom w:w="8" w:type="dxa"/>
              <w:right w:w="102" w:type="dxa"/>
            </w:tcMar>
            <w:vAlign w:val="center"/>
            <w:hideMark/>
          </w:tcPr>
          <w:p w:rsidR="001B073A" w:rsidRPr="0007297D" w:rsidRDefault="00774104" w:rsidP="0007297D">
            <w:pPr>
              <w:jc w:val="center"/>
              <w:rPr>
                <w:rFonts w:asciiTheme="minorEastAsia" w:hAnsiTheme="minorEastAsia"/>
                <w:sz w:val="21"/>
                <w:szCs w:val="21"/>
              </w:rPr>
            </w:pPr>
            <w:r w:rsidRPr="0007297D">
              <w:rPr>
                <w:rFonts w:asciiTheme="minorEastAsia" w:hAnsiTheme="minorEastAsia" w:cs="宋体"/>
                <w:b/>
                <w:bCs/>
                <w:sz w:val="21"/>
                <w:szCs w:val="21"/>
                <w:lang w:eastAsia="zh-CN"/>
              </w:rPr>
              <w:t>持有期限（</w:t>
            </w:r>
            <w:r w:rsidRPr="0007297D">
              <w:rPr>
                <w:rFonts w:asciiTheme="minorEastAsia" w:hAnsiTheme="minorEastAsia"/>
                <w:b/>
                <w:bCs/>
                <w:sz w:val="21"/>
                <w:szCs w:val="21"/>
                <w:lang w:eastAsia="zh-CN"/>
              </w:rPr>
              <w:t>T</w:t>
            </w:r>
            <w:r w:rsidRPr="0007297D">
              <w:rPr>
                <w:rFonts w:asciiTheme="minorEastAsia" w:hAnsiTheme="minorEastAsia" w:cs="宋体"/>
                <w:b/>
                <w:bCs/>
                <w:sz w:val="21"/>
                <w:szCs w:val="21"/>
                <w:lang w:eastAsia="zh-CN"/>
              </w:rPr>
              <w:t>）</w:t>
            </w:r>
          </w:p>
        </w:tc>
        <w:tc>
          <w:tcPr>
            <w:tcW w:w="3040" w:type="dxa"/>
            <w:tcBorders>
              <w:left w:val="single" w:sz="6" w:space="0" w:color="auto"/>
              <w:bottom w:val="single" w:sz="6" w:space="0" w:color="auto"/>
            </w:tcBorders>
            <w:tcMar>
              <w:top w:w="8" w:type="dxa"/>
              <w:left w:w="102" w:type="dxa"/>
              <w:bottom w:w="8" w:type="dxa"/>
              <w:right w:w="102" w:type="dxa"/>
            </w:tcMar>
            <w:vAlign w:val="center"/>
            <w:hideMark/>
          </w:tcPr>
          <w:p w:rsidR="001B073A" w:rsidRPr="0007297D" w:rsidRDefault="00774104" w:rsidP="0007297D">
            <w:pPr>
              <w:jc w:val="center"/>
              <w:rPr>
                <w:rFonts w:asciiTheme="minorEastAsia" w:hAnsiTheme="minorEastAsia"/>
                <w:sz w:val="21"/>
                <w:szCs w:val="21"/>
              </w:rPr>
            </w:pPr>
            <w:r w:rsidRPr="0007297D">
              <w:rPr>
                <w:rFonts w:asciiTheme="minorEastAsia" w:hAnsiTheme="minorEastAsia" w:cs="宋体"/>
                <w:b/>
                <w:bCs/>
                <w:sz w:val="21"/>
                <w:szCs w:val="21"/>
                <w:lang w:eastAsia="zh-CN"/>
              </w:rPr>
              <w:t>赎回费率</w:t>
            </w:r>
          </w:p>
        </w:tc>
      </w:tr>
      <w:tr w:rsidR="001B073A" w:rsidRPr="0007297D">
        <w:trPr>
          <w:trHeight w:val="461"/>
        </w:trPr>
        <w:tc>
          <w:tcPr>
            <w:tcW w:w="3162" w:type="dxa"/>
            <w:tcBorders>
              <w:top w:val="single" w:sz="6" w:space="0" w:color="auto"/>
              <w:bottom w:val="single" w:sz="6" w:space="0" w:color="auto"/>
              <w:right w:val="single" w:sz="6" w:space="0" w:color="auto"/>
            </w:tcBorders>
            <w:tcMar>
              <w:top w:w="8" w:type="dxa"/>
              <w:left w:w="102" w:type="dxa"/>
              <w:bottom w:w="8" w:type="dxa"/>
              <w:right w:w="102" w:type="dxa"/>
            </w:tcMar>
            <w:vAlign w:val="center"/>
            <w:hideMark/>
          </w:tcPr>
          <w:p w:rsidR="001B073A" w:rsidRPr="0007297D" w:rsidRDefault="00774104" w:rsidP="0007297D">
            <w:pPr>
              <w:jc w:val="center"/>
              <w:rPr>
                <w:rFonts w:asciiTheme="minorEastAsia" w:hAnsiTheme="minorEastAsia"/>
                <w:sz w:val="21"/>
                <w:szCs w:val="21"/>
              </w:rPr>
            </w:pPr>
            <w:r w:rsidRPr="0007297D">
              <w:rPr>
                <w:rFonts w:asciiTheme="minorEastAsia" w:hAnsiTheme="minorEastAsia"/>
                <w:sz w:val="21"/>
                <w:szCs w:val="21"/>
                <w:lang w:eastAsia="zh-CN"/>
              </w:rPr>
              <w:t>T</w:t>
            </w:r>
            <w:r w:rsidRPr="0007297D">
              <w:rPr>
                <w:rFonts w:asciiTheme="minorEastAsia" w:hAnsiTheme="minorEastAsia" w:cs="宋体"/>
                <w:sz w:val="21"/>
                <w:szCs w:val="21"/>
                <w:lang w:eastAsia="zh-CN"/>
              </w:rPr>
              <w:t>＜</w:t>
            </w:r>
            <w:r w:rsidRPr="0007297D">
              <w:rPr>
                <w:rFonts w:asciiTheme="minorEastAsia" w:hAnsiTheme="minorEastAsia"/>
                <w:sz w:val="21"/>
                <w:szCs w:val="21"/>
                <w:lang w:eastAsia="zh-CN"/>
              </w:rPr>
              <w:t>7</w:t>
            </w:r>
            <w:r w:rsidRPr="0007297D">
              <w:rPr>
                <w:rFonts w:asciiTheme="minorEastAsia" w:hAnsiTheme="minorEastAsia" w:cs="宋体"/>
                <w:sz w:val="21"/>
                <w:szCs w:val="21"/>
                <w:lang w:eastAsia="zh-CN"/>
              </w:rPr>
              <w:t>天</w:t>
            </w:r>
          </w:p>
        </w:tc>
        <w:tc>
          <w:tcPr>
            <w:tcW w:w="3040" w:type="dxa"/>
            <w:tcBorders>
              <w:top w:val="single" w:sz="6" w:space="0" w:color="auto"/>
              <w:left w:val="single" w:sz="6" w:space="0" w:color="auto"/>
              <w:bottom w:val="single" w:sz="6" w:space="0" w:color="auto"/>
            </w:tcBorders>
            <w:tcMar>
              <w:top w:w="8" w:type="dxa"/>
              <w:left w:w="102" w:type="dxa"/>
              <w:bottom w:w="8" w:type="dxa"/>
              <w:right w:w="102" w:type="dxa"/>
            </w:tcMar>
            <w:vAlign w:val="center"/>
            <w:hideMark/>
          </w:tcPr>
          <w:p w:rsidR="001B073A" w:rsidRPr="0007297D" w:rsidRDefault="00774104" w:rsidP="0007297D">
            <w:pPr>
              <w:jc w:val="center"/>
              <w:rPr>
                <w:rFonts w:asciiTheme="minorEastAsia" w:hAnsiTheme="minorEastAsia"/>
                <w:sz w:val="21"/>
                <w:szCs w:val="21"/>
              </w:rPr>
            </w:pPr>
            <w:r w:rsidRPr="0007297D">
              <w:rPr>
                <w:rFonts w:asciiTheme="minorEastAsia" w:hAnsiTheme="minorEastAsia"/>
                <w:sz w:val="21"/>
                <w:szCs w:val="21"/>
                <w:lang w:eastAsia="zh-CN"/>
              </w:rPr>
              <w:t>1.50%</w:t>
            </w:r>
          </w:p>
        </w:tc>
      </w:tr>
      <w:tr w:rsidR="001B073A" w:rsidRPr="0007297D">
        <w:trPr>
          <w:trHeight w:val="461"/>
        </w:trPr>
        <w:tc>
          <w:tcPr>
            <w:tcW w:w="3162" w:type="dxa"/>
            <w:tcBorders>
              <w:top w:val="single" w:sz="6" w:space="0" w:color="auto"/>
              <w:bottom w:val="single" w:sz="6" w:space="0" w:color="auto"/>
              <w:right w:val="single" w:sz="6" w:space="0" w:color="auto"/>
            </w:tcBorders>
            <w:tcMar>
              <w:top w:w="8" w:type="dxa"/>
              <w:left w:w="102" w:type="dxa"/>
              <w:bottom w:w="8" w:type="dxa"/>
              <w:right w:w="102" w:type="dxa"/>
            </w:tcMar>
            <w:vAlign w:val="center"/>
            <w:hideMark/>
          </w:tcPr>
          <w:p w:rsidR="001B073A" w:rsidRPr="0007297D" w:rsidRDefault="00774104" w:rsidP="0007297D">
            <w:pPr>
              <w:jc w:val="center"/>
              <w:rPr>
                <w:rFonts w:asciiTheme="minorEastAsia" w:hAnsiTheme="minorEastAsia"/>
                <w:sz w:val="21"/>
                <w:szCs w:val="21"/>
              </w:rPr>
            </w:pPr>
            <w:r w:rsidRPr="0007297D">
              <w:rPr>
                <w:rFonts w:asciiTheme="minorEastAsia" w:hAnsiTheme="minorEastAsia"/>
                <w:sz w:val="21"/>
                <w:szCs w:val="21"/>
                <w:lang w:eastAsia="zh-CN"/>
              </w:rPr>
              <w:t>7</w:t>
            </w:r>
            <w:r w:rsidRPr="0007297D">
              <w:rPr>
                <w:rFonts w:asciiTheme="minorEastAsia" w:hAnsiTheme="minorEastAsia" w:cs="宋体"/>
                <w:sz w:val="21"/>
                <w:szCs w:val="21"/>
                <w:lang w:eastAsia="zh-CN"/>
              </w:rPr>
              <w:t>天</w:t>
            </w:r>
            <w:r w:rsidRPr="0007297D">
              <w:rPr>
                <w:rFonts w:asciiTheme="minorEastAsia" w:hAnsiTheme="minorEastAsia"/>
                <w:sz w:val="21"/>
                <w:szCs w:val="21"/>
                <w:lang w:eastAsia="zh-CN"/>
              </w:rPr>
              <w:t>≤T&lt;30</w:t>
            </w:r>
            <w:r w:rsidRPr="0007297D">
              <w:rPr>
                <w:rFonts w:asciiTheme="minorEastAsia" w:hAnsiTheme="minorEastAsia" w:cs="宋体"/>
                <w:sz w:val="21"/>
                <w:szCs w:val="21"/>
                <w:lang w:eastAsia="zh-CN"/>
              </w:rPr>
              <w:t>天</w:t>
            </w:r>
          </w:p>
        </w:tc>
        <w:tc>
          <w:tcPr>
            <w:tcW w:w="3040" w:type="dxa"/>
            <w:tcBorders>
              <w:top w:val="single" w:sz="6" w:space="0" w:color="auto"/>
              <w:left w:val="single" w:sz="6" w:space="0" w:color="auto"/>
              <w:bottom w:val="single" w:sz="6" w:space="0" w:color="auto"/>
            </w:tcBorders>
            <w:tcMar>
              <w:top w:w="8" w:type="dxa"/>
              <w:left w:w="102" w:type="dxa"/>
              <w:bottom w:w="8" w:type="dxa"/>
              <w:right w:w="102" w:type="dxa"/>
            </w:tcMar>
            <w:vAlign w:val="center"/>
            <w:hideMark/>
          </w:tcPr>
          <w:p w:rsidR="001B073A" w:rsidRPr="0007297D" w:rsidRDefault="00774104" w:rsidP="0007297D">
            <w:pPr>
              <w:jc w:val="center"/>
              <w:rPr>
                <w:rFonts w:asciiTheme="minorEastAsia" w:hAnsiTheme="minorEastAsia"/>
                <w:sz w:val="21"/>
                <w:szCs w:val="21"/>
              </w:rPr>
            </w:pPr>
            <w:r w:rsidRPr="0007297D">
              <w:rPr>
                <w:rFonts w:asciiTheme="minorEastAsia" w:hAnsiTheme="minorEastAsia"/>
                <w:sz w:val="21"/>
                <w:szCs w:val="21"/>
                <w:lang w:eastAsia="zh-CN"/>
              </w:rPr>
              <w:t>0.50%</w:t>
            </w:r>
          </w:p>
        </w:tc>
      </w:tr>
      <w:tr w:rsidR="001B073A" w:rsidRPr="0007297D">
        <w:trPr>
          <w:trHeight w:val="461"/>
        </w:trPr>
        <w:tc>
          <w:tcPr>
            <w:tcW w:w="3162" w:type="dxa"/>
            <w:tcBorders>
              <w:top w:val="single" w:sz="6" w:space="0" w:color="auto"/>
              <w:right w:val="single" w:sz="6" w:space="0" w:color="auto"/>
            </w:tcBorders>
            <w:tcMar>
              <w:top w:w="8" w:type="dxa"/>
              <w:left w:w="102" w:type="dxa"/>
              <w:bottom w:w="8" w:type="dxa"/>
              <w:right w:w="102" w:type="dxa"/>
            </w:tcMar>
            <w:vAlign w:val="center"/>
            <w:hideMark/>
          </w:tcPr>
          <w:p w:rsidR="001B073A" w:rsidRPr="0007297D" w:rsidRDefault="00774104" w:rsidP="0007297D">
            <w:pPr>
              <w:jc w:val="center"/>
              <w:rPr>
                <w:rFonts w:asciiTheme="minorEastAsia" w:hAnsiTheme="minorEastAsia"/>
                <w:sz w:val="21"/>
                <w:szCs w:val="21"/>
              </w:rPr>
            </w:pPr>
            <w:r w:rsidRPr="0007297D">
              <w:rPr>
                <w:rFonts w:asciiTheme="minorEastAsia" w:hAnsiTheme="minorEastAsia"/>
                <w:sz w:val="21"/>
                <w:szCs w:val="21"/>
                <w:lang w:eastAsia="zh-CN"/>
              </w:rPr>
              <w:t>T≥30</w:t>
            </w:r>
            <w:r w:rsidRPr="0007297D">
              <w:rPr>
                <w:rFonts w:asciiTheme="minorEastAsia" w:hAnsiTheme="minorEastAsia" w:cs="宋体"/>
                <w:sz w:val="21"/>
                <w:szCs w:val="21"/>
                <w:lang w:eastAsia="zh-CN"/>
              </w:rPr>
              <w:t>天</w:t>
            </w:r>
          </w:p>
        </w:tc>
        <w:tc>
          <w:tcPr>
            <w:tcW w:w="3040" w:type="dxa"/>
            <w:tcBorders>
              <w:top w:val="single" w:sz="6" w:space="0" w:color="auto"/>
              <w:left w:val="single" w:sz="6" w:space="0" w:color="auto"/>
            </w:tcBorders>
            <w:tcMar>
              <w:top w:w="8" w:type="dxa"/>
              <w:left w:w="102" w:type="dxa"/>
              <w:bottom w:w="8" w:type="dxa"/>
              <w:right w:w="102" w:type="dxa"/>
            </w:tcMar>
            <w:vAlign w:val="center"/>
            <w:hideMark/>
          </w:tcPr>
          <w:p w:rsidR="001B073A" w:rsidRPr="0007297D" w:rsidRDefault="00774104" w:rsidP="0007297D">
            <w:pPr>
              <w:jc w:val="center"/>
              <w:rPr>
                <w:rFonts w:asciiTheme="minorEastAsia" w:hAnsiTheme="minorEastAsia"/>
                <w:sz w:val="21"/>
                <w:szCs w:val="21"/>
              </w:rPr>
            </w:pPr>
            <w:r w:rsidRPr="0007297D">
              <w:rPr>
                <w:rFonts w:asciiTheme="minorEastAsia" w:hAnsiTheme="minorEastAsia"/>
                <w:sz w:val="21"/>
                <w:szCs w:val="21"/>
                <w:lang w:eastAsia="zh-CN"/>
              </w:rPr>
              <w:t>0</w:t>
            </w:r>
          </w:p>
        </w:tc>
      </w:tr>
    </w:tbl>
    <w:p w:rsidR="001B073A" w:rsidRDefault="00774104">
      <w:pPr>
        <w:spacing w:before="240"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本基金的</w:t>
      </w:r>
      <w:r>
        <w:rPr>
          <w:sz w:val="21"/>
          <w:szCs w:val="21"/>
          <w:lang w:eastAsia="zh-CN"/>
        </w:rPr>
        <w:t>E</w:t>
      </w:r>
      <w:r>
        <w:rPr>
          <w:rFonts w:ascii="宋体" w:eastAsia="宋体" w:hAnsi="宋体" w:cs="宋体"/>
          <w:sz w:val="21"/>
          <w:szCs w:val="21"/>
          <w:lang w:eastAsia="zh-CN"/>
        </w:rPr>
        <w:t>类基金份额赎回费率如下表所示：</w:t>
      </w:r>
    </w:p>
    <w:tbl>
      <w:tblPr>
        <w:tblW w:w="0" w:type="auto"/>
        <w:tblInd w:w="630"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tblPr>
      <w:tblGrid>
        <w:gridCol w:w="3162"/>
        <w:gridCol w:w="3040"/>
      </w:tblGrid>
      <w:tr w:rsidR="0007297D" w:rsidRPr="0007297D" w:rsidTr="003C270D">
        <w:trPr>
          <w:trHeight w:val="461"/>
        </w:trPr>
        <w:tc>
          <w:tcPr>
            <w:tcW w:w="3162" w:type="dxa"/>
            <w:tcBorders>
              <w:bottom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cs="宋体"/>
                <w:b/>
                <w:bCs/>
                <w:sz w:val="21"/>
                <w:szCs w:val="21"/>
                <w:lang w:eastAsia="zh-CN"/>
              </w:rPr>
              <w:t>持有期限（</w:t>
            </w:r>
            <w:r w:rsidRPr="0007297D">
              <w:rPr>
                <w:rFonts w:asciiTheme="minorEastAsia" w:hAnsiTheme="minorEastAsia"/>
                <w:b/>
                <w:bCs/>
                <w:sz w:val="21"/>
                <w:szCs w:val="21"/>
                <w:lang w:eastAsia="zh-CN"/>
              </w:rPr>
              <w:t>T</w:t>
            </w:r>
            <w:r w:rsidRPr="0007297D">
              <w:rPr>
                <w:rFonts w:asciiTheme="minorEastAsia" w:hAnsiTheme="minorEastAsia" w:cs="宋体"/>
                <w:b/>
                <w:bCs/>
                <w:sz w:val="21"/>
                <w:szCs w:val="21"/>
                <w:lang w:eastAsia="zh-CN"/>
              </w:rPr>
              <w:t>）</w:t>
            </w:r>
          </w:p>
        </w:tc>
        <w:tc>
          <w:tcPr>
            <w:tcW w:w="3040" w:type="dxa"/>
            <w:tcBorders>
              <w:left w:val="single" w:sz="6" w:space="0" w:color="auto"/>
              <w:bottom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cs="宋体"/>
                <w:b/>
                <w:bCs/>
                <w:sz w:val="21"/>
                <w:szCs w:val="21"/>
                <w:lang w:eastAsia="zh-CN"/>
              </w:rPr>
              <w:t>赎回费率</w:t>
            </w:r>
          </w:p>
        </w:tc>
      </w:tr>
      <w:tr w:rsidR="0007297D" w:rsidRPr="0007297D" w:rsidTr="003C270D">
        <w:trPr>
          <w:trHeight w:val="461"/>
        </w:trPr>
        <w:tc>
          <w:tcPr>
            <w:tcW w:w="3162" w:type="dxa"/>
            <w:tcBorders>
              <w:top w:val="single" w:sz="6" w:space="0" w:color="auto"/>
              <w:bottom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T</w:t>
            </w:r>
            <w:r w:rsidRPr="0007297D">
              <w:rPr>
                <w:rFonts w:asciiTheme="minorEastAsia" w:hAnsiTheme="minorEastAsia" w:cs="宋体"/>
                <w:sz w:val="21"/>
                <w:szCs w:val="21"/>
                <w:lang w:eastAsia="zh-CN"/>
              </w:rPr>
              <w:t>＜</w:t>
            </w:r>
            <w:r w:rsidRPr="0007297D">
              <w:rPr>
                <w:rFonts w:asciiTheme="minorEastAsia" w:hAnsiTheme="minorEastAsia"/>
                <w:sz w:val="21"/>
                <w:szCs w:val="21"/>
                <w:lang w:eastAsia="zh-CN"/>
              </w:rPr>
              <w:t>7</w:t>
            </w:r>
            <w:r w:rsidRPr="0007297D">
              <w:rPr>
                <w:rFonts w:asciiTheme="minorEastAsia" w:hAnsiTheme="minorEastAsia" w:cs="宋体"/>
                <w:sz w:val="21"/>
                <w:szCs w:val="21"/>
                <w:lang w:eastAsia="zh-CN"/>
              </w:rPr>
              <w:t>天</w:t>
            </w:r>
          </w:p>
        </w:tc>
        <w:tc>
          <w:tcPr>
            <w:tcW w:w="3040" w:type="dxa"/>
            <w:tcBorders>
              <w:top w:val="single" w:sz="6" w:space="0" w:color="auto"/>
              <w:left w:val="single" w:sz="6" w:space="0" w:color="auto"/>
              <w:bottom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1.50%</w:t>
            </w:r>
          </w:p>
        </w:tc>
      </w:tr>
      <w:tr w:rsidR="0007297D" w:rsidRPr="0007297D" w:rsidTr="003C270D">
        <w:trPr>
          <w:trHeight w:val="461"/>
        </w:trPr>
        <w:tc>
          <w:tcPr>
            <w:tcW w:w="3162" w:type="dxa"/>
            <w:tcBorders>
              <w:top w:val="single" w:sz="6" w:space="0" w:color="auto"/>
              <w:righ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T≥7</w:t>
            </w:r>
            <w:r w:rsidRPr="0007297D">
              <w:rPr>
                <w:rFonts w:asciiTheme="minorEastAsia" w:hAnsiTheme="minorEastAsia" w:cs="宋体"/>
                <w:sz w:val="21"/>
                <w:szCs w:val="21"/>
                <w:lang w:eastAsia="zh-CN"/>
              </w:rPr>
              <w:t>天</w:t>
            </w:r>
          </w:p>
        </w:tc>
        <w:tc>
          <w:tcPr>
            <w:tcW w:w="3040" w:type="dxa"/>
            <w:tcBorders>
              <w:top w:val="single" w:sz="6" w:space="0" w:color="auto"/>
              <w:left w:val="single" w:sz="6" w:space="0" w:color="auto"/>
            </w:tcBorders>
            <w:tcMar>
              <w:top w:w="8" w:type="dxa"/>
              <w:left w:w="102" w:type="dxa"/>
              <w:bottom w:w="8" w:type="dxa"/>
              <w:right w:w="102" w:type="dxa"/>
            </w:tcMar>
            <w:vAlign w:val="center"/>
            <w:hideMark/>
          </w:tcPr>
          <w:p w:rsidR="0007297D" w:rsidRPr="0007297D" w:rsidRDefault="0007297D" w:rsidP="003C270D">
            <w:pPr>
              <w:spacing w:line="360" w:lineRule="auto"/>
              <w:jc w:val="center"/>
              <w:rPr>
                <w:rFonts w:asciiTheme="minorEastAsia" w:hAnsiTheme="minorEastAsia"/>
                <w:sz w:val="21"/>
                <w:szCs w:val="21"/>
                <w:lang w:eastAsia="zh-CN"/>
              </w:rPr>
            </w:pPr>
            <w:r w:rsidRPr="0007297D">
              <w:rPr>
                <w:rFonts w:asciiTheme="minorEastAsia" w:hAnsiTheme="minorEastAsia"/>
                <w:sz w:val="21"/>
                <w:szCs w:val="21"/>
                <w:lang w:eastAsia="zh-CN"/>
              </w:rPr>
              <w:t>0</w:t>
            </w:r>
          </w:p>
        </w:tc>
      </w:tr>
    </w:tbl>
    <w:p w:rsidR="001B073A" w:rsidRDefault="00774104" w:rsidP="0007297D">
      <w:pPr>
        <w:spacing w:line="360" w:lineRule="auto"/>
        <w:ind w:firstLineChars="200" w:firstLine="420"/>
        <w:jc w:val="both"/>
        <w:rPr>
          <w:sz w:val="21"/>
          <w:szCs w:val="21"/>
          <w:lang w:eastAsia="zh-CN"/>
        </w:rPr>
      </w:pPr>
      <w:r>
        <w:rPr>
          <w:rFonts w:ascii="宋体" w:eastAsia="宋体" w:hAnsi="宋体" w:cs="宋体"/>
          <w:sz w:val="21"/>
          <w:szCs w:val="21"/>
          <w:lang w:eastAsia="zh-CN"/>
        </w:rPr>
        <w:t>赎回费用由赎回基金份额的基金份额持有人承担，在基金份额持有人赎回基金份额时收取。赎回费全额计入基金财产。</w:t>
      </w:r>
    </w:p>
    <w:p w:rsidR="001B073A" w:rsidRDefault="00774104">
      <w:pPr>
        <w:pStyle w:val="2"/>
        <w:keepLines/>
        <w:widowControl w:val="0"/>
        <w:spacing w:before="156" w:after="156"/>
        <w:rPr>
          <w:rFonts w:ascii="Times New Roman" w:hAnsi="Times New Roman" w:cs="Times New Roman"/>
          <w:lang w:eastAsia="zh-CN"/>
        </w:rPr>
      </w:pPr>
      <w:r>
        <w:rPr>
          <w:rFonts w:ascii="宋体" w:eastAsia="宋体" w:hAnsi="宋体" w:cs="宋体"/>
          <w:i w:val="0"/>
          <w:iCs w:val="0"/>
          <w:sz w:val="24"/>
          <w:szCs w:val="24"/>
          <w:lang w:eastAsia="zh-CN"/>
        </w:rPr>
        <w:t>5 转换业务</w:t>
      </w:r>
    </w:p>
    <w:p w:rsidR="001B073A" w:rsidRDefault="00774104">
      <w:pPr>
        <w:rPr>
          <w:lang w:eastAsia="zh-CN"/>
        </w:rPr>
      </w:pPr>
      <w:r>
        <w:rPr>
          <w:rFonts w:ascii="宋体" w:eastAsia="宋体" w:hAnsi="宋体" w:cs="宋体"/>
          <w:b/>
          <w:bCs/>
          <w:lang w:eastAsia="zh-CN"/>
        </w:rPr>
        <w:t>5.1 转换费率</w:t>
      </w:r>
    </w:p>
    <w:p w:rsidR="001B073A" w:rsidRDefault="00774104">
      <w:pPr>
        <w:spacing w:line="360" w:lineRule="auto"/>
        <w:ind w:firstLine="420"/>
        <w:rPr>
          <w:sz w:val="21"/>
          <w:szCs w:val="21"/>
          <w:lang w:eastAsia="zh-CN"/>
        </w:rPr>
      </w:pPr>
      <w:r>
        <w:rPr>
          <w:rFonts w:ascii="宋体" w:eastAsia="宋体" w:hAnsi="宋体" w:cs="宋体"/>
          <w:sz w:val="21"/>
          <w:szCs w:val="21"/>
          <w:lang w:eastAsia="zh-CN"/>
        </w:rPr>
        <w:t>本基金的转换按照转出基金的赎回费用加上转出与转入基金申购费用补差的标准收取费用。具体转换费用组成如下：</w:t>
      </w:r>
    </w:p>
    <w:p w:rsidR="001B073A" w:rsidRDefault="00774104">
      <w:pPr>
        <w:spacing w:line="360" w:lineRule="auto"/>
        <w:ind w:firstLine="420"/>
        <w:rPr>
          <w:sz w:val="21"/>
          <w:szCs w:val="21"/>
        </w:rPr>
      </w:pPr>
      <w:r>
        <w:rPr>
          <w:rFonts w:ascii="宋体" w:eastAsia="宋体" w:hAnsi="宋体" w:cs="宋体"/>
          <w:sz w:val="21"/>
          <w:szCs w:val="21"/>
          <w:lang w:eastAsia="zh-CN"/>
        </w:rPr>
        <w:t>1、赎回费用</w:t>
      </w:r>
    </w:p>
    <w:p w:rsidR="001B073A" w:rsidRDefault="00774104">
      <w:pPr>
        <w:spacing w:line="360" w:lineRule="auto"/>
        <w:ind w:firstLine="420"/>
        <w:rPr>
          <w:sz w:val="21"/>
          <w:szCs w:val="21"/>
          <w:lang w:eastAsia="zh-CN"/>
        </w:rPr>
      </w:pPr>
      <w:r>
        <w:rPr>
          <w:rFonts w:ascii="宋体" w:eastAsia="宋体" w:hAnsi="宋体" w:cs="宋体"/>
          <w:sz w:val="21"/>
          <w:szCs w:val="21"/>
          <w:lang w:eastAsia="zh-CN"/>
        </w:rPr>
        <w:t>转出基金的赎回费率按持有年限递减，具体各基金的赎回费率请参见各基金的招募说明书或相关业务公告，并可在本公司网站（www.phfund.com.cn）查询。基金转换费用中转出基金的赎回费总额归入转出基金的基金财产比例详见转出基金招募说明书（更新）的约定。</w:t>
      </w:r>
    </w:p>
    <w:p w:rsidR="001B073A" w:rsidRDefault="00774104">
      <w:pPr>
        <w:spacing w:line="360" w:lineRule="auto"/>
        <w:ind w:firstLine="420"/>
        <w:rPr>
          <w:sz w:val="21"/>
          <w:szCs w:val="21"/>
          <w:lang w:eastAsia="zh-CN"/>
        </w:rPr>
      </w:pPr>
      <w:r>
        <w:rPr>
          <w:rFonts w:ascii="宋体" w:eastAsia="宋体" w:hAnsi="宋体" w:cs="宋体"/>
          <w:sz w:val="21"/>
          <w:szCs w:val="21"/>
          <w:lang w:eastAsia="zh-CN"/>
        </w:rPr>
        <w:t>2、申购费用补差</w:t>
      </w:r>
    </w:p>
    <w:p w:rsidR="001B073A" w:rsidRDefault="00774104" w:rsidP="0007297D">
      <w:pPr>
        <w:spacing w:line="360" w:lineRule="auto"/>
        <w:ind w:firstLine="420"/>
        <w:rPr>
          <w:sz w:val="21"/>
          <w:szCs w:val="21"/>
          <w:lang w:eastAsia="zh-CN"/>
        </w:rPr>
      </w:pPr>
      <w:r>
        <w:rPr>
          <w:rFonts w:ascii="宋体" w:eastAsia="宋体" w:hAnsi="宋体" w:cs="宋体"/>
          <w:sz w:val="21"/>
          <w:szCs w:val="21"/>
          <w:lang w:eastAsia="zh-CN"/>
        </w:rPr>
        <w:t>（1）当转出基金申购费低于转入基金申购费时，则按差额收取申购费用补差；当转出基金申购费高于或等于转入基金申购费时，不收取费用补差。</w:t>
      </w:r>
    </w:p>
    <w:p w:rsidR="001B073A" w:rsidRDefault="00774104" w:rsidP="0007297D">
      <w:pPr>
        <w:spacing w:line="360" w:lineRule="auto"/>
        <w:ind w:firstLine="420"/>
        <w:rPr>
          <w:sz w:val="21"/>
          <w:szCs w:val="21"/>
          <w:lang w:eastAsia="zh-CN"/>
        </w:rPr>
      </w:pPr>
      <w:r>
        <w:rPr>
          <w:rFonts w:ascii="宋体" w:eastAsia="宋体" w:hAnsi="宋体" w:cs="宋体"/>
          <w:sz w:val="21"/>
          <w:szCs w:val="21"/>
          <w:lang w:eastAsia="zh-CN"/>
        </w:rPr>
        <w:t>（2）免申购费用的基金转入本基金，转换申购费用补差为本基金的申购费。</w:t>
      </w:r>
    </w:p>
    <w:p w:rsidR="001B073A" w:rsidRDefault="00774104" w:rsidP="0007297D">
      <w:pPr>
        <w:spacing w:line="360" w:lineRule="auto"/>
        <w:jc w:val="both"/>
        <w:rPr>
          <w:lang w:eastAsia="zh-CN"/>
        </w:rPr>
      </w:pPr>
      <w:r>
        <w:rPr>
          <w:rFonts w:ascii="宋体" w:eastAsia="宋体" w:hAnsi="宋体" w:cs="宋体"/>
          <w:b/>
          <w:bCs/>
          <w:lang w:eastAsia="zh-CN"/>
        </w:rPr>
        <w:t>5.2 其他与转换相关的事项</w:t>
      </w:r>
    </w:p>
    <w:p w:rsidR="001B073A" w:rsidRDefault="00774104" w:rsidP="0007297D">
      <w:pPr>
        <w:spacing w:line="360" w:lineRule="auto"/>
        <w:ind w:firstLine="420"/>
        <w:jc w:val="both"/>
        <w:rPr>
          <w:sz w:val="21"/>
          <w:szCs w:val="21"/>
          <w:lang w:eastAsia="zh-CN"/>
        </w:rPr>
      </w:pPr>
      <w:r>
        <w:rPr>
          <w:rFonts w:ascii="宋体" w:eastAsia="宋体" w:hAnsi="宋体" w:cs="宋体"/>
          <w:sz w:val="21"/>
          <w:szCs w:val="21"/>
          <w:lang w:eastAsia="zh-CN"/>
        </w:rPr>
        <w:t>1、转换业务适用基金范围</w:t>
      </w:r>
    </w:p>
    <w:p w:rsidR="001B073A" w:rsidRDefault="00774104" w:rsidP="0007297D">
      <w:pPr>
        <w:spacing w:line="360" w:lineRule="auto"/>
        <w:ind w:firstLine="420"/>
        <w:jc w:val="both"/>
        <w:rPr>
          <w:sz w:val="21"/>
          <w:szCs w:val="21"/>
          <w:lang w:eastAsia="zh-CN"/>
        </w:rPr>
      </w:pPr>
      <w:r>
        <w:rPr>
          <w:rFonts w:ascii="宋体" w:eastAsia="宋体" w:hAnsi="宋体" w:cs="宋体"/>
          <w:sz w:val="21"/>
          <w:szCs w:val="21"/>
          <w:lang w:eastAsia="zh-CN"/>
        </w:rPr>
        <w:t>上述基金的转换业务适用于其与鹏华弘泰灵活配置混合型证券投资基金（A类份额和C类份额）、鹏华货币市场证券投资基金（E类份额）、鹏华精选成长混合型证券投资基金（A类份额和C类份额）、鹏华信用增利债券型证券投资基金（A类份额和B类份额）、鹏华消费优选混合型证券投资基金、鹏华丰盛稳固收益债券型证券投资基金、鹏华新兴产业混合型证券投资基金、鹏华价值精选股票型证券投资基金、鹏华宏观灵活配置混合型证券投资基金、鹏华纯债债券型证券投资基金、鹏华产业债债券型证券投资基金（A类份额和C类份额）、鹏华双债增利债券型证券投资基金（A类份额和C类份额）、鹏华双债加利债券型证券投资基金（A类份额和C类份额）、鹏华量化先锋混合型证券投资基金、鹏华双债保利债券型证券投资基金、鹏华品牌传承灵活配置混合型证券投资基金、鹏华增值宝货币市场基金、鹏华环保产业股票型证券投资基金、鹏华医疗保健股票型证券投资基金、鹏华先进制造股票型证券投资基金、鹏华养老产业股票型证券投资基金、鹏华安盈宝货币市场基金（A类份额和C类份额和E类份额）、鹏华可转债债券型证券投资基金（A类份额和C类份额）、鹏华弘盛灵活配置混合型证券投资基金（A类份额和C类份额）、鹏华弘利灵活配置混合型证券投资基金（A类份额和C类份额）、鹏华弘泽灵活配置混合型证券投资基金（A类份额和C类份额）、鹏华弘润灵活配置混合型证券投资基金（A类份额和C类份额）、鹏华改革红利股票型证券投资基金、鹏华外延成长灵活配置混合型证券投资基金、鹏华弘和灵活配置混合型证券投资基金（A类份额和C类份额）、鹏华弘实灵活配置混合型证券投资基金（A类份额和C类份额）、鹏华弘华灵活配置混合型证券投资基金（A类份额和C类份额）、鹏华弘信灵活配置混合型证券投资基金（A类份额和C类份额）、鹏华弘益灵活配置混合型证券投资基金（A类份额和C类份额）、鹏华医药科技股票型证券投资基金（A类份额和C类份额）、鹏华弘鑫灵活配置混合型证券投资基金（A类份额和C类份额）、鹏华添利宝货币市场基金（A类份额和B类份额）、鹏华弘安灵活配置混合型证券投资基金（A类份额和C类份额）、鹏华丰华债券型证券投资基金、鹏华健康环保灵活配置混合型证券投资基金、鹏华文化传媒娱乐股票型证券投资基金、鹏华添利交易型货币市场基金（A类份额）、鹏华金城灵活配置混合型证券投资基金、鹏华丰茂债券型证券投资基金、鹏华弘达灵活配置混合型证券投资基金（A类份额和C类份额）、鹏华弘嘉灵活配置混合型证券投资基金（A类份额和C类份额）、鹏华丰达债券型证券投资基金（A类份额和C类份额）、鹏华丰恒债券型证券投资基金（A类份额和C类份额和D类份额）、鹏华弘惠灵活配置混合型证券投资基金（A类份额和C类份额）、鹏华弘康灵活配置混合型证券投资基金（A类份额和C类份额）、鹏华弘尚灵活配置混合型证券投资基金（A类份额和C类份额）、鹏华丰腾债券型证券投资基金、鹏华丰禄债券型证券投资基金、鹏华丰盈债券型证券投资基金、鹏华沪深港新兴成长灵活配置混合型证券投资基金（A类份额和C类份额）、鹏华丰惠债券型证券投资基金、鹏华安益增强混合型证券投资基金、鹏华丰享债券型证券投资基金、鹏华丰玉债券型证券投资基金（A类份额和C类份额）、鹏华丰康债券型证券投资基金（A类份额和C类份额）、鹏华丰瑞债券型证券投资基金、鹏华聚财通货币市场基金、鹏华盈余宝货币市场基金（A类份额和B类份额）、鹏华丰源债券型证券投资基金、鹏华金元宝货币市场基金、鹏华兴鑫宝货币市场基金（A类份额和C类份额和E类份额）、鹏华策略回报灵活配置混合型证券投资基金、鹏华研究精选灵活配置混合型证券投资基金、鹏华优势企业股票型证券投资基金、鹏华产业精选灵活配置混合型证券投资基金（A类份额和C类份额）、鹏华睿投灵活配置混合型证券投资基金（A类份额和C类份额）、鹏华创新驱动混合型证券投资基金、鹏华研究驱动混合型证券投资基金、鹏华优选回报灵活配置混合型证券投资基金（A类份额和C类份额）、鹏华中债1-3年国开行债券指数证券投资基金（A类份额和C类份额）、鹏华核心优势混合型证券投资基金（A类份额和C类份额）、鹏华研究智选混合型证券投资基金、鹏华金利债券型证券投资基金、鹏华丰登债券型证券投资基金、鹏华浮动净值型发起式货币市场基金、鹏华丰鑫债券型证券投资基金、鹏华丰庆债券型证券投资基金（A类份额和C类份额）、鹏华稳利短债债券型证券投资基金（A类份额和C类份额）、鹏华金享混合型证券投资基金、鹏华价值驱动混合型证券投资基金、鹏华优选价值股票型证券投资基金（A类份额和C类份额）、鹏华0-5年利率债债券型发起式证券投资基金（A类份额和C类份额）、鹏华中证500交易型开放式指数证券投资基金联接基金（A类份额和C类份额）、鹏华科技创新混合型证券投资基金、鹏华价值成长混合型证券投资基金、鹏华安泽混合型证券投资基金（A类份额和C类份额）、鹏华丰诚债券型证券投资基金（A类份额和C类份额和D类份额）、鹏华稳健回报混合型证券投资基金（A类份额和C类份额）、鹏华鑫享稳健混合型证券投资基金（A类份额和C类份额）、鹏华中债3-5年国开行债券指数证券投资基金（A类份额和C类份额）、鹏华股息精选混合型证券投资基金、鹏华成长价值混合型证券投资基金（A类份额和C类份额）、鹏华普利债券型证券投资基金（A类份额和C类份额）、鹏华优质企业混合型证券投资基金（A类份额和C类份额）、鹏华安和混合型证券投资基金（A类份额和C类份额）、鹏华安庆混合型证券投资基金（A类份额和C类份额）、鹏华安惠混合型证券投资基金（A类份额和C类份额）、鹏华匠心精选混合型证券投资基金（A类份额和C类份额）、鹏华新兴成长混合型证券投资基金（A类份额和C类份额）、鹏华安睿两年持有期混合型证券投资基金（A类份额和C类份额）、鹏华招华一年持有期混合型证券投资基金（A类份额和C类份额）、鹏华中债1-3年农发行债券指数证券投资基金（A类份额和C类份额）、鹏华年年红一年持有期债券型证券投资基金（A类份额和C类份额）、鹏华中债-0-3年AA+优选信用债指数证券投资基金（A类份额和C类份额）、鹏华启航混合型证券投资基金、鹏华成长智选混合型证券投资基金（A类份额和C类份额）、鹏华丰颐债券型证券投资基金、鹏华高质量增长混合型证券投资基金（A类份额和C类份额）、鹏华优选成长混合型证券投资基金（A类份额和C类份额）、鹏华安润混合型证券投资基金（A类份额和C类份额）、鹏华安享一年持有期混合型证券投资基金（A类份额和C类份额）、鹏华汇智优选混合型证券投资基金（A类份额和C类份额）、鹏华安裕5个月持有期混合型证券投资基金（A类份额和C类份额）、鹏华弘裕一年持有期混合型证券投资基金（A类份额和C类份额）、鹏华安悦一年持有期混合型证券投资基金（A类份额和C类份额）、鹏华品质优选混合型证券投资基金（A类份额和C类份额）、鹏华创新成长混合型证券投资基金（A类份额和C类份额）、鹏华宁华一年持有期混合型证券投资基金（A类份额和C类份额）、鹏华致远成长混合型证券投资基金（A类份额和C类份额）、鹏华远见回报三年持有期混合型证券投资基金、鹏华民丰盈和6个月持有期混合型证券投资基金（A类份额和C类份额）、鹏华招润一年持有期混合型证券投资基金（A类份额和C类份额）、鹏华鑫远价值一年持有期混合型证券投资基金（A类份额和C类份额）、鹏华远见成长混合型证券投资基金（A类份额和C类份额）、鹏华创新升级混合型证券投资基金（A类份额和C类份额）、鹏华领航一年持有期混合型证券投资基金（A类份额和C类份额）、鹏华稳泰30天滚动持有债券型证券投资基金（A类份额和C类份额）、鹏华中证内地低碳经济主题交易型开放式指数证券投资基金联接基金（A类份额和C类份额）、鹏华新能源精选混合型证券投资基金（A类份额和C类份额）、鹏华丰宁债券型证券投资基金（A类份额和C类份额）、鹏华品质成长混合型证券投资基金（A类份额和C类份额）、鹏华国证半导体芯片交易型开放式指数证券投资基金联接基金（A类份额和C类份额）、鹏华稳健鸿利一年持有期混合型证券投资基金（A类份额和C类份额）、鹏华产业升级混合型证券投资基金（A类份额和C类份额）、鹏华安诚混合型证券投资基金（A类份额和C类份额）、鹏华安荣混合型证券投资基金（A类份额和C类份额）、鹏华精选群英一年持有期灵活配置混合型管理人中管理人（MOM）证券投资基金、鹏华品质精选混合型证券投资基金（A类份额和C类份额）、鹏华安康一年持有期混合型证券投资基金（A类份额和C类份额）、鹏华安颐混合型证券投资基金（A类份额和C类份额）、鹏华稳华90天滚动持有债券型证券投资基金（A类份额和C类份额）、鹏华沃鑫混合型证券投资基金（A类份额和C类份额）、鹏华稳瑞中短债债券型证券投资基金、鹏华中证500指数增强型证券投资基金（A类份额和C类份额）、鹏华成长领航两年持有期混合型证券投资基金（A类份额和C类份额）、鹏华价值远航6个月持有期混合型证券投资基金（A类份额和C类份额）、鹏华中证细分化工产业主题交易型开放式指数证券投资基金联接基金（A类份额和C类份额）、鹏华双季享180天持有期债券型证券投资基金（A类份额和C类份额）、鹏华浙华一年持有期混合型证券投资基金（A类份额和C类份额）、鹏华创新增长一年持有期混合型证券投资基金（A类份额和C类份额）、鹏华鑫华一年持有期混合型证券投资基金（A类份额和C类份额）、鹏华稳享一年持有期混合型证券投资基金（A类份额和C类份额）、鹏华新能源汽车主题混合型证券投资基金（A类份额和C类份额）、鹏华增华混合型证券投资基金（A类份额和C类份额）、鹏华兴鹏一年持有期混合型证券投资基金（A类份额和C类份额）、鹏华丰启债券型证券投资基金、鹏华畅享债券型证券投资基金（A类份额和C类份额）、鹏华创兴增利债券型证券投资基金（A类份额和C类份额和D类份额）、鹏华稳福中短债债券型证券投资基金（A类份额和C类份额和E类份额）、鹏华中证中药交易型开放式指数证券投资基金联接基金（A类份额和C类份额）、鹏华中证1000指数增强型证券投资基金（A类份额和C类份额）、鹏华稳健增利债券型证券投资基金（A类份额和C类份额）、鹏华稳健恒利债券型证券投资基金（A类份额和C类份额）、鹏华睿进一年持有期混合型证券投资基金（A类份额和C类份额）、鹏华国证2000指数增强型证券投资基金（A类份额和C类份额）、鹏华丰尊债券型证券投资基金、鹏华安锦一年持有期混合型证券投资基金（A类份额和C类份额）、鹏华汽车产业混合型发起式证券投资基金（A类份额和C类份额）、鹏华新材料混合型发起式证券投资基金（A类份额和C类份额）、鹏华稳健添利债券型证券投资基金（A类份额和C类份额）、鹏华悦享一年持有期混合型证券投资基金（A类份额和C类份额）、鹏华碳中和主题混合型证券投资基金（A类份额和C类份额）、鹏华芯片产业混合型发起式证券投资基金（A类份额和C类份额）、鹏华丰顺债券型证券投资基金、鹏华高端装备一年持有期混合型证券投资基金（A类份额和C类份额）、鹏华睿见混合型证券投资基金（A类份额和C类份额）、鹏华创业板50交易型开放式指数证券投资基金联接基金（A类份额和C类份额）、鹏华信用债6个月持有期债券型证券投资基金（A类份额和C类份额）、鹏华远见精选混合型发起式证券投资基金（A类份额和C类份额）、鹏华上证科创板100交易型开放式指数证券投资基金联接基金（A类份额和C类份额）、鹏华丰景债券型证券投资基金、鹏华智投800混合型证券投资基金（A类份额和C类份额）、鹏华双季红180天持有期债券型证券投资基金（A类份额和C类份额）、鹏华中证车联网主题交易型开放式指数证券投资基金发起式联接基金（A类份额和C类份额）、鹏华国证石油天然气交易型开放式指数证券投资基金联接基金（A类份额和C类份额）、鹏华永兴债券型证券投资基金、鹏华智投数字经济混合型证券投资基金（A类份额和C类份额）、鹏华创新医药混合型证券投资基金（A类份额和C类份额）、鹏华品质甄选混合型证券投资基金（A类份额和C类份额）、鹏华精新添利债券型证券投资基金（A类份额和C类份额）、鹏华国证ESG300交易型开放式指数证券投资基金联接基金（A类份额和C类份额）、鹏华中证工业互联网主题交易型开放式指数证券投资基金发起式联接基金（A类份额</w:t>
      </w:r>
      <w:r w:rsidR="0007297D">
        <w:rPr>
          <w:rFonts w:ascii="宋体" w:eastAsia="宋体" w:hAnsi="宋体" w:cs="宋体" w:hint="eastAsia"/>
          <w:sz w:val="21"/>
          <w:szCs w:val="21"/>
          <w:lang w:eastAsia="zh-CN"/>
        </w:rPr>
        <w:t>和C类</w:t>
      </w:r>
      <w:r w:rsidR="0007297D">
        <w:rPr>
          <w:rFonts w:ascii="宋体" w:eastAsia="宋体" w:hAnsi="宋体" w:cs="宋体"/>
          <w:sz w:val="21"/>
          <w:szCs w:val="21"/>
          <w:lang w:eastAsia="zh-CN"/>
        </w:rPr>
        <w:t>份额</w:t>
      </w:r>
      <w:r>
        <w:rPr>
          <w:rFonts w:ascii="宋体" w:eastAsia="宋体" w:hAnsi="宋体" w:cs="宋体"/>
          <w:sz w:val="21"/>
          <w:szCs w:val="21"/>
          <w:lang w:eastAsia="zh-CN"/>
        </w:rPr>
        <w:t>）之间的基金转换。</w:t>
      </w:r>
    </w:p>
    <w:p w:rsidR="001B073A" w:rsidRDefault="00774104">
      <w:pPr>
        <w:spacing w:line="360" w:lineRule="auto"/>
        <w:ind w:firstLine="420"/>
        <w:jc w:val="both"/>
        <w:rPr>
          <w:sz w:val="21"/>
          <w:szCs w:val="21"/>
          <w:lang w:eastAsia="zh-CN"/>
        </w:rPr>
      </w:pPr>
      <w:r>
        <w:rPr>
          <w:rFonts w:ascii="宋体" w:eastAsia="宋体" w:hAnsi="宋体" w:cs="宋体"/>
          <w:sz w:val="21"/>
          <w:szCs w:val="21"/>
          <w:lang w:eastAsia="zh-CN"/>
        </w:rPr>
        <w:t>注：我司旗下定期开放产品在开放期间开通转换业务的，也适用于与本基金在开放期间的基金转换。</w:t>
      </w:r>
    </w:p>
    <w:p w:rsidR="001B073A" w:rsidRDefault="00774104">
      <w:pPr>
        <w:spacing w:line="360" w:lineRule="auto"/>
        <w:ind w:firstLine="420"/>
        <w:jc w:val="both"/>
        <w:rPr>
          <w:sz w:val="21"/>
          <w:szCs w:val="21"/>
          <w:lang w:eastAsia="zh-CN"/>
        </w:rPr>
      </w:pPr>
      <w:r>
        <w:rPr>
          <w:rFonts w:ascii="宋体" w:eastAsia="宋体" w:hAnsi="宋体" w:cs="宋体"/>
          <w:sz w:val="21"/>
          <w:szCs w:val="21"/>
          <w:lang w:eastAsia="zh-CN"/>
        </w:rPr>
        <w:t>2、基金转换份额的计算</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基金转换计算公式如下：</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转出基金赎回手续费＝转出份额×转出净值×转出基金赎回手续费率</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转出金额=转出份额×转出基金当日基金份额净值－转出基金赎回手续费</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补差费（外扣）＝转出金额×转入基金的申购费率/（1＋转入基金申购费率）－转出金额×转出基金申购费率/（1＋转出基金申购费率）</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转换费用＝转出基金赎回手续费＋补差费</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转入份额＝（转出金额－补差费）/转入基金当日基金份额净值</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 xml:space="preserve">例如：某基金份额持有人（非养老金客户）持有本基金A类基金份额10,000 份，持有3个月后，在本基金处于开放期间时决定转换为鹏华价值精选股票型证券投资基金，本基金A类基金对应前端申购费率为0.4%，赎回费率为0，假设转换当日转出基金份额净值是1.08元，转入基金的份额净值是1.05元，并且转入基金对应的前端申购费率为1.5%，则可得到的转换份额为： </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转出基金赎回手续费＝0元</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转出金额=10,000×1.080=10,800元</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补差费（外扣）＝10,800×1.5%/(1+1.5%)-10,800×0.4%/(1+0.4%)=116.58元</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转换费用＝0+116.58＝116.58元</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转入份额＝（10,800－116.58）/1.05＝10,174.69</w:t>
      </w:r>
    </w:p>
    <w:p w:rsidR="001B073A" w:rsidRDefault="0077410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即：某基金份额持有人（非养老金客户）持有10,000 份本基金A类基金份额3个月后，在本基金处于开放期间时转换为鹏华价值精选股票型证券投资基金，假设转换当日转出基金份额净值是1.08元，转入基金的基金份额净值是1.05元，则可得到的转换份额为10,174.69份。</w:t>
      </w:r>
    </w:p>
    <w:p w:rsidR="001B073A" w:rsidRDefault="00774104">
      <w:pPr>
        <w:spacing w:line="360" w:lineRule="auto"/>
        <w:ind w:firstLine="420"/>
        <w:jc w:val="both"/>
        <w:rPr>
          <w:sz w:val="21"/>
          <w:szCs w:val="21"/>
          <w:lang w:eastAsia="zh-CN"/>
        </w:rPr>
      </w:pPr>
      <w:r>
        <w:rPr>
          <w:rFonts w:ascii="宋体" w:eastAsia="宋体" w:hAnsi="宋体" w:cs="宋体"/>
          <w:sz w:val="21"/>
          <w:szCs w:val="21"/>
          <w:lang w:eastAsia="zh-CN"/>
        </w:rPr>
        <w:t>3、转换业务规则</w:t>
      </w:r>
    </w:p>
    <w:p w:rsidR="001B073A" w:rsidRDefault="00774104">
      <w:pPr>
        <w:spacing w:line="360" w:lineRule="auto"/>
        <w:ind w:firstLine="420"/>
        <w:jc w:val="both"/>
        <w:rPr>
          <w:sz w:val="21"/>
          <w:szCs w:val="21"/>
          <w:lang w:eastAsia="zh-CN"/>
        </w:rPr>
      </w:pPr>
      <w:r>
        <w:rPr>
          <w:rFonts w:ascii="宋体" w:eastAsia="宋体" w:hAnsi="宋体" w:cs="宋体"/>
          <w:sz w:val="21"/>
          <w:szCs w:val="21"/>
          <w:lang w:eastAsia="zh-CN"/>
        </w:rPr>
        <w:t>（1）基金转换只能在同一销售机构进行，且办理基金转换业务的销售机构须同时具备拟转出基金及拟转入基金的合法授权代理资格，并开通了相应的基金转换业务。</w:t>
      </w:r>
    </w:p>
    <w:p w:rsidR="001B073A" w:rsidRDefault="00774104">
      <w:pPr>
        <w:spacing w:line="360" w:lineRule="auto"/>
        <w:ind w:firstLine="420"/>
        <w:jc w:val="both"/>
        <w:rPr>
          <w:sz w:val="21"/>
          <w:szCs w:val="21"/>
          <w:lang w:eastAsia="zh-CN"/>
        </w:rPr>
      </w:pPr>
      <w:r>
        <w:rPr>
          <w:rFonts w:ascii="宋体" w:eastAsia="宋体" w:hAnsi="宋体" w:cs="宋体"/>
          <w:sz w:val="21"/>
          <w:szCs w:val="21"/>
          <w:lang w:eastAsia="zh-CN"/>
        </w:rPr>
        <w:t>（2）基金份额登记机构以收到有效转换申请的当天作为转换申请日（T日）。投资人转换基金成功的，基金份额登记机构在T+1日为投资人办理权益转换的登记手续，投资人通常可自T+2日（含该日）后向业务办理网点查询转换业务的确认情况。</w:t>
      </w:r>
    </w:p>
    <w:p w:rsidR="001B073A" w:rsidRDefault="00774104">
      <w:pPr>
        <w:spacing w:line="360" w:lineRule="auto"/>
        <w:ind w:firstLine="420"/>
        <w:jc w:val="both"/>
        <w:rPr>
          <w:sz w:val="21"/>
          <w:szCs w:val="21"/>
          <w:lang w:eastAsia="zh-CN"/>
        </w:rPr>
      </w:pPr>
      <w:r>
        <w:rPr>
          <w:rFonts w:ascii="宋体" w:eastAsia="宋体" w:hAnsi="宋体" w:cs="宋体"/>
          <w:sz w:val="21"/>
          <w:szCs w:val="21"/>
          <w:lang w:eastAsia="zh-CN"/>
        </w:rPr>
        <w:t>（3）基金转换后，转入的基金份额的持有期将自转入的基金份额被确认之日起重新开始计算。</w:t>
      </w:r>
    </w:p>
    <w:p w:rsidR="001B073A" w:rsidRDefault="00774104">
      <w:pPr>
        <w:spacing w:line="360" w:lineRule="auto"/>
        <w:ind w:firstLine="420"/>
        <w:jc w:val="both"/>
        <w:rPr>
          <w:sz w:val="21"/>
          <w:szCs w:val="21"/>
          <w:lang w:eastAsia="zh-CN"/>
        </w:rPr>
      </w:pPr>
      <w:r>
        <w:rPr>
          <w:rFonts w:ascii="宋体" w:eastAsia="宋体" w:hAnsi="宋体" w:cs="宋体"/>
          <w:sz w:val="21"/>
          <w:szCs w:val="21"/>
          <w:lang w:eastAsia="zh-CN"/>
        </w:rPr>
        <w:t>（4）本基金单笔转换申请的最低份额为2份，基金份额持有人可将其全部或部分基金份额转换。</w:t>
      </w:r>
    </w:p>
    <w:p w:rsidR="001B073A" w:rsidRDefault="00774104">
      <w:pPr>
        <w:spacing w:line="360" w:lineRule="auto"/>
        <w:ind w:firstLine="420"/>
        <w:jc w:val="both"/>
        <w:rPr>
          <w:sz w:val="21"/>
          <w:szCs w:val="21"/>
          <w:lang w:eastAsia="zh-CN"/>
        </w:rPr>
      </w:pPr>
      <w:r>
        <w:rPr>
          <w:rFonts w:ascii="宋体" w:eastAsia="宋体" w:hAnsi="宋体" w:cs="宋体"/>
          <w:sz w:val="21"/>
          <w:szCs w:val="21"/>
          <w:lang w:eastAsia="zh-CN"/>
        </w:rPr>
        <w:t>（5）对于转出基金的单个基金账户最低余额，请参见各基金的招募说明书或相关业务公告，若某笔转换将导致投资人在销售机构托管的转出基金份额余额不足最低余额时，该笔转换业务应包括账户内转出基金的全部基金份额，否则，剩余部分的基金份额将被强制赎回。</w:t>
      </w:r>
    </w:p>
    <w:p w:rsidR="001B073A" w:rsidRDefault="00774104">
      <w:pPr>
        <w:spacing w:line="360" w:lineRule="auto"/>
        <w:ind w:firstLine="420"/>
        <w:jc w:val="both"/>
        <w:rPr>
          <w:sz w:val="21"/>
          <w:szCs w:val="21"/>
          <w:lang w:eastAsia="zh-CN"/>
        </w:rPr>
      </w:pPr>
      <w:r>
        <w:rPr>
          <w:rFonts w:ascii="宋体" w:eastAsia="宋体" w:hAnsi="宋体" w:cs="宋体"/>
          <w:sz w:val="21"/>
          <w:szCs w:val="21"/>
          <w:lang w:eastAsia="zh-CN"/>
        </w:rPr>
        <w:t>（6）基金转换以申请当日基金份额净值为基础计算。投资人采用“份额转换”的原则提交申请。转出基金份额必须是可用份额，并遵循赎回处理的原则。</w:t>
      </w:r>
    </w:p>
    <w:p w:rsidR="001B073A" w:rsidRPr="0007297D" w:rsidRDefault="00774104" w:rsidP="0007297D">
      <w:pPr>
        <w:pStyle w:val="2"/>
        <w:keepLines/>
        <w:widowControl w:val="0"/>
        <w:spacing w:before="156" w:after="156" w:line="360" w:lineRule="auto"/>
        <w:rPr>
          <w:rFonts w:ascii="Times New Roman" w:hAnsi="Times New Roman" w:cs="Times New Roman"/>
          <w:lang w:eastAsia="zh-CN"/>
        </w:rPr>
      </w:pPr>
      <w:r w:rsidRPr="0007297D">
        <w:rPr>
          <w:rStyle w:val="myInmportability"/>
          <w:rFonts w:ascii="宋体" w:eastAsia="宋体" w:hAnsi="宋体" w:cs="宋体"/>
          <w:i w:val="0"/>
          <w:iCs w:val="0"/>
          <w:sz w:val="24"/>
          <w:szCs w:val="24"/>
          <w:lang w:eastAsia="zh-CN"/>
        </w:rPr>
        <w:t>6</w:t>
      </w:r>
      <w:r w:rsidRPr="0007297D">
        <w:rPr>
          <w:rFonts w:ascii="宋体" w:eastAsia="宋体" w:hAnsi="宋体" w:cs="宋体"/>
          <w:i w:val="0"/>
          <w:iCs w:val="0"/>
          <w:sz w:val="24"/>
          <w:szCs w:val="24"/>
          <w:lang w:eastAsia="zh-CN"/>
        </w:rPr>
        <w:t xml:space="preserve"> 基金销售机构</w:t>
      </w:r>
    </w:p>
    <w:p w:rsidR="001B073A" w:rsidRPr="0007297D" w:rsidRDefault="00774104" w:rsidP="0007297D">
      <w:pPr>
        <w:spacing w:line="360" w:lineRule="auto"/>
        <w:jc w:val="both"/>
        <w:rPr>
          <w:lang w:eastAsia="zh-CN"/>
        </w:rPr>
      </w:pPr>
      <w:r w:rsidRPr="0007297D">
        <w:rPr>
          <w:rStyle w:val="myInmportability"/>
          <w:rFonts w:ascii="宋体" w:eastAsia="宋体" w:hAnsi="宋体" w:cs="宋体"/>
          <w:b/>
          <w:bCs/>
          <w:lang w:eastAsia="zh-CN"/>
        </w:rPr>
        <w:t>6</w:t>
      </w:r>
      <w:r w:rsidRPr="0007297D">
        <w:rPr>
          <w:rFonts w:ascii="宋体" w:eastAsia="宋体" w:hAnsi="宋体" w:cs="宋体"/>
          <w:b/>
          <w:bCs/>
          <w:lang w:eastAsia="zh-CN"/>
        </w:rPr>
        <w:t>.1 直销机构</w:t>
      </w:r>
    </w:p>
    <w:p w:rsidR="001B073A" w:rsidRPr="0007297D" w:rsidRDefault="00774104" w:rsidP="0007297D">
      <w:pPr>
        <w:spacing w:line="360" w:lineRule="auto"/>
        <w:ind w:firstLine="420"/>
        <w:rPr>
          <w:sz w:val="21"/>
          <w:szCs w:val="21"/>
          <w:lang w:eastAsia="zh-CN"/>
        </w:rPr>
      </w:pPr>
      <w:r w:rsidRPr="0007297D">
        <w:rPr>
          <w:rFonts w:ascii="宋体" w:eastAsia="宋体" w:hAnsi="宋体" w:cs="宋体"/>
          <w:sz w:val="21"/>
          <w:szCs w:val="21"/>
          <w:lang w:eastAsia="zh-CN"/>
        </w:rPr>
        <w:t>鹏华基金管理有限公司</w:t>
      </w:r>
    </w:p>
    <w:p w:rsidR="001B073A" w:rsidRPr="0007297D" w:rsidRDefault="00774104" w:rsidP="0007297D">
      <w:pPr>
        <w:spacing w:line="360" w:lineRule="auto"/>
        <w:ind w:firstLine="420"/>
        <w:rPr>
          <w:sz w:val="21"/>
          <w:szCs w:val="21"/>
          <w:lang w:eastAsia="zh-CN"/>
        </w:rPr>
      </w:pPr>
      <w:r w:rsidRPr="0007297D">
        <w:rPr>
          <w:rFonts w:ascii="宋体" w:eastAsia="宋体" w:hAnsi="宋体" w:cs="宋体"/>
          <w:sz w:val="21"/>
          <w:szCs w:val="21"/>
          <w:lang w:eastAsia="zh-CN"/>
        </w:rPr>
        <w:t>办公地址：深圳市福田区福华三路168号深圳国际商会中心43层</w:t>
      </w:r>
    </w:p>
    <w:p w:rsidR="001B073A" w:rsidRPr="0007297D" w:rsidRDefault="00774104" w:rsidP="0007297D">
      <w:pPr>
        <w:spacing w:line="360" w:lineRule="auto"/>
        <w:ind w:firstLine="420"/>
        <w:rPr>
          <w:sz w:val="21"/>
          <w:szCs w:val="21"/>
        </w:rPr>
      </w:pPr>
      <w:r w:rsidRPr="0007297D">
        <w:rPr>
          <w:rFonts w:ascii="宋体" w:eastAsia="宋体" w:hAnsi="宋体" w:cs="宋体"/>
          <w:sz w:val="21"/>
          <w:szCs w:val="21"/>
          <w:lang w:eastAsia="zh-CN"/>
        </w:rPr>
        <w:t>网址：www.phfund.com.cn</w:t>
      </w:r>
    </w:p>
    <w:p w:rsidR="001B073A" w:rsidRPr="0007297D" w:rsidRDefault="00774104" w:rsidP="0007297D">
      <w:pPr>
        <w:spacing w:line="360" w:lineRule="auto"/>
        <w:ind w:firstLine="420"/>
        <w:rPr>
          <w:sz w:val="21"/>
          <w:szCs w:val="21"/>
          <w:lang w:eastAsia="zh-CN"/>
        </w:rPr>
      </w:pPr>
      <w:r w:rsidRPr="0007297D">
        <w:rPr>
          <w:rFonts w:ascii="宋体" w:eastAsia="宋体" w:hAnsi="宋体" w:cs="宋体"/>
          <w:sz w:val="21"/>
          <w:szCs w:val="21"/>
          <w:lang w:eastAsia="zh-CN"/>
        </w:rPr>
        <w:t>全国统一客户服务电话：400-6788-533</w:t>
      </w:r>
    </w:p>
    <w:p w:rsidR="001B073A" w:rsidRDefault="00774104" w:rsidP="0007297D">
      <w:pPr>
        <w:spacing w:line="360" w:lineRule="auto"/>
        <w:jc w:val="both"/>
        <w:rPr>
          <w:lang w:eastAsia="zh-CN"/>
        </w:rPr>
      </w:pPr>
      <w:r w:rsidRPr="0007297D">
        <w:rPr>
          <w:rStyle w:val="myInmportability"/>
          <w:rFonts w:ascii="宋体" w:eastAsia="宋体" w:hAnsi="宋体" w:cs="宋体"/>
          <w:b/>
          <w:bCs/>
          <w:lang w:eastAsia="zh-CN"/>
        </w:rPr>
        <w:t>6</w:t>
      </w:r>
      <w:r w:rsidRPr="0007297D">
        <w:rPr>
          <w:rFonts w:ascii="宋体" w:eastAsia="宋体" w:hAnsi="宋体" w:cs="宋体"/>
          <w:b/>
          <w:bCs/>
          <w:lang w:eastAsia="zh-CN"/>
        </w:rPr>
        <w:t xml:space="preserve">.2 </w:t>
      </w:r>
      <w:r>
        <w:rPr>
          <w:rFonts w:ascii="宋体" w:eastAsia="宋体" w:hAnsi="宋体" w:cs="宋体"/>
          <w:b/>
          <w:bCs/>
          <w:lang w:eastAsia="zh-CN"/>
        </w:rPr>
        <w:t>其他销售机构</w:t>
      </w:r>
    </w:p>
    <w:p w:rsidR="001B073A" w:rsidRDefault="00774104" w:rsidP="0007297D">
      <w:pPr>
        <w:spacing w:line="360" w:lineRule="auto"/>
        <w:ind w:firstLine="315"/>
        <w:rPr>
          <w:rFonts w:ascii="宋体" w:eastAsia="宋体" w:hAnsi="宋体" w:cs="宋体"/>
          <w:sz w:val="21"/>
          <w:szCs w:val="21"/>
          <w:lang w:eastAsia="zh-CN"/>
        </w:rPr>
      </w:pPr>
      <w:r>
        <w:rPr>
          <w:rFonts w:ascii="宋体" w:eastAsia="宋体" w:hAnsi="宋体" w:cs="宋体"/>
          <w:sz w:val="21"/>
          <w:szCs w:val="21"/>
          <w:lang w:eastAsia="zh-CN"/>
        </w:rPr>
        <w:t>1、银行销售机构：华润银行、广发银行、东莞农商行、青岛银行、晋城银行、西安银行、宁波银行、微众银行、绍兴瑞丰农商行、杭州联合银行、江苏银行、江南农村商业、福建海峡银行、贵州银行、交通银行、张家港农商行、徽商银行、中国银行、民生银行、建设银行、工商银行、招商银行、兴业银行、上海银行、浦发银行、平安银行。</w:t>
      </w:r>
    </w:p>
    <w:p w:rsidR="001B073A" w:rsidRDefault="00774104" w:rsidP="0007297D">
      <w:pPr>
        <w:spacing w:line="360" w:lineRule="auto"/>
        <w:ind w:firstLine="315"/>
        <w:rPr>
          <w:rFonts w:ascii="宋体" w:eastAsia="宋体" w:hAnsi="宋体" w:cs="宋体"/>
          <w:sz w:val="21"/>
          <w:szCs w:val="21"/>
          <w:lang w:eastAsia="zh-CN"/>
        </w:rPr>
      </w:pPr>
      <w:r>
        <w:rPr>
          <w:rFonts w:ascii="宋体" w:eastAsia="宋体" w:hAnsi="宋体" w:cs="宋体"/>
          <w:sz w:val="21"/>
          <w:szCs w:val="21"/>
          <w:lang w:eastAsia="zh-CN"/>
        </w:rPr>
        <w:t>2、证券（期货）销售机构：中信期货、广发证券、东海证券、国都证券、国盛证券、英大证券、浙商证券、中金财富、国泰君安、华林证券、华龙证券、西部证券、中信证券（山东）、长江证券、国新证券、大同证券、中原证券、国海证券、诚通证券、山西证券、金元证券、爱建证券、信达证券、平安证券、国信证券、华安证券、华西证券、首创证券、天风证券、中信建投、渤海证券、万联证券、中信证券（华南）、国联证券、世纪证券、东方财富证券、粤开证券、国投证券、国金证券、民生证券、财达证券、西南证券、东方证券、华鑫证券、申万宏源西部、开源证券、中信建投期货、第一创业证券、江海证券、银河证券、中信证券、兴业证券、华泰证券、招商证券、东吴证券、国元证券、申万宏源、长城证券、中泰证券、东北证券、上海证券、光大证券。</w:t>
      </w:r>
    </w:p>
    <w:p w:rsidR="001B073A" w:rsidRDefault="00774104" w:rsidP="0007297D">
      <w:pPr>
        <w:spacing w:line="360" w:lineRule="auto"/>
        <w:ind w:firstLine="315"/>
        <w:rPr>
          <w:rFonts w:ascii="宋体" w:eastAsia="宋体" w:hAnsi="宋体" w:cs="宋体"/>
          <w:sz w:val="21"/>
          <w:szCs w:val="21"/>
          <w:lang w:eastAsia="zh-CN"/>
        </w:rPr>
      </w:pPr>
      <w:r>
        <w:rPr>
          <w:rFonts w:ascii="宋体" w:eastAsia="宋体" w:hAnsi="宋体" w:cs="宋体"/>
          <w:sz w:val="21"/>
          <w:szCs w:val="21"/>
          <w:lang w:eastAsia="zh-CN"/>
        </w:rPr>
        <w:t>3、第三方销售机构：博时财富、中国人寿、泰信财富、中正达广、诺亚正行、上海好买、陆基金、上海天天、新兰德、深圳众禄、宜信普泽、浙江同花顺、盈米财富、北京虹点、基煜基金、挖财基金、万得基金、蚂蚁基金、上海利得、腾安基金、弈丰基金、汇林保大、和耕传承、大智慧基金、大连网金、联泰基金、度小满、中证金牛、意才基金、上海长量、海银基金、阳光人寿、浦领基金、汇成基金、雪球基金、苏宁基金、新浪基金、北京肯特瑞、泛华普益、中植基金、创金启富。</w:t>
      </w:r>
    </w:p>
    <w:p w:rsidR="001B073A" w:rsidRPr="006B1AB6" w:rsidRDefault="00774104">
      <w:pPr>
        <w:pStyle w:val="2"/>
        <w:keepLines/>
        <w:widowControl w:val="0"/>
        <w:spacing w:before="156" w:after="156"/>
        <w:jc w:val="both"/>
        <w:rPr>
          <w:rFonts w:ascii="Times New Roman" w:hAnsi="Times New Roman" w:cs="Times New Roman"/>
          <w:lang w:eastAsia="zh-CN"/>
        </w:rPr>
      </w:pPr>
      <w:r w:rsidRPr="006B1AB6">
        <w:rPr>
          <w:rStyle w:val="myInmportability"/>
          <w:rFonts w:ascii="宋体" w:eastAsia="宋体" w:hAnsi="宋体" w:cs="宋体"/>
          <w:i w:val="0"/>
          <w:iCs w:val="0"/>
          <w:sz w:val="24"/>
          <w:szCs w:val="24"/>
          <w:lang w:eastAsia="zh-CN"/>
        </w:rPr>
        <w:t>7</w:t>
      </w:r>
      <w:r w:rsidRPr="006B1AB6">
        <w:rPr>
          <w:rFonts w:ascii="宋体" w:eastAsia="宋体" w:hAnsi="宋体" w:cs="宋体"/>
          <w:i w:val="0"/>
          <w:iCs w:val="0"/>
          <w:sz w:val="24"/>
          <w:szCs w:val="24"/>
          <w:lang w:eastAsia="zh-CN"/>
        </w:rPr>
        <w:t xml:space="preserve"> 基金份额净值公告/基金收益公告的披露安排</w:t>
      </w:r>
    </w:p>
    <w:p w:rsidR="001B073A" w:rsidRPr="006B1AB6" w:rsidRDefault="0006248F">
      <w:pPr>
        <w:spacing w:line="360" w:lineRule="auto"/>
        <w:ind w:firstLine="420"/>
        <w:rPr>
          <w:sz w:val="21"/>
          <w:szCs w:val="21"/>
          <w:lang w:eastAsia="zh-CN"/>
        </w:rPr>
      </w:pPr>
      <w:r>
        <w:rPr>
          <w:rFonts w:ascii="宋体" w:eastAsia="宋体" w:hAnsi="宋体" w:cs="宋体" w:hint="eastAsia"/>
          <w:sz w:val="21"/>
          <w:szCs w:val="21"/>
          <w:lang w:eastAsia="zh-CN"/>
        </w:rPr>
        <w:t>《基金</w:t>
      </w:r>
      <w:r>
        <w:rPr>
          <w:rFonts w:ascii="宋体" w:eastAsia="宋体" w:hAnsi="宋体" w:cs="宋体"/>
          <w:sz w:val="21"/>
          <w:szCs w:val="21"/>
          <w:lang w:eastAsia="zh-CN"/>
        </w:rPr>
        <w:t>合同</w:t>
      </w:r>
      <w:r>
        <w:rPr>
          <w:rFonts w:ascii="宋体" w:eastAsia="宋体" w:hAnsi="宋体" w:cs="宋体" w:hint="eastAsia"/>
          <w:sz w:val="21"/>
          <w:szCs w:val="21"/>
          <w:lang w:eastAsia="zh-CN"/>
        </w:rPr>
        <w:t>》生效</w:t>
      </w:r>
      <w:r>
        <w:rPr>
          <w:rFonts w:ascii="宋体" w:eastAsia="宋体" w:hAnsi="宋体" w:cs="宋体"/>
          <w:sz w:val="21"/>
          <w:szCs w:val="21"/>
          <w:lang w:eastAsia="zh-CN"/>
        </w:rPr>
        <w:t>后，</w:t>
      </w:r>
      <w:r w:rsidR="00774104" w:rsidRPr="006B1AB6">
        <w:rPr>
          <w:rFonts w:ascii="宋体" w:eastAsia="宋体" w:hAnsi="宋体" w:cs="宋体"/>
          <w:sz w:val="21"/>
          <w:szCs w:val="21"/>
          <w:lang w:eastAsia="zh-CN"/>
        </w:rPr>
        <w:t>在封闭期内，本基金至少每周在规定网站披露一次基金份额净值和基金份额累计净值。在开放期内，本基金在不晚于每个开放日的次日，通过规定网站、基金销售机构网站或者营业网点，披露开放日的基金份额净值和基金份额累计净值。</w:t>
      </w:r>
    </w:p>
    <w:p w:rsidR="001B073A" w:rsidRPr="006B1AB6" w:rsidRDefault="00774104">
      <w:pPr>
        <w:pStyle w:val="2"/>
        <w:keepLines/>
        <w:widowControl w:val="0"/>
        <w:spacing w:before="156" w:after="156"/>
        <w:rPr>
          <w:rFonts w:ascii="Times New Roman" w:hAnsi="Times New Roman" w:cs="Times New Roman"/>
          <w:lang w:eastAsia="zh-CN"/>
        </w:rPr>
      </w:pPr>
      <w:r w:rsidRPr="006B1AB6">
        <w:rPr>
          <w:rStyle w:val="myInmportability"/>
          <w:rFonts w:ascii="宋体" w:eastAsia="宋体" w:hAnsi="宋体" w:cs="宋体"/>
          <w:i w:val="0"/>
          <w:iCs w:val="0"/>
          <w:sz w:val="24"/>
          <w:szCs w:val="24"/>
          <w:lang w:eastAsia="zh-CN"/>
        </w:rPr>
        <w:t>8</w:t>
      </w:r>
      <w:r w:rsidRPr="006B1AB6">
        <w:rPr>
          <w:rFonts w:ascii="宋体" w:eastAsia="宋体" w:hAnsi="宋体" w:cs="宋体"/>
          <w:i w:val="0"/>
          <w:iCs w:val="0"/>
          <w:sz w:val="24"/>
          <w:szCs w:val="24"/>
          <w:lang w:eastAsia="zh-CN"/>
        </w:rPr>
        <w:t xml:space="preserve"> 其他需要提示的事项</w:t>
      </w:r>
    </w:p>
    <w:p w:rsidR="001B073A" w:rsidRDefault="00774104">
      <w:pPr>
        <w:widowControl w:val="0"/>
        <w:spacing w:line="360" w:lineRule="auto"/>
        <w:ind w:firstLine="420"/>
        <w:jc w:val="both"/>
        <w:rPr>
          <w:rFonts w:ascii="宋体" w:eastAsia="宋体" w:hAnsi="宋体" w:cs="宋体"/>
          <w:sz w:val="21"/>
          <w:szCs w:val="21"/>
          <w:lang w:eastAsia="zh-CN"/>
        </w:rPr>
      </w:pPr>
      <w:r w:rsidRPr="006B1AB6">
        <w:rPr>
          <w:rFonts w:ascii="宋体" w:eastAsia="宋体" w:hAnsi="宋体" w:cs="宋体"/>
          <w:sz w:val="21"/>
          <w:szCs w:val="21"/>
          <w:lang w:eastAsia="zh-CN"/>
        </w:rPr>
        <w:t>1、本基金的封闭期为自基金合同生效之日（含）起或自每一开放期结束之日次日（含）起至3个月后的对应日的前一日止。本基金的第一个封闭期为自合同生效之日（含）起至3个月后的对应日的前一日止。下一个封闭期为首个开放期结束之日次日（含）起至3个月后</w:t>
      </w:r>
      <w:r>
        <w:rPr>
          <w:rFonts w:ascii="宋体" w:eastAsia="宋体" w:hAnsi="宋体" w:cs="宋体"/>
          <w:sz w:val="21"/>
          <w:szCs w:val="21"/>
          <w:lang w:eastAsia="zh-CN"/>
        </w:rPr>
        <w:t>的对应日的前一日止，以此类推。如该对应日不存在对应日期或为非工作日，则顺延至下一工作日。本基金封闭期内不办理申购与赎回业务，也不上市交易。</w:t>
      </w:r>
    </w:p>
    <w:p w:rsidR="001B073A" w:rsidRDefault="00774104">
      <w:pPr>
        <w:widowControl w:val="0"/>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2、一般情况下，本基金的开放期为自封闭期结束之日后第一个工作日（含）起原则上不少于一个工作日、不超过二十个工作日的期间，具体期间由基金管理人在封闭期结束前公告说明。开放期内，本基金采取开放运作方式，投资人可办理基金份额的申购、赎回或其他业务，开放期未赎回的份额将自动转入下一个封闭期。</w:t>
      </w:r>
    </w:p>
    <w:p w:rsidR="001B073A" w:rsidRPr="006B1AB6" w:rsidRDefault="00774104">
      <w:pPr>
        <w:spacing w:line="360" w:lineRule="auto"/>
        <w:ind w:firstLine="420"/>
        <w:jc w:val="both"/>
        <w:rPr>
          <w:sz w:val="21"/>
          <w:szCs w:val="21"/>
          <w:lang w:eastAsia="zh-CN"/>
        </w:rPr>
      </w:pPr>
      <w:r>
        <w:rPr>
          <w:rFonts w:ascii="宋体" w:eastAsia="宋体" w:hAnsi="宋体" w:cs="宋体"/>
          <w:sz w:val="21"/>
          <w:szCs w:val="21"/>
          <w:lang w:eastAsia="zh-CN"/>
        </w:rPr>
        <w:t>3、如发</w:t>
      </w:r>
      <w:r w:rsidRPr="006B1AB6">
        <w:rPr>
          <w:rFonts w:ascii="宋体" w:eastAsia="宋体" w:hAnsi="宋体" w:cs="宋体"/>
          <w:sz w:val="21"/>
          <w:szCs w:val="21"/>
          <w:lang w:eastAsia="zh-CN"/>
        </w:rPr>
        <w:t>生不可抗力或其他情形致使基金无法按时开放或需依据基金合同暂停申购与赎回业务的，基金管理人有权合理调整申购或赎回业务的办理期间并予以公告。</w:t>
      </w:r>
    </w:p>
    <w:p w:rsidR="001B073A" w:rsidRPr="006B1AB6" w:rsidRDefault="00774104">
      <w:pPr>
        <w:spacing w:line="360" w:lineRule="auto"/>
        <w:ind w:firstLine="420"/>
        <w:jc w:val="both"/>
        <w:rPr>
          <w:sz w:val="21"/>
          <w:szCs w:val="21"/>
          <w:lang w:eastAsia="zh-CN"/>
        </w:rPr>
      </w:pPr>
      <w:r w:rsidRPr="006B1AB6">
        <w:rPr>
          <w:rFonts w:ascii="宋体" w:eastAsia="宋体" w:hAnsi="宋体" w:cs="宋体"/>
          <w:sz w:val="21"/>
          <w:szCs w:val="21"/>
          <w:lang w:eastAsia="zh-CN"/>
        </w:rPr>
        <w:t>4、本公告仅对本基金开放申购、赎回和转换业务的有关事项予以说明。投资人欲了解本基金相关业务规则的详细情况，请阅读刊登在中国证监会规定信息披露媒介上的《</w:t>
      </w:r>
      <w:r w:rsidRPr="006B1AB6">
        <w:rPr>
          <w:rStyle w:val="myInmportability"/>
          <w:rFonts w:ascii="宋体" w:eastAsia="宋体" w:hAnsi="宋体" w:cs="宋体"/>
          <w:sz w:val="21"/>
          <w:szCs w:val="21"/>
          <w:lang w:eastAsia="zh-CN"/>
        </w:rPr>
        <w:t>鹏华中短债3个月定期开放债券型证券投资基金</w:t>
      </w:r>
      <w:r w:rsidRPr="006B1AB6">
        <w:rPr>
          <w:rFonts w:ascii="宋体" w:eastAsia="宋体" w:hAnsi="宋体" w:cs="宋体"/>
          <w:sz w:val="21"/>
          <w:szCs w:val="21"/>
          <w:lang w:eastAsia="zh-CN"/>
        </w:rPr>
        <w:t>招募说明书》及其更新。</w:t>
      </w:r>
    </w:p>
    <w:p w:rsidR="001B073A" w:rsidRPr="006B1AB6" w:rsidRDefault="001B073A">
      <w:pPr>
        <w:spacing w:line="360" w:lineRule="auto"/>
        <w:ind w:firstLine="420"/>
        <w:rPr>
          <w:sz w:val="21"/>
          <w:szCs w:val="21"/>
          <w:lang w:eastAsia="zh-CN"/>
        </w:rPr>
      </w:pPr>
    </w:p>
    <w:p w:rsidR="001B073A" w:rsidRPr="006B1AB6" w:rsidRDefault="00774104">
      <w:pPr>
        <w:spacing w:line="360" w:lineRule="auto"/>
        <w:ind w:firstLine="420"/>
        <w:jc w:val="both"/>
        <w:rPr>
          <w:sz w:val="21"/>
          <w:szCs w:val="21"/>
          <w:lang w:eastAsia="zh-CN"/>
        </w:rPr>
      </w:pPr>
      <w:r w:rsidRPr="006B1AB6">
        <w:rPr>
          <w:rFonts w:ascii="宋体" w:eastAsia="宋体" w:hAnsi="宋体" w:cs="宋体"/>
          <w:sz w:val="21"/>
          <w:szCs w:val="21"/>
          <w:lang w:eastAsia="zh-CN"/>
        </w:rPr>
        <w:t>风险提示：本基金管理人承诺以诚实信用、勤勉尽责的原则管理和运用基金资产，但不保证基金一定盈利，也不保证最低收益。请投资人投资本基金前认真阅读本基金的基金合同、招募说明书（更新）和基金产品资料概要（更新），并根据自身风险承受能力选择适合自己的基金产品。敬请投资人注意投资风险。</w:t>
      </w:r>
    </w:p>
    <w:p w:rsidR="001B073A" w:rsidRPr="006B1AB6" w:rsidRDefault="001B073A">
      <w:pPr>
        <w:spacing w:line="360" w:lineRule="auto"/>
        <w:rPr>
          <w:sz w:val="21"/>
          <w:szCs w:val="21"/>
          <w:lang w:eastAsia="zh-CN"/>
        </w:rPr>
      </w:pPr>
    </w:p>
    <w:p w:rsidR="001B073A" w:rsidRDefault="00774104">
      <w:pPr>
        <w:spacing w:line="360" w:lineRule="auto"/>
        <w:ind w:firstLine="420"/>
        <w:jc w:val="right"/>
        <w:rPr>
          <w:rFonts w:ascii="宋体" w:eastAsia="宋体" w:hAnsi="宋体" w:cs="宋体"/>
          <w:sz w:val="21"/>
          <w:szCs w:val="21"/>
          <w:lang w:eastAsia="zh-CN"/>
        </w:rPr>
      </w:pPr>
      <w:r w:rsidRPr="006B1AB6">
        <w:rPr>
          <w:rFonts w:ascii="宋体" w:eastAsia="宋体" w:hAnsi="宋体" w:cs="宋体"/>
          <w:sz w:val="21"/>
          <w:szCs w:val="21"/>
          <w:lang w:eastAsia="zh-CN"/>
        </w:rPr>
        <w:t>鹏华基金管理有限公司</w:t>
      </w:r>
    </w:p>
    <w:p w:rsidR="006B1AB6" w:rsidRPr="006B1AB6" w:rsidRDefault="006B1AB6">
      <w:pPr>
        <w:spacing w:line="360" w:lineRule="auto"/>
        <w:ind w:firstLine="420"/>
        <w:jc w:val="right"/>
        <w:rPr>
          <w:sz w:val="21"/>
          <w:szCs w:val="21"/>
          <w:lang w:eastAsia="zh-CN"/>
        </w:rPr>
      </w:pPr>
      <w:r>
        <w:rPr>
          <w:rFonts w:ascii="宋体" w:eastAsia="宋体" w:hAnsi="宋体" w:cs="宋体" w:hint="eastAsia"/>
          <w:sz w:val="21"/>
          <w:szCs w:val="21"/>
          <w:lang w:eastAsia="zh-CN"/>
        </w:rPr>
        <w:t>2024年07月19日</w:t>
      </w:r>
    </w:p>
    <w:p w:rsidR="00A77B3E" w:rsidRDefault="00A77B3E"/>
    <w:sectPr w:rsidR="00A77B3E" w:rsidSect="00142C67">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F66" w:rsidRDefault="00442F66">
      <w:r>
        <w:separator/>
      </w:r>
    </w:p>
  </w:endnote>
  <w:endnote w:type="continuationSeparator" w:id="0">
    <w:p w:rsidR="00442F66" w:rsidRDefault="00442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3A" w:rsidRDefault="00142C67">
    <w:pPr>
      <w:jc w:val="center"/>
    </w:pPr>
    <w:r>
      <w:rPr>
        <w:rFonts w:ascii="宋体" w:eastAsia="宋体" w:hAnsi="宋体" w:cs="宋体"/>
        <w:sz w:val="18"/>
      </w:rPr>
      <w:fldChar w:fldCharType="begin"/>
    </w:r>
    <w:r w:rsidR="00774104">
      <w:rPr>
        <w:rFonts w:ascii="宋体" w:eastAsia="宋体" w:hAnsi="宋体" w:cs="宋体"/>
        <w:sz w:val="18"/>
        <w:lang w:eastAsia="zh-CN"/>
      </w:rPr>
      <w:instrText xml:space="preserve"> PAGE </w:instrText>
    </w:r>
    <w:r>
      <w:rPr>
        <w:rFonts w:ascii="宋体" w:eastAsia="宋体" w:hAnsi="宋体" w:cs="宋体"/>
        <w:sz w:val="18"/>
      </w:rPr>
      <w:fldChar w:fldCharType="separate"/>
    </w:r>
    <w:r w:rsidR="00BA2EE4">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F66" w:rsidRDefault="00442F66">
      <w:r>
        <w:separator/>
      </w:r>
    </w:p>
  </w:footnote>
  <w:footnote w:type="continuationSeparator" w:id="0">
    <w:p w:rsidR="00442F66" w:rsidRDefault="00442F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2716B"/>
    <w:rsid w:val="0006248F"/>
    <w:rsid w:val="0007297D"/>
    <w:rsid w:val="00142C67"/>
    <w:rsid w:val="00177483"/>
    <w:rsid w:val="001B073A"/>
    <w:rsid w:val="00442F66"/>
    <w:rsid w:val="006B1AB6"/>
    <w:rsid w:val="00774104"/>
    <w:rsid w:val="0096506F"/>
    <w:rsid w:val="00A77B3E"/>
    <w:rsid w:val="00BA2EE4"/>
    <w:rsid w:val="00CA2A55"/>
    <w:rsid w:val="00E17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67"/>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Inmportability">
    <w:name w:val="myInmportability"/>
    <w:basedOn w:val="a0"/>
    <w:rsid w:val="00142C67"/>
  </w:style>
  <w:style w:type="paragraph" w:styleId="1">
    <w:name w:val="toc 1"/>
    <w:basedOn w:val="a"/>
    <w:next w:val="a"/>
    <w:autoRedefine/>
    <w:rsid w:val="00805BCE"/>
    <w:pPr>
      <w:spacing w:line="360" w:lineRule="auto"/>
    </w:pPr>
    <w:rPr>
      <w:rFonts w:ascii="宋体" w:eastAsia="宋体" w:hAnsi="宋体" w:cs="宋体"/>
      <w:b/>
      <w:sz w:val="21"/>
    </w:rPr>
  </w:style>
  <w:style w:type="paragraph" w:styleId="a3">
    <w:name w:val="header"/>
    <w:basedOn w:val="a"/>
    <w:link w:val="Char"/>
    <w:unhideWhenUsed/>
    <w:rsid w:val="00965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506F"/>
    <w:rPr>
      <w:sz w:val="18"/>
      <w:szCs w:val="18"/>
    </w:rPr>
  </w:style>
  <w:style w:type="paragraph" w:styleId="a4">
    <w:name w:val="footer"/>
    <w:basedOn w:val="a"/>
    <w:link w:val="Char0"/>
    <w:unhideWhenUsed/>
    <w:rsid w:val="0096506F"/>
    <w:pPr>
      <w:tabs>
        <w:tab w:val="center" w:pos="4153"/>
        <w:tab w:val="right" w:pos="8306"/>
      </w:tabs>
      <w:snapToGrid w:val="0"/>
    </w:pPr>
    <w:rPr>
      <w:sz w:val="18"/>
      <w:szCs w:val="18"/>
    </w:rPr>
  </w:style>
  <w:style w:type="character" w:customStyle="1" w:styleId="Char0">
    <w:name w:val="页脚 Char"/>
    <w:basedOn w:val="a0"/>
    <w:link w:val="a4"/>
    <w:rsid w:val="0096506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1586</Words>
  <Characters>9045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缪莉芳</dc:creator>
  <cp:lastModifiedBy>ZHONGM</cp:lastModifiedBy>
  <cp:revision>2</cp:revision>
  <cp:lastPrinted>2024-07-18T02:00:00Z</cp:lastPrinted>
  <dcterms:created xsi:type="dcterms:W3CDTF">2024-07-18T16:05:00Z</dcterms:created>
  <dcterms:modified xsi:type="dcterms:W3CDTF">2024-07-18T16:05:00Z</dcterms:modified>
</cp:coreProperties>
</file>