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88" w:rsidRDefault="00744A2F">
      <w:pPr>
        <w:pStyle w:val="a9"/>
        <w:snapToGrid w:val="0"/>
        <w:spacing w:before="0" w:beforeAutospacing="0" w:after="0" w:afterAutospacing="0" w:line="240" w:lineRule="auto"/>
        <w:ind w:firstLineChars="0" w:firstLine="0"/>
        <w:jc w:val="center"/>
        <w:rPr>
          <w:b/>
          <w:sz w:val="30"/>
          <w:szCs w:val="30"/>
        </w:rPr>
      </w:pPr>
      <w:r>
        <w:rPr>
          <w:rFonts w:hint="eastAsia"/>
          <w:b/>
          <w:sz w:val="30"/>
          <w:szCs w:val="30"/>
        </w:rPr>
        <w:t>平安广州交投广河高速公路封闭式基础设施证券投资基金</w:t>
      </w:r>
    </w:p>
    <w:p w:rsidR="00165E88" w:rsidRDefault="00744A2F">
      <w:pPr>
        <w:pStyle w:val="a9"/>
        <w:snapToGrid w:val="0"/>
        <w:spacing w:before="0" w:beforeAutospacing="0" w:after="0" w:afterAutospacing="0" w:line="240" w:lineRule="auto"/>
        <w:ind w:firstLineChars="0" w:firstLine="0"/>
        <w:jc w:val="center"/>
        <w:rPr>
          <w:b/>
          <w:sz w:val="30"/>
          <w:szCs w:val="30"/>
        </w:rPr>
      </w:pPr>
      <w:r>
        <w:rPr>
          <w:rFonts w:hint="eastAsia"/>
          <w:b/>
          <w:sz w:val="30"/>
          <w:szCs w:val="30"/>
        </w:rPr>
        <w:t>关于原始权益人之一致行动人增持期间届满</w:t>
      </w:r>
    </w:p>
    <w:p w:rsidR="00165E88" w:rsidRDefault="00744A2F">
      <w:pPr>
        <w:pStyle w:val="a9"/>
        <w:snapToGrid w:val="0"/>
        <w:spacing w:before="0" w:beforeAutospacing="0" w:after="0" w:afterAutospacing="0" w:line="240" w:lineRule="auto"/>
        <w:ind w:firstLineChars="0" w:firstLine="0"/>
        <w:jc w:val="center"/>
        <w:rPr>
          <w:b/>
          <w:sz w:val="30"/>
          <w:szCs w:val="30"/>
        </w:rPr>
      </w:pPr>
      <w:r>
        <w:rPr>
          <w:rFonts w:hint="eastAsia"/>
          <w:b/>
          <w:sz w:val="30"/>
          <w:szCs w:val="30"/>
        </w:rPr>
        <w:t>暨增持计划实施情况的公告</w:t>
      </w:r>
    </w:p>
    <w:p w:rsidR="00165E88" w:rsidRDefault="00165E88">
      <w:pPr>
        <w:pStyle w:val="a9"/>
        <w:snapToGrid w:val="0"/>
        <w:spacing w:before="0" w:beforeAutospacing="0" w:after="0" w:afterAutospacing="0" w:line="240" w:lineRule="auto"/>
        <w:ind w:firstLineChars="0" w:firstLine="0"/>
        <w:jc w:val="center"/>
        <w:rPr>
          <w:b/>
          <w:sz w:val="30"/>
          <w:szCs w:val="30"/>
        </w:rPr>
      </w:pPr>
    </w:p>
    <w:p w:rsidR="00165E88" w:rsidRDefault="00165E88">
      <w:pPr>
        <w:pStyle w:val="a9"/>
        <w:snapToGrid w:val="0"/>
        <w:spacing w:before="0" w:beforeAutospacing="0" w:after="0" w:afterAutospacing="0" w:line="240" w:lineRule="auto"/>
        <w:ind w:firstLine="482"/>
        <w:jc w:val="center"/>
        <w:rPr>
          <w:b/>
        </w:rPr>
      </w:pPr>
    </w:p>
    <w:p w:rsidR="00165E88" w:rsidRDefault="00744A2F" w:rsidP="00290167">
      <w:pPr>
        <w:pStyle w:val="a9"/>
        <w:snapToGrid w:val="0"/>
        <w:spacing w:beforeLines="100" w:beforeAutospacing="0" w:after="0" w:afterAutospacing="0" w:line="360" w:lineRule="auto"/>
        <w:ind w:firstLine="482"/>
        <w:jc w:val="both"/>
        <w:rPr>
          <w:b/>
        </w:rPr>
      </w:pPr>
      <w:r>
        <w:rPr>
          <w:rFonts w:hint="eastAsia"/>
          <w:b/>
        </w:rPr>
        <w:t>一、公募REITs基本信息</w:t>
      </w:r>
    </w:p>
    <w:tbl>
      <w:tblPr>
        <w:tblStyle w:val="ab"/>
        <w:tblW w:w="8866" w:type="dxa"/>
        <w:jc w:val="center"/>
        <w:tblLook w:val="04A0"/>
      </w:tblPr>
      <w:tblGrid>
        <w:gridCol w:w="3596"/>
        <w:gridCol w:w="5270"/>
      </w:tblGrid>
      <w:tr w:rsidR="00165E88">
        <w:trPr>
          <w:trHeight w:val="270"/>
          <w:jc w:val="center"/>
        </w:trPr>
        <w:tc>
          <w:tcPr>
            <w:tcW w:w="3596"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公募REITs名称</w:t>
            </w:r>
          </w:p>
        </w:tc>
        <w:tc>
          <w:tcPr>
            <w:tcW w:w="5270"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平安广州交投广河高速公路封闭式基础设施证券投资基金</w:t>
            </w:r>
          </w:p>
        </w:tc>
      </w:tr>
      <w:tr w:rsidR="00165E88">
        <w:trPr>
          <w:trHeight w:val="310"/>
          <w:jc w:val="center"/>
        </w:trPr>
        <w:tc>
          <w:tcPr>
            <w:tcW w:w="3596"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公募REITs简称</w:t>
            </w:r>
          </w:p>
        </w:tc>
        <w:tc>
          <w:tcPr>
            <w:tcW w:w="5270"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平安广交投广河高速REIT</w:t>
            </w:r>
          </w:p>
        </w:tc>
      </w:tr>
      <w:tr w:rsidR="00165E88">
        <w:trPr>
          <w:trHeight w:val="310"/>
          <w:jc w:val="center"/>
        </w:trPr>
        <w:tc>
          <w:tcPr>
            <w:tcW w:w="3596"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场内简称</w:t>
            </w:r>
          </w:p>
        </w:tc>
        <w:tc>
          <w:tcPr>
            <w:tcW w:w="5270"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平安广州广河REIT</w:t>
            </w:r>
          </w:p>
        </w:tc>
      </w:tr>
      <w:tr w:rsidR="00165E88">
        <w:trPr>
          <w:trHeight w:val="310"/>
          <w:jc w:val="center"/>
        </w:trPr>
        <w:tc>
          <w:tcPr>
            <w:tcW w:w="3596"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公募REITs代码</w:t>
            </w:r>
          </w:p>
        </w:tc>
        <w:tc>
          <w:tcPr>
            <w:tcW w:w="5270" w:type="dxa"/>
          </w:tcPr>
          <w:p w:rsidR="00165E88" w:rsidRDefault="00744A2F">
            <w:pPr>
              <w:pStyle w:val="a9"/>
              <w:snapToGrid w:val="0"/>
              <w:spacing w:before="0" w:beforeAutospacing="0" w:after="0" w:afterAutospacing="0" w:line="360" w:lineRule="exact"/>
              <w:ind w:firstLineChars="0" w:firstLine="0"/>
              <w:jc w:val="both"/>
            </w:pPr>
            <w:r>
              <w:rPr>
                <w:rFonts w:hint="eastAsia"/>
              </w:rPr>
              <w:t>180201</w:t>
            </w:r>
          </w:p>
        </w:tc>
      </w:tr>
      <w:tr w:rsidR="00165E88">
        <w:trPr>
          <w:trHeight w:val="310"/>
          <w:jc w:val="center"/>
        </w:trPr>
        <w:tc>
          <w:tcPr>
            <w:tcW w:w="3596"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公募REITs合同生效日期</w:t>
            </w:r>
          </w:p>
        </w:tc>
        <w:tc>
          <w:tcPr>
            <w:tcW w:w="5270" w:type="dxa"/>
          </w:tcPr>
          <w:p w:rsidR="00165E88" w:rsidRDefault="00744A2F">
            <w:pPr>
              <w:pStyle w:val="a9"/>
              <w:snapToGrid w:val="0"/>
              <w:spacing w:before="0" w:beforeAutospacing="0" w:after="0" w:afterAutospacing="0" w:line="360" w:lineRule="exact"/>
              <w:ind w:firstLineChars="0" w:firstLine="0"/>
              <w:jc w:val="both"/>
            </w:pPr>
            <w:r>
              <w:rPr>
                <w:rFonts w:hint="eastAsia"/>
              </w:rPr>
              <w:t>2021年6月7日</w:t>
            </w:r>
          </w:p>
        </w:tc>
      </w:tr>
      <w:tr w:rsidR="00165E88">
        <w:trPr>
          <w:trHeight w:val="310"/>
          <w:jc w:val="center"/>
        </w:trPr>
        <w:tc>
          <w:tcPr>
            <w:tcW w:w="3596"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基金管理人名称</w:t>
            </w:r>
          </w:p>
        </w:tc>
        <w:tc>
          <w:tcPr>
            <w:tcW w:w="5270" w:type="dxa"/>
          </w:tcPr>
          <w:p w:rsidR="00165E88" w:rsidRDefault="00744A2F">
            <w:pPr>
              <w:pStyle w:val="a9"/>
              <w:snapToGrid w:val="0"/>
              <w:spacing w:before="0" w:beforeAutospacing="0" w:after="0" w:afterAutospacing="0" w:line="360" w:lineRule="exact"/>
              <w:ind w:firstLineChars="0" w:firstLine="0"/>
              <w:jc w:val="both"/>
            </w:pPr>
            <w:r>
              <w:rPr>
                <w:rFonts w:hint="eastAsia"/>
              </w:rPr>
              <w:t>平安基金管理有限公司</w:t>
            </w:r>
          </w:p>
        </w:tc>
      </w:tr>
      <w:tr w:rsidR="00165E88">
        <w:trPr>
          <w:trHeight w:val="319"/>
          <w:jc w:val="center"/>
        </w:trPr>
        <w:tc>
          <w:tcPr>
            <w:tcW w:w="3596"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基金托管人名称</w:t>
            </w:r>
          </w:p>
        </w:tc>
        <w:tc>
          <w:tcPr>
            <w:tcW w:w="5270" w:type="dxa"/>
          </w:tcPr>
          <w:p w:rsidR="00165E88" w:rsidRDefault="00744A2F">
            <w:pPr>
              <w:pStyle w:val="a9"/>
              <w:snapToGrid w:val="0"/>
              <w:spacing w:before="0" w:beforeAutospacing="0" w:after="0" w:afterAutospacing="0" w:line="360" w:lineRule="exact"/>
              <w:ind w:firstLineChars="0" w:firstLine="0"/>
              <w:jc w:val="both"/>
            </w:pPr>
            <w:r>
              <w:rPr>
                <w:rFonts w:hint="eastAsia"/>
              </w:rPr>
              <w:t>中国工商银行股份有限公司</w:t>
            </w:r>
          </w:p>
        </w:tc>
      </w:tr>
      <w:tr w:rsidR="00165E88">
        <w:trPr>
          <w:trHeight w:val="300"/>
          <w:jc w:val="center"/>
        </w:trPr>
        <w:tc>
          <w:tcPr>
            <w:tcW w:w="3596" w:type="dxa"/>
            <w:vAlign w:val="center"/>
          </w:tcPr>
          <w:p w:rsidR="00165E88" w:rsidRDefault="00744A2F">
            <w:pPr>
              <w:pStyle w:val="a9"/>
              <w:snapToGrid w:val="0"/>
              <w:spacing w:before="0" w:beforeAutospacing="0" w:after="0" w:afterAutospacing="0" w:line="360" w:lineRule="exact"/>
              <w:ind w:firstLineChars="0" w:firstLine="0"/>
              <w:jc w:val="both"/>
            </w:pPr>
            <w:r>
              <w:rPr>
                <w:rFonts w:hint="eastAsia"/>
              </w:rPr>
              <w:t>公告依据</w:t>
            </w:r>
          </w:p>
        </w:tc>
        <w:tc>
          <w:tcPr>
            <w:tcW w:w="5270" w:type="dxa"/>
          </w:tcPr>
          <w:p w:rsidR="00165E88" w:rsidRDefault="00744A2F">
            <w:pPr>
              <w:pStyle w:val="a9"/>
              <w:snapToGrid w:val="0"/>
              <w:spacing w:before="0" w:beforeAutospacing="0" w:after="0" w:afterAutospacing="0" w:line="360" w:lineRule="exact"/>
              <w:ind w:firstLineChars="0" w:firstLine="0"/>
              <w:jc w:val="both"/>
            </w:pPr>
            <w:r>
              <w:rPr>
                <w:rFonts w:hint="eastAsia"/>
              </w:rPr>
              <w:t>《中华人民共和国证券投资基金法》及其配套法规、《公开募集基础设施证券投资基金指引（试行）》、《深圳证券交易所公开募集基础设施证券投资基金业务办法（试行）》、《深圳证券交易所公开募集基础设施证券投资基金业务指引第5号——临时报告（试行）》等有关规定以及《平安广州交投广河高速公路封闭式基础设施证券投资基金基金合同》、《平安广州交投广河高速公路封闭式基础设施证券投资基金招募说明书》及其更新</w:t>
            </w:r>
          </w:p>
        </w:tc>
      </w:tr>
    </w:tbl>
    <w:p w:rsidR="00165E88" w:rsidRDefault="00744A2F" w:rsidP="00290167">
      <w:pPr>
        <w:pStyle w:val="a9"/>
        <w:snapToGrid w:val="0"/>
        <w:spacing w:beforeLines="100" w:beforeAutospacing="0" w:after="0" w:afterAutospacing="0" w:line="360" w:lineRule="auto"/>
        <w:ind w:firstLine="482"/>
        <w:jc w:val="both"/>
        <w:rPr>
          <w:b/>
        </w:rPr>
      </w:pPr>
      <w:r>
        <w:rPr>
          <w:rFonts w:hint="eastAsia"/>
          <w:b/>
        </w:rPr>
        <w:t>二、本基金增持计划的实施情况</w:t>
      </w:r>
    </w:p>
    <w:p w:rsidR="00165E88" w:rsidRDefault="00744A2F">
      <w:pPr>
        <w:pStyle w:val="a0"/>
        <w:spacing w:line="360" w:lineRule="auto"/>
        <w:ind w:firstLineChars="200" w:firstLine="480"/>
        <w:jc w:val="both"/>
        <w:rPr>
          <w:color w:val="000000"/>
          <w:lang w:eastAsia="zh-CN"/>
        </w:rPr>
      </w:pPr>
      <w:r>
        <w:rPr>
          <w:color w:val="000000"/>
          <w:lang w:eastAsia="zh-CN"/>
        </w:rPr>
        <w:t>基金管理人于2023年7月1</w:t>
      </w:r>
      <w:r>
        <w:rPr>
          <w:rFonts w:hint="eastAsia"/>
          <w:color w:val="000000"/>
          <w:lang w:eastAsia="zh-CN"/>
        </w:rPr>
        <w:t>5</w:t>
      </w:r>
      <w:r>
        <w:rPr>
          <w:color w:val="000000"/>
          <w:lang w:eastAsia="zh-CN"/>
        </w:rPr>
        <w:t>日发布了《</w:t>
      </w:r>
      <w:r>
        <w:rPr>
          <w:rFonts w:hint="eastAsia"/>
          <w:color w:val="000000"/>
          <w:lang w:eastAsia="zh-CN"/>
        </w:rPr>
        <w:t>平安广州交投广河高速公路封闭式基础设施证券投资基金关于基金原始权益人之一致行动人增持基金份额计划的公告</w:t>
      </w:r>
      <w:r>
        <w:rPr>
          <w:color w:val="000000"/>
          <w:lang w:eastAsia="zh-CN"/>
        </w:rPr>
        <w:t>》，本基金原始权益人</w:t>
      </w:r>
      <w:r>
        <w:rPr>
          <w:rFonts w:hint="eastAsia"/>
          <w:color w:val="000000"/>
          <w:lang w:eastAsia="zh-CN"/>
        </w:rPr>
        <w:t>之</w:t>
      </w:r>
      <w:r>
        <w:rPr>
          <w:color w:val="000000"/>
          <w:lang w:eastAsia="zh-CN"/>
        </w:rPr>
        <w:t>一致行动人广州交投私募基金管理有限公司计划增持平安广州广河REIT基金份额，自2023年7月15日起12个月内（含法律、法规及深圳证券交易所业务规则等有关规定不准增持的期间），拟增持金额不超过8,000万元。</w:t>
      </w:r>
    </w:p>
    <w:p w:rsidR="00165E88" w:rsidRDefault="00744A2F">
      <w:pPr>
        <w:pStyle w:val="a0"/>
        <w:spacing w:line="360" w:lineRule="auto"/>
        <w:ind w:firstLineChars="200" w:firstLine="480"/>
        <w:jc w:val="both"/>
        <w:rPr>
          <w:color w:val="000000"/>
          <w:lang w:eastAsia="zh-CN"/>
        </w:rPr>
      </w:pPr>
      <w:r>
        <w:rPr>
          <w:color w:val="000000"/>
          <w:lang w:eastAsia="zh-CN"/>
        </w:rPr>
        <w:t>截至本公告披露日，上述增持计划实施期限已届满，根据本基金管理人收到 的</w:t>
      </w:r>
      <w:r>
        <w:rPr>
          <w:rFonts w:hint="eastAsia"/>
          <w:color w:val="000000"/>
          <w:lang w:eastAsia="zh-CN"/>
        </w:rPr>
        <w:t>广州交通投资</w:t>
      </w:r>
      <w:r>
        <w:rPr>
          <w:color w:val="000000"/>
          <w:lang w:eastAsia="zh-CN"/>
        </w:rPr>
        <w:t>集团有限公司的通知，其一致行动人广州交投私募基金管理有限公司累计增持本基金基金份额</w:t>
      </w:r>
      <w:r>
        <w:rPr>
          <w:rFonts w:hint="eastAsia"/>
          <w:color w:val="000000"/>
          <w:lang w:eastAsia="zh-CN"/>
        </w:rPr>
        <w:t>78.55</w:t>
      </w:r>
      <w:r>
        <w:rPr>
          <w:color w:val="000000"/>
          <w:lang w:eastAsia="zh-CN"/>
        </w:rPr>
        <w:t>万份，占本基金已发行基金总份额的</w:t>
      </w:r>
      <w:r>
        <w:rPr>
          <w:rFonts w:hint="eastAsia"/>
          <w:color w:val="000000"/>
          <w:lang w:eastAsia="zh-CN"/>
        </w:rPr>
        <w:t>0.112</w:t>
      </w:r>
      <w:r>
        <w:rPr>
          <w:color w:val="000000"/>
          <w:lang w:eastAsia="zh-CN"/>
        </w:rPr>
        <w:t>%</w:t>
      </w:r>
      <w:r>
        <w:rPr>
          <w:rFonts w:hint="eastAsia"/>
          <w:color w:val="000000"/>
          <w:lang w:eastAsia="zh-CN"/>
        </w:rPr>
        <w:t>。</w:t>
      </w:r>
    </w:p>
    <w:p w:rsidR="00165E88" w:rsidRDefault="00744A2F" w:rsidP="00290167">
      <w:pPr>
        <w:pStyle w:val="a9"/>
        <w:snapToGrid w:val="0"/>
        <w:spacing w:beforeLines="100" w:beforeAutospacing="0" w:after="0" w:afterAutospacing="0" w:line="360" w:lineRule="auto"/>
        <w:ind w:firstLine="482"/>
        <w:jc w:val="both"/>
        <w:rPr>
          <w:b/>
        </w:rPr>
      </w:pPr>
      <w:r>
        <w:rPr>
          <w:rFonts w:hint="eastAsia"/>
          <w:b/>
        </w:rPr>
        <w:t>三、本次增持计划实施后，本基金原始权益人及其一致行动人持有份额情况</w:t>
      </w:r>
    </w:p>
    <w:p w:rsidR="00165E88" w:rsidRDefault="00165E88">
      <w:pPr>
        <w:spacing w:line="219" w:lineRule="auto"/>
        <w:sectPr w:rsidR="00165E88">
          <w:pgSz w:w="11907" w:h="16839"/>
          <w:pgMar w:top="1431" w:right="1785" w:bottom="0" w:left="1785" w:header="0" w:footer="0" w:gutter="0"/>
          <w:cols w:space="720"/>
        </w:sectPr>
      </w:pPr>
    </w:p>
    <w:p w:rsidR="00165E88" w:rsidRDefault="00744A2F">
      <w:pPr>
        <w:pStyle w:val="a0"/>
        <w:spacing w:line="360" w:lineRule="auto"/>
        <w:ind w:firstLineChars="200" w:firstLine="480"/>
        <w:jc w:val="both"/>
        <w:rPr>
          <w:color w:val="000000"/>
          <w:lang w:eastAsia="zh-CN"/>
        </w:rPr>
      </w:pPr>
      <w:r>
        <w:rPr>
          <w:color w:val="000000"/>
          <w:lang w:eastAsia="zh-CN"/>
        </w:rPr>
        <w:lastRenderedPageBreak/>
        <w:t>本次增持计划实施后，本基金原始权益人及其一致行动人合计持有基金份额比例从</w:t>
      </w:r>
      <w:r>
        <w:rPr>
          <w:rFonts w:hint="eastAsia"/>
          <w:color w:val="000000"/>
          <w:lang w:eastAsia="zh-CN"/>
        </w:rPr>
        <w:t>51</w:t>
      </w:r>
      <w:r>
        <w:rPr>
          <w:color w:val="000000"/>
          <w:lang w:eastAsia="zh-CN"/>
        </w:rPr>
        <w:t>.000%增加至</w:t>
      </w:r>
      <w:r>
        <w:rPr>
          <w:rFonts w:hint="eastAsia"/>
          <w:color w:val="000000"/>
          <w:lang w:eastAsia="zh-CN"/>
        </w:rPr>
        <w:t>5</w:t>
      </w:r>
      <w:r>
        <w:rPr>
          <w:color w:val="000000"/>
          <w:lang w:eastAsia="zh-CN"/>
        </w:rPr>
        <w:t>1.</w:t>
      </w:r>
      <w:r>
        <w:rPr>
          <w:rFonts w:hint="eastAsia"/>
          <w:color w:val="000000"/>
          <w:lang w:eastAsia="zh-CN"/>
        </w:rPr>
        <w:t>112</w:t>
      </w:r>
      <w:r>
        <w:rPr>
          <w:color w:val="000000"/>
          <w:lang w:eastAsia="zh-CN"/>
        </w:rPr>
        <w:t>%。本基金原始权益人</w:t>
      </w:r>
      <w:r>
        <w:rPr>
          <w:rFonts w:hint="eastAsia"/>
          <w:color w:val="000000"/>
          <w:lang w:eastAsia="zh-CN"/>
        </w:rPr>
        <w:t>同一控制下的关联方广州市高速公路有限公司</w:t>
      </w:r>
      <w:r>
        <w:rPr>
          <w:color w:val="000000"/>
          <w:lang w:eastAsia="zh-CN"/>
        </w:rPr>
        <w:t xml:space="preserve">持有本基金基金份额 </w:t>
      </w:r>
      <w:r>
        <w:rPr>
          <w:rFonts w:hint="eastAsia"/>
          <w:color w:val="000000"/>
          <w:lang w:eastAsia="zh-CN"/>
        </w:rPr>
        <w:t>35</w:t>
      </w:r>
      <w:r>
        <w:rPr>
          <w:color w:val="000000"/>
          <w:lang w:eastAsia="zh-CN"/>
        </w:rPr>
        <w:t>,</w:t>
      </w:r>
      <w:r>
        <w:rPr>
          <w:rFonts w:hint="eastAsia"/>
          <w:color w:val="000000"/>
          <w:lang w:eastAsia="zh-CN"/>
        </w:rPr>
        <w:t>7</w:t>
      </w:r>
      <w:r>
        <w:rPr>
          <w:color w:val="000000"/>
          <w:lang w:eastAsia="zh-CN"/>
        </w:rPr>
        <w:t>00.00万份，持有份额比例为</w:t>
      </w:r>
      <w:r>
        <w:rPr>
          <w:rFonts w:hint="eastAsia"/>
          <w:color w:val="000000"/>
          <w:lang w:eastAsia="zh-CN"/>
        </w:rPr>
        <w:t>51</w:t>
      </w:r>
      <w:r>
        <w:rPr>
          <w:color w:val="000000"/>
          <w:lang w:eastAsia="zh-CN"/>
        </w:rPr>
        <w:t>.000%；原始权益人之一致行动人广州交投私募基金管理有限公司持有本基金基金份额</w:t>
      </w:r>
      <w:r>
        <w:rPr>
          <w:rFonts w:hint="eastAsia"/>
          <w:color w:val="000000"/>
          <w:lang w:eastAsia="zh-CN"/>
        </w:rPr>
        <w:t>78</w:t>
      </w:r>
      <w:r>
        <w:rPr>
          <w:color w:val="000000"/>
          <w:lang w:eastAsia="zh-CN"/>
        </w:rPr>
        <w:t>.</w:t>
      </w:r>
      <w:r>
        <w:rPr>
          <w:rFonts w:hint="eastAsia"/>
          <w:color w:val="000000"/>
          <w:lang w:eastAsia="zh-CN"/>
        </w:rPr>
        <w:t>55</w:t>
      </w:r>
      <w:r>
        <w:rPr>
          <w:color w:val="000000"/>
          <w:lang w:eastAsia="zh-CN"/>
        </w:rPr>
        <w:t>万份，持有份额比例为</w:t>
      </w:r>
      <w:r>
        <w:rPr>
          <w:rFonts w:hint="eastAsia"/>
          <w:color w:val="000000"/>
          <w:lang w:eastAsia="zh-CN"/>
        </w:rPr>
        <w:t>0</w:t>
      </w:r>
      <w:r>
        <w:rPr>
          <w:color w:val="000000"/>
          <w:lang w:eastAsia="zh-CN"/>
        </w:rPr>
        <w:t>.</w:t>
      </w:r>
      <w:r>
        <w:rPr>
          <w:rFonts w:hint="eastAsia"/>
          <w:color w:val="000000"/>
          <w:lang w:eastAsia="zh-CN"/>
        </w:rPr>
        <w:t>112</w:t>
      </w:r>
      <w:r>
        <w:rPr>
          <w:color w:val="000000"/>
          <w:lang w:eastAsia="zh-CN"/>
        </w:rPr>
        <w:t>%。</w:t>
      </w:r>
    </w:p>
    <w:p w:rsidR="00165E88" w:rsidRDefault="00744A2F" w:rsidP="00290167">
      <w:pPr>
        <w:pStyle w:val="a9"/>
        <w:snapToGrid w:val="0"/>
        <w:spacing w:beforeLines="100" w:beforeAutospacing="0" w:after="0" w:afterAutospacing="0" w:line="360" w:lineRule="auto"/>
        <w:ind w:firstLine="482"/>
        <w:jc w:val="both"/>
        <w:rPr>
          <w:b/>
        </w:rPr>
      </w:pPr>
      <w:r>
        <w:rPr>
          <w:rFonts w:hint="eastAsia"/>
          <w:b/>
        </w:rPr>
        <w:t>四、本基金原始权益人之一致行动人在未来6个月内持有基金份额的计划</w:t>
      </w:r>
    </w:p>
    <w:p w:rsidR="00165E88" w:rsidRDefault="00744A2F">
      <w:pPr>
        <w:pStyle w:val="a0"/>
        <w:spacing w:line="360" w:lineRule="auto"/>
        <w:ind w:firstLineChars="200" w:firstLine="480"/>
        <w:jc w:val="both"/>
        <w:rPr>
          <w:color w:val="000000"/>
          <w:lang w:eastAsia="zh-CN"/>
        </w:rPr>
      </w:pPr>
      <w:r>
        <w:rPr>
          <w:color w:val="000000"/>
          <w:lang w:eastAsia="zh-CN"/>
        </w:rPr>
        <w:t>本基金增持主体将严格遵守承诺，本次增持基金份额在本次增持计划实施期间届满后6个月内不会通过大宗、协议转让或竞价交易等方式进行减持，减持行为将严格遵循相关法律法规要求。</w:t>
      </w:r>
    </w:p>
    <w:p w:rsidR="00165E88" w:rsidRDefault="00744A2F" w:rsidP="00290167">
      <w:pPr>
        <w:pStyle w:val="a9"/>
        <w:snapToGrid w:val="0"/>
        <w:spacing w:beforeLines="100" w:beforeAutospacing="0" w:after="0" w:afterAutospacing="0" w:line="360" w:lineRule="auto"/>
        <w:ind w:firstLine="482"/>
        <w:jc w:val="both"/>
        <w:rPr>
          <w:b/>
        </w:rPr>
      </w:pPr>
      <w:r>
        <w:rPr>
          <w:rFonts w:hint="eastAsia"/>
          <w:b/>
        </w:rPr>
        <w:t>五、其他情况说明</w:t>
      </w:r>
    </w:p>
    <w:p w:rsidR="00165E88" w:rsidRDefault="00744A2F">
      <w:pPr>
        <w:pStyle w:val="a0"/>
        <w:spacing w:line="360" w:lineRule="auto"/>
        <w:ind w:firstLineChars="200" w:firstLine="480"/>
        <w:jc w:val="both"/>
        <w:rPr>
          <w:color w:val="000000"/>
          <w:lang w:eastAsia="zh-CN"/>
        </w:rPr>
      </w:pPr>
      <w:r>
        <w:rPr>
          <w:color w:val="000000"/>
          <w:lang w:eastAsia="zh-CN"/>
        </w:rPr>
        <w:t>北京大成（广州）律师事务所已对本次增持进行专项核查并出具法律意见书</w:t>
      </w:r>
      <w:r>
        <w:rPr>
          <w:rFonts w:hint="eastAsia"/>
          <w:color w:val="000000"/>
          <w:lang w:eastAsia="zh-CN"/>
        </w:rPr>
        <w:t>,</w:t>
      </w:r>
      <w:r>
        <w:rPr>
          <w:color w:val="000000"/>
          <w:lang w:eastAsia="zh-CN"/>
        </w:rPr>
        <w:t>本次增持计划实施情况符合《中华人民共和国证券投资基金法》《公开募集基础设施证券投资基金指引（试行）》</w:t>
      </w:r>
      <w:r>
        <w:rPr>
          <w:rFonts w:hint="eastAsia"/>
          <w:color w:val="000000"/>
          <w:lang w:eastAsia="zh-CN"/>
        </w:rPr>
        <w:t>《深圳证券交易所公开募集基础设施证券投资基金业务办法（试行）》</w:t>
      </w:r>
      <w:r>
        <w:rPr>
          <w:color w:val="000000"/>
          <w:lang w:eastAsia="zh-CN"/>
        </w:rPr>
        <w:t>及《上市公司收购管理办法》等相关规定。</w:t>
      </w:r>
    </w:p>
    <w:p w:rsidR="00165E88" w:rsidRDefault="00744A2F">
      <w:pPr>
        <w:pStyle w:val="a0"/>
        <w:spacing w:line="360" w:lineRule="auto"/>
        <w:ind w:firstLineChars="200" w:firstLine="480"/>
        <w:jc w:val="both"/>
        <w:rPr>
          <w:color w:val="000000"/>
          <w:lang w:eastAsia="zh-CN"/>
        </w:rPr>
      </w:pPr>
      <w:r>
        <w:rPr>
          <w:color w:val="000000"/>
          <w:lang w:eastAsia="zh-CN"/>
        </w:rPr>
        <w:t>特此公告。</w:t>
      </w:r>
    </w:p>
    <w:p w:rsidR="00165E88" w:rsidRDefault="00165E88">
      <w:pPr>
        <w:pStyle w:val="a0"/>
        <w:spacing w:before="33" w:line="218" w:lineRule="auto"/>
        <w:ind w:left="518"/>
        <w:jc w:val="both"/>
        <w:rPr>
          <w:color w:val="000000"/>
          <w:lang w:eastAsia="zh-CN"/>
        </w:rPr>
      </w:pPr>
    </w:p>
    <w:p w:rsidR="00165E88" w:rsidRDefault="00165E88">
      <w:pPr>
        <w:widowControl/>
        <w:snapToGrid w:val="0"/>
        <w:spacing w:line="360" w:lineRule="auto"/>
        <w:ind w:firstLineChars="200" w:firstLine="480"/>
        <w:jc w:val="right"/>
        <w:rPr>
          <w:rFonts w:ascii="宋体" w:hAnsi="宋体" w:cs="宋体"/>
          <w:color w:val="000000"/>
          <w:sz w:val="24"/>
          <w:szCs w:val="24"/>
        </w:rPr>
      </w:pPr>
    </w:p>
    <w:p w:rsidR="00165E88" w:rsidRDefault="00165E88">
      <w:pPr>
        <w:widowControl/>
        <w:snapToGrid w:val="0"/>
        <w:spacing w:line="360" w:lineRule="auto"/>
        <w:ind w:firstLineChars="200" w:firstLine="480"/>
        <w:jc w:val="right"/>
        <w:rPr>
          <w:rFonts w:ascii="宋体" w:hAnsi="宋体" w:cs="宋体"/>
          <w:color w:val="000000"/>
          <w:sz w:val="24"/>
          <w:szCs w:val="24"/>
        </w:rPr>
      </w:pPr>
    </w:p>
    <w:p w:rsidR="00165E88" w:rsidRDefault="00744A2F">
      <w:pPr>
        <w:widowControl/>
        <w:snapToGrid w:val="0"/>
        <w:spacing w:line="360" w:lineRule="auto"/>
        <w:ind w:firstLineChars="200" w:firstLine="480"/>
        <w:jc w:val="right"/>
        <w:rPr>
          <w:rFonts w:ascii="宋体" w:hAnsi="宋体" w:cs="宋体"/>
          <w:color w:val="000000"/>
          <w:sz w:val="24"/>
          <w:szCs w:val="24"/>
        </w:rPr>
      </w:pPr>
      <w:r>
        <w:rPr>
          <w:rFonts w:ascii="宋体" w:hAnsi="宋体" w:cs="宋体" w:hint="eastAsia"/>
          <w:color w:val="000000"/>
          <w:sz w:val="24"/>
          <w:szCs w:val="24"/>
        </w:rPr>
        <w:t>平安基金管理有限公司</w:t>
      </w:r>
    </w:p>
    <w:p w:rsidR="00165E88" w:rsidRDefault="00744A2F">
      <w:pPr>
        <w:widowControl/>
        <w:snapToGrid w:val="0"/>
        <w:spacing w:line="360" w:lineRule="auto"/>
        <w:ind w:firstLineChars="200" w:firstLine="480"/>
        <w:jc w:val="right"/>
        <w:rPr>
          <w:rFonts w:ascii="宋体" w:hAnsi="宋体" w:cs="宋体"/>
          <w:color w:val="000000"/>
          <w:sz w:val="24"/>
          <w:szCs w:val="24"/>
        </w:rPr>
      </w:pPr>
      <w:r>
        <w:rPr>
          <w:rFonts w:ascii="宋体" w:hAnsi="宋体" w:cs="宋体" w:hint="eastAsia"/>
          <w:color w:val="000000"/>
          <w:sz w:val="24"/>
          <w:szCs w:val="24"/>
        </w:rPr>
        <w:t>二〇二四年七月十</w:t>
      </w:r>
      <w:r w:rsidR="00D20E78">
        <w:rPr>
          <w:rFonts w:ascii="宋体" w:hAnsi="宋体" w:cs="宋体" w:hint="eastAsia"/>
          <w:color w:val="000000"/>
          <w:sz w:val="24"/>
          <w:szCs w:val="24"/>
        </w:rPr>
        <w:t>八</w:t>
      </w:r>
      <w:bookmarkStart w:id="0" w:name="_GoBack"/>
      <w:bookmarkEnd w:id="0"/>
      <w:r>
        <w:rPr>
          <w:rFonts w:ascii="宋体" w:hAnsi="宋体" w:cs="宋体" w:hint="eastAsia"/>
          <w:color w:val="000000"/>
          <w:sz w:val="24"/>
          <w:szCs w:val="24"/>
        </w:rPr>
        <w:t>日</w:t>
      </w:r>
    </w:p>
    <w:sectPr w:rsidR="00165E88" w:rsidSect="005169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djZTA0ZGNjY2EyNGI3MGJiZDVmZDNkNTMwODg0NjYifQ=="/>
  </w:docVars>
  <w:rsids>
    <w:rsidRoot w:val="009C415D"/>
    <w:rsid w:val="000245F6"/>
    <w:rsid w:val="00027128"/>
    <w:rsid w:val="00047C38"/>
    <w:rsid w:val="00055197"/>
    <w:rsid w:val="0005726E"/>
    <w:rsid w:val="000739E1"/>
    <w:rsid w:val="000D2DE3"/>
    <w:rsid w:val="000E0848"/>
    <w:rsid w:val="00126663"/>
    <w:rsid w:val="00136FA7"/>
    <w:rsid w:val="00147FCC"/>
    <w:rsid w:val="001533A5"/>
    <w:rsid w:val="00165E88"/>
    <w:rsid w:val="001957E0"/>
    <w:rsid w:val="001F775E"/>
    <w:rsid w:val="00290167"/>
    <w:rsid w:val="002A3A28"/>
    <w:rsid w:val="002B547C"/>
    <w:rsid w:val="002D4D7E"/>
    <w:rsid w:val="002F1C28"/>
    <w:rsid w:val="00350399"/>
    <w:rsid w:val="0044291E"/>
    <w:rsid w:val="0045765B"/>
    <w:rsid w:val="00474EB3"/>
    <w:rsid w:val="004F53EA"/>
    <w:rsid w:val="005169E5"/>
    <w:rsid w:val="00561FDE"/>
    <w:rsid w:val="0059721B"/>
    <w:rsid w:val="00603907"/>
    <w:rsid w:val="0061286B"/>
    <w:rsid w:val="0061624D"/>
    <w:rsid w:val="00616D31"/>
    <w:rsid w:val="00657954"/>
    <w:rsid w:val="006E32AA"/>
    <w:rsid w:val="00744A2F"/>
    <w:rsid w:val="0076577D"/>
    <w:rsid w:val="007C0ABA"/>
    <w:rsid w:val="007C63FF"/>
    <w:rsid w:val="008124D8"/>
    <w:rsid w:val="00813351"/>
    <w:rsid w:val="00837A62"/>
    <w:rsid w:val="00847934"/>
    <w:rsid w:val="008669EF"/>
    <w:rsid w:val="00885943"/>
    <w:rsid w:val="008B66AB"/>
    <w:rsid w:val="008C1CA0"/>
    <w:rsid w:val="008C67F1"/>
    <w:rsid w:val="008F32B2"/>
    <w:rsid w:val="00924CF0"/>
    <w:rsid w:val="00954CD8"/>
    <w:rsid w:val="009B2F12"/>
    <w:rsid w:val="009B6882"/>
    <w:rsid w:val="009B7185"/>
    <w:rsid w:val="009B73BC"/>
    <w:rsid w:val="009C29F3"/>
    <w:rsid w:val="009C415D"/>
    <w:rsid w:val="009D0C15"/>
    <w:rsid w:val="009D622F"/>
    <w:rsid w:val="00A27BD3"/>
    <w:rsid w:val="00A52C54"/>
    <w:rsid w:val="00A638E4"/>
    <w:rsid w:val="00AD5894"/>
    <w:rsid w:val="00AE6A89"/>
    <w:rsid w:val="00B30524"/>
    <w:rsid w:val="00BE6700"/>
    <w:rsid w:val="00BF5F71"/>
    <w:rsid w:val="00C15876"/>
    <w:rsid w:val="00C4239E"/>
    <w:rsid w:val="00C5126C"/>
    <w:rsid w:val="00C62731"/>
    <w:rsid w:val="00C81700"/>
    <w:rsid w:val="00C824ED"/>
    <w:rsid w:val="00C96597"/>
    <w:rsid w:val="00CB3DC7"/>
    <w:rsid w:val="00CD794B"/>
    <w:rsid w:val="00D17847"/>
    <w:rsid w:val="00D20E78"/>
    <w:rsid w:val="00D53425"/>
    <w:rsid w:val="00D54BA7"/>
    <w:rsid w:val="00DE3CD5"/>
    <w:rsid w:val="00E12612"/>
    <w:rsid w:val="00E20B77"/>
    <w:rsid w:val="00E33AEC"/>
    <w:rsid w:val="00E8649C"/>
    <w:rsid w:val="00ED0A00"/>
    <w:rsid w:val="00ED0BB4"/>
    <w:rsid w:val="00EE608D"/>
    <w:rsid w:val="00F26ED8"/>
    <w:rsid w:val="026108F6"/>
    <w:rsid w:val="1BAE201F"/>
    <w:rsid w:val="1F8B2B01"/>
    <w:rsid w:val="263F0C4A"/>
    <w:rsid w:val="2DC1393D"/>
    <w:rsid w:val="374F4105"/>
    <w:rsid w:val="38BD71F3"/>
    <w:rsid w:val="3A38693C"/>
    <w:rsid w:val="3EA334B4"/>
    <w:rsid w:val="46F335FA"/>
    <w:rsid w:val="47F60B91"/>
    <w:rsid w:val="49957F36"/>
    <w:rsid w:val="521623B5"/>
    <w:rsid w:val="561C41F4"/>
    <w:rsid w:val="56E63154"/>
    <w:rsid w:val="56FB5734"/>
    <w:rsid w:val="571200F9"/>
    <w:rsid w:val="603C2A7C"/>
    <w:rsid w:val="6D5865A5"/>
    <w:rsid w:val="74973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semiHidden="0" w:uiPriority="0" w:unhideWhenUsed="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69E5"/>
    <w:pPr>
      <w:widowControl w:val="0"/>
      <w:autoSpaceDE w:val="0"/>
      <w:autoSpaceDN w:val="0"/>
      <w:adjustRightInd w:val="0"/>
      <w:textAlignment w:val="baseline"/>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semiHidden/>
    <w:qFormat/>
    <w:rsid w:val="005169E5"/>
    <w:rPr>
      <w:rFonts w:ascii="宋体" w:hAnsi="宋体" w:cs="宋体"/>
      <w:sz w:val="24"/>
      <w:szCs w:val="24"/>
      <w:lang w:eastAsia="en-US"/>
    </w:rPr>
  </w:style>
  <w:style w:type="paragraph" w:styleId="5">
    <w:name w:val="toc 5"/>
    <w:basedOn w:val="a"/>
    <w:next w:val="a"/>
    <w:uiPriority w:val="39"/>
    <w:unhideWhenUsed/>
    <w:qFormat/>
    <w:rsid w:val="005169E5"/>
    <w:pPr>
      <w:ind w:leftChars="800" w:left="1680"/>
    </w:pPr>
    <w:rPr>
      <w:rFonts w:asciiTheme="minorHAnsi" w:eastAsiaTheme="minorEastAsia" w:hAnsiTheme="minorHAnsi"/>
      <w:sz w:val="21"/>
      <w:szCs w:val="22"/>
    </w:rPr>
  </w:style>
  <w:style w:type="paragraph" w:styleId="a4">
    <w:name w:val="annotation text"/>
    <w:basedOn w:val="a"/>
    <w:link w:val="Char"/>
    <w:qFormat/>
    <w:rsid w:val="005169E5"/>
  </w:style>
  <w:style w:type="paragraph" w:styleId="a5">
    <w:name w:val="Balloon Text"/>
    <w:basedOn w:val="a"/>
    <w:link w:val="Char0"/>
    <w:uiPriority w:val="99"/>
    <w:semiHidden/>
    <w:unhideWhenUsed/>
    <w:qFormat/>
    <w:rsid w:val="005169E5"/>
    <w:rPr>
      <w:sz w:val="18"/>
      <w:szCs w:val="18"/>
    </w:rPr>
  </w:style>
  <w:style w:type="paragraph" w:styleId="a6">
    <w:name w:val="footer"/>
    <w:basedOn w:val="a"/>
    <w:link w:val="Char1"/>
    <w:uiPriority w:val="99"/>
    <w:unhideWhenUsed/>
    <w:qFormat/>
    <w:rsid w:val="005169E5"/>
    <w:pPr>
      <w:tabs>
        <w:tab w:val="center" w:pos="4153"/>
        <w:tab w:val="right" w:pos="8306"/>
      </w:tabs>
      <w:snapToGrid w:val="0"/>
    </w:pPr>
    <w:rPr>
      <w:sz w:val="18"/>
      <w:szCs w:val="18"/>
    </w:rPr>
  </w:style>
  <w:style w:type="paragraph" w:styleId="a7">
    <w:name w:val="header"/>
    <w:basedOn w:val="a"/>
    <w:link w:val="Char2"/>
    <w:uiPriority w:val="99"/>
    <w:unhideWhenUsed/>
    <w:qFormat/>
    <w:rsid w:val="005169E5"/>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qFormat/>
    <w:rsid w:val="005169E5"/>
    <w:pPr>
      <w:snapToGrid w:val="0"/>
    </w:pPr>
    <w:rPr>
      <w:sz w:val="18"/>
      <w:szCs w:val="18"/>
    </w:rPr>
  </w:style>
  <w:style w:type="paragraph" w:styleId="a9">
    <w:name w:val="Normal (Web)"/>
    <w:basedOn w:val="a"/>
    <w:uiPriority w:val="99"/>
    <w:qFormat/>
    <w:rsid w:val="005169E5"/>
    <w:pPr>
      <w:widowControl/>
      <w:autoSpaceDE/>
      <w:autoSpaceDN/>
      <w:adjustRightInd/>
      <w:spacing w:before="100" w:beforeAutospacing="1" w:after="100" w:afterAutospacing="1" w:line="560" w:lineRule="exact"/>
      <w:ind w:firstLineChars="200" w:firstLine="200"/>
      <w:textAlignment w:val="auto"/>
    </w:pPr>
    <w:rPr>
      <w:rFonts w:ascii="宋体" w:hAnsi="宋体" w:cs="宋体"/>
      <w:color w:val="000000"/>
      <w:sz w:val="24"/>
      <w:szCs w:val="24"/>
    </w:rPr>
  </w:style>
  <w:style w:type="paragraph" w:styleId="aa">
    <w:name w:val="annotation subject"/>
    <w:basedOn w:val="a4"/>
    <w:next w:val="a4"/>
    <w:link w:val="Char4"/>
    <w:uiPriority w:val="99"/>
    <w:semiHidden/>
    <w:unhideWhenUsed/>
    <w:qFormat/>
    <w:rsid w:val="005169E5"/>
    <w:rPr>
      <w:b/>
      <w:bCs/>
    </w:rPr>
  </w:style>
  <w:style w:type="table" w:styleId="ab">
    <w:name w:val="Table Grid"/>
    <w:basedOn w:val="a2"/>
    <w:uiPriority w:val="39"/>
    <w:qFormat/>
    <w:rsid w:val="00516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qFormat/>
    <w:rsid w:val="005169E5"/>
    <w:rPr>
      <w:sz w:val="21"/>
      <w:szCs w:val="21"/>
    </w:rPr>
  </w:style>
  <w:style w:type="character" w:styleId="ad">
    <w:name w:val="footnote reference"/>
    <w:qFormat/>
    <w:rsid w:val="005169E5"/>
    <w:rPr>
      <w:vertAlign w:val="superscript"/>
    </w:rPr>
  </w:style>
  <w:style w:type="character" w:customStyle="1" w:styleId="Char">
    <w:name w:val="批注文字 Char"/>
    <w:basedOn w:val="a1"/>
    <w:link w:val="a4"/>
    <w:qFormat/>
    <w:rsid w:val="005169E5"/>
    <w:rPr>
      <w:rFonts w:ascii="Times New Roman" w:eastAsia="宋体" w:hAnsi="Times New Roman" w:cs="Times New Roman"/>
      <w:kern w:val="0"/>
      <w:sz w:val="20"/>
      <w:szCs w:val="20"/>
    </w:rPr>
  </w:style>
  <w:style w:type="character" w:customStyle="1" w:styleId="Char3">
    <w:name w:val="脚注文本 Char"/>
    <w:basedOn w:val="a1"/>
    <w:link w:val="a8"/>
    <w:qFormat/>
    <w:rsid w:val="005169E5"/>
    <w:rPr>
      <w:rFonts w:ascii="Times New Roman" w:eastAsia="宋体" w:hAnsi="Times New Roman" w:cs="Times New Roman"/>
      <w:kern w:val="0"/>
      <w:sz w:val="18"/>
      <w:szCs w:val="18"/>
    </w:rPr>
  </w:style>
  <w:style w:type="character" w:customStyle="1" w:styleId="Char0">
    <w:name w:val="批注框文本 Char"/>
    <w:basedOn w:val="a1"/>
    <w:link w:val="a5"/>
    <w:uiPriority w:val="99"/>
    <w:semiHidden/>
    <w:qFormat/>
    <w:rsid w:val="005169E5"/>
    <w:rPr>
      <w:rFonts w:ascii="Times New Roman" w:eastAsia="宋体" w:hAnsi="Times New Roman" w:cs="Times New Roman"/>
      <w:kern w:val="0"/>
      <w:sz w:val="18"/>
      <w:szCs w:val="18"/>
    </w:rPr>
  </w:style>
  <w:style w:type="character" w:customStyle="1" w:styleId="Char2">
    <w:name w:val="页眉 Char"/>
    <w:basedOn w:val="a1"/>
    <w:link w:val="a7"/>
    <w:uiPriority w:val="99"/>
    <w:qFormat/>
    <w:rsid w:val="005169E5"/>
    <w:rPr>
      <w:rFonts w:ascii="Times New Roman" w:eastAsia="宋体" w:hAnsi="Times New Roman" w:cs="Times New Roman"/>
      <w:kern w:val="0"/>
      <w:sz w:val="18"/>
      <w:szCs w:val="18"/>
    </w:rPr>
  </w:style>
  <w:style w:type="character" w:customStyle="1" w:styleId="Char1">
    <w:name w:val="页脚 Char"/>
    <w:basedOn w:val="a1"/>
    <w:link w:val="a6"/>
    <w:uiPriority w:val="99"/>
    <w:qFormat/>
    <w:rsid w:val="005169E5"/>
    <w:rPr>
      <w:rFonts w:ascii="Times New Roman" w:eastAsia="宋体" w:hAnsi="Times New Roman" w:cs="Times New Roman"/>
      <w:kern w:val="0"/>
      <w:sz w:val="18"/>
      <w:szCs w:val="18"/>
    </w:rPr>
  </w:style>
  <w:style w:type="character" w:customStyle="1" w:styleId="Char4">
    <w:name w:val="批注主题 Char"/>
    <w:basedOn w:val="Char"/>
    <w:link w:val="aa"/>
    <w:uiPriority w:val="99"/>
    <w:semiHidden/>
    <w:qFormat/>
    <w:rsid w:val="005169E5"/>
    <w:rPr>
      <w:rFonts w:ascii="Times New Roman" w:eastAsia="宋体" w:hAnsi="Times New Roman" w:cs="Times New Roman"/>
      <w:b/>
      <w:bCs/>
      <w:kern w:val="0"/>
      <w:sz w:val="20"/>
      <w:szCs w:val="20"/>
    </w:rPr>
  </w:style>
  <w:style w:type="paragraph" w:customStyle="1" w:styleId="1">
    <w:name w:val="修订1"/>
    <w:hidden/>
    <w:uiPriority w:val="99"/>
    <w:semiHidden/>
    <w:qFormat/>
    <w:rsid w:val="005169E5"/>
  </w:style>
  <w:style w:type="paragraph" w:customStyle="1" w:styleId="Default">
    <w:name w:val="Default"/>
    <w:qFormat/>
    <w:rsid w:val="005169E5"/>
    <w:pPr>
      <w:widowControl w:val="0"/>
      <w:autoSpaceDE w:val="0"/>
      <w:autoSpaceDN w:val="0"/>
      <w:adjustRightInd w:val="0"/>
    </w:pPr>
    <w:rPr>
      <w:rFonts w:ascii="宋体" w:cs="宋体"/>
      <w:color w:val="000000"/>
      <w:sz w:val="24"/>
      <w:szCs w:val="24"/>
    </w:rPr>
  </w:style>
  <w:style w:type="paragraph" w:styleId="ae">
    <w:name w:val="List Paragraph"/>
    <w:basedOn w:val="a"/>
    <w:autoRedefine/>
    <w:uiPriority w:val="1"/>
    <w:qFormat/>
    <w:rsid w:val="005169E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1068</Characters>
  <Application>Microsoft Office Word</Application>
  <DocSecurity>4</DocSecurity>
  <Lines>8</Lines>
  <Paragraphs>2</Paragraphs>
  <ScaleCrop>false</ScaleCrop>
  <Company>P R C</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Wang</dc:creator>
  <cp:lastModifiedBy>ZHONGM</cp:lastModifiedBy>
  <cp:revision>2</cp:revision>
  <cp:lastPrinted>2022-05-19T09:29:00Z</cp:lastPrinted>
  <dcterms:created xsi:type="dcterms:W3CDTF">2024-07-17T16:02:00Z</dcterms:created>
  <dcterms:modified xsi:type="dcterms:W3CDTF">2024-07-17T16:02:00Z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07F9156052FA40B6BD9668792170947A</vt:lpwstr>
  </property>
</Properties>
</file>