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3A" w:rsidRDefault="005B1AE2" w:rsidP="00B6621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Pr>
          <w:rFonts w:ascii="仿宋" w:eastAsia="仿宋" w:hAnsi="仿宋" w:hint="eastAsia"/>
          <w:b/>
          <w:color w:val="000000" w:themeColor="text1"/>
          <w:sz w:val="32"/>
          <w:szCs w:val="32"/>
        </w:rPr>
        <w:t>公司旗下</w:t>
      </w:r>
      <w:bookmarkStart w:id="0" w:name="_GoBack"/>
      <w:bookmarkEnd w:id="0"/>
      <w:r>
        <w:rPr>
          <w:rFonts w:ascii="仿宋" w:eastAsia="仿宋" w:hAnsi="仿宋"/>
          <w:b/>
          <w:color w:val="000000" w:themeColor="text1"/>
          <w:sz w:val="32"/>
          <w:szCs w:val="32"/>
        </w:rPr>
        <w:t>基金202</w:t>
      </w:r>
      <w:r>
        <w:rPr>
          <w:rFonts w:ascii="仿宋" w:eastAsia="仿宋" w:hAnsi="仿宋" w:hint="eastAsia"/>
          <w:b/>
          <w:color w:val="000000" w:themeColor="text1"/>
          <w:sz w:val="32"/>
          <w:szCs w:val="32"/>
        </w:rPr>
        <w:t>4年第</w:t>
      </w:r>
      <w:r w:rsidR="003B1905">
        <w:rPr>
          <w:rFonts w:ascii="仿宋" w:eastAsia="仿宋" w:hAnsi="仿宋"/>
          <w:b/>
          <w:color w:val="000000" w:themeColor="text1"/>
          <w:sz w:val="32"/>
          <w:szCs w:val="32"/>
        </w:rPr>
        <w:t>2</w:t>
      </w:r>
      <w:r>
        <w:rPr>
          <w:rFonts w:ascii="仿宋" w:eastAsia="仿宋" w:hAnsi="仿宋" w:hint="eastAsia"/>
          <w:b/>
          <w:color w:val="000000" w:themeColor="text1"/>
          <w:sz w:val="32"/>
          <w:szCs w:val="32"/>
        </w:rPr>
        <w:t>季度报告提示性公告</w:t>
      </w:r>
    </w:p>
    <w:p w:rsidR="00DB093A" w:rsidRDefault="00DB093A" w:rsidP="00B66215">
      <w:pPr>
        <w:spacing w:line="540" w:lineRule="exact"/>
        <w:ind w:firstLineChars="50" w:firstLine="160"/>
        <w:jc w:val="center"/>
        <w:rPr>
          <w:rFonts w:ascii="仿宋" w:eastAsia="仿宋" w:hAnsi="仿宋"/>
          <w:b/>
          <w:color w:val="000000" w:themeColor="text1"/>
          <w:sz w:val="32"/>
          <w:szCs w:val="32"/>
        </w:rPr>
      </w:pP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本公司董事会及董事保证旗下</w:t>
      </w:r>
      <w:r>
        <w:rPr>
          <w:rFonts w:ascii="仿宋" w:eastAsia="仿宋" w:hAnsi="仿宋"/>
          <w:color w:val="000000" w:themeColor="text1"/>
          <w:sz w:val="32"/>
          <w:szCs w:val="32"/>
        </w:rPr>
        <w:t>证券投资</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202</w:t>
      </w:r>
      <w:r>
        <w:rPr>
          <w:rFonts w:ascii="仿宋" w:eastAsia="仿宋" w:hAnsi="仿宋" w:hint="eastAsia"/>
          <w:color w:val="000000" w:themeColor="text1"/>
          <w:sz w:val="32"/>
          <w:szCs w:val="32"/>
        </w:rPr>
        <w:t>4年第</w:t>
      </w:r>
      <w:r w:rsidR="003B1905">
        <w:rPr>
          <w:rFonts w:ascii="仿宋" w:eastAsia="仿宋" w:hAnsi="仿宋"/>
          <w:color w:val="000000" w:themeColor="text1"/>
          <w:sz w:val="32"/>
          <w:szCs w:val="32"/>
        </w:rPr>
        <w:t>2</w:t>
      </w:r>
      <w:r>
        <w:rPr>
          <w:rFonts w:ascii="仿宋" w:eastAsia="仿宋" w:hAnsi="仿宋" w:hint="eastAsia"/>
          <w:color w:val="000000" w:themeColor="text1"/>
          <w:sz w:val="32"/>
          <w:szCs w:val="32"/>
        </w:rPr>
        <w:t>季度报告所载资料不存在虚假记载、误导性陈述或重大遗漏，并对其内容的真实性、准确性和完整性承担个别及连带责任。</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鹏华基金管理有限</w:t>
      </w:r>
      <w:r>
        <w:rPr>
          <w:rFonts w:ascii="仿宋" w:eastAsia="仿宋" w:hAnsi="仿宋"/>
          <w:color w:val="000000" w:themeColor="text1"/>
          <w:sz w:val="32"/>
          <w:szCs w:val="32"/>
        </w:rPr>
        <w:t>公司</w:t>
      </w:r>
      <w:r>
        <w:rPr>
          <w:rFonts w:ascii="仿宋" w:eastAsia="仿宋" w:hAnsi="仿宋" w:hint="eastAsia"/>
          <w:color w:val="000000" w:themeColor="text1"/>
          <w:sz w:val="32"/>
          <w:szCs w:val="32"/>
        </w:rPr>
        <w:t>旗下：</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鹏华弘泰灵活配置混合型证券投资基金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鹏华普天收益证券投资基金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鹏华普天债券证券投资基金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鹏华中国50开放式证券投资基金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鹏华货币市场证券投资基金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鹏华价值优势混合型证券投资基金（LOF）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鹏华动力增长混合型证券投资基金（LOF）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鹏华优质治理混合型证券投资基金（LOF）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鹏华丰收债券型证券投资基金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鹏华盛世创新混合型证券投资基金（LOF）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鹏华沪深300交易型开放式指数证券投资基金联接基金（LOF）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鹏华精选成长混合型证券投资基金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鹏华中证500指数证券投资基金（LOF）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鹏华信用增利债券型证券投资基金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鹏华全球中短债债券型证券投资基金（QDII）</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鹏华丰润债券型证券投资基金（LOF）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鹏华消费优选混合型证券投资基金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鹏华丰盛稳固收益债券型证券投资基金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鹏华新兴产业混合型证券投资基金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鹏华美国房地产证券投资基金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鹏华丰泽债券型证券投资基金（LOF）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鹏华价值精选股票型证券投资基金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鹏华宏观灵活配置混合型证券投资基金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鹏华纯债债券型证券投资基金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鹏华中证A股资源产业指数型证券投资基金（LOF）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鹏华丰和债券型证券投资基金（LOF）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鹏华产业债债券型证券投资基金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鹏华双债增利债券型证券投资基金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鹏华丰利债券型证券投资基金（LOF）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鹏华永诚一年定期开放债券型证券投资基金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鹏华双债加利债券型证券投资基金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鹏华量化先锋混合型证券投资基金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鹏华丰实定期开放债券型证券投资基金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鹏华双债保利债券型证券投资基金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鹏华丰泰定期开放债券型证券投资基金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鹏华全球高收益债债券型证券投资基金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鹏华丰融定期开放债券型证券投资基金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鹏华消费领先灵活配置混合型证券投资基金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鹏华品牌传承灵活配置混合型证券投资基金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鹏华增值宝货币市场基金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鹏华环保产业股票型证券投资基金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鹏华中证信息技术指数型证券投资基金（LOF）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鹏华中证800证券保险指数型证券投资基金（LOF）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鹏华策略优选灵活配置混合型证券投资基金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鹏华中证800地产指数型证券投资基金（LOF）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鹏华医疗保健股票型证券投资基金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鹏华先进制造股票型证券投资基金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鹏华中证国防指数型证券投资基金（LOF）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鹏华养老产业股票型证券投资基金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鹏华中证传媒指数型证券投资基金（LOF）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鹏华安盈宝货币市场基金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鹏华可转债债券型证券投资基金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鹏华弘盛灵活配置混合型证券投资基金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鹏华弘利灵活配置混合型证券投资基金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鹏华弘润灵活配置混合型证券投资基金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鹏华弘泽灵活配置混合型证券投资基金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鹏华中证银行指数型证券投资基金（LOF）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鹏华改革红利股票型证券投资基金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鹏华中证酒指数型证券投资基金（LOF）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鹏华中证全指证券公司指数型证券投资基金（LOF）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鹏华中证一带一路主题指数型证券投资基金（LOF）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鹏华外延成长灵活配置混合型证券投资基金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鹏华弘和灵活配置混合型证券投资基金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鹏华弘华灵活配置混合型证券投资基金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鹏华弘实灵活配置混合型证券投资基金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鹏华弘信灵活配置混合型证券投资基金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鹏华中证高铁产业指数型证券投资基金（LOF）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鹏华弘益灵活配置混合型证券投资基金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鹏华医药科技股票型证券投资基金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鹏华创业板指数型证券投资基金（LOF）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鹏华中证环保产业指数型证券投资基金（LOF）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鹏华中证移动互联网指数型证券投资基金（LOF）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鹏华弘鑫灵活配置混合型证券投资基金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鹏华前海万科REITs封闭式混合型发起式证券投资基金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鹏华添利宝货币市场基金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鹏华国证钢铁行业指数型证券投资基金（LOF）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鹏华沪深300指数增强型证券投资基金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鹏华中证医药卫生指数证券投资基金（LOF）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鹏华弘安灵活配置混合型证券投资基金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鹏华丰华债券型证券投资基金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鹏华健康环保灵活配置混合型证券投资基金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鹏华文化传媒娱乐股票型证券投资基金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鹏华添利交易型货币市场基金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鹏华丰尚定期开放债券型证券投资基金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鹏华永达中短债6个月定期开放债券型证券投资基金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鹏华金城灵活配置混合型证券投资基金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鹏华丰茂债券型证券投资基金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鹏华弘达灵活配置混合型证券投资基金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鹏华弘嘉灵活配置混合型证券投资基金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鹏华丰饶定期开放债券型证券投资基金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鹏华增瑞灵活配置混合型证券投资基金（LOF）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鹏华丰恒债券型证券投资基金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鹏华弘惠灵活配置混合型证券投资基金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鹏华弘康灵活配置混合型证券投资基金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鹏华弘尚灵活配置混合型证券投资基金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鹏华丰禄债券型证券投资基金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鹏华港股通中证香港银行投资指数证券投资基金（LOF）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鹏华丰盈债券型证券投资基金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鹏华兴泰定期开放灵活配置混合型证券投资基金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鹏华沪深港新兴成长灵活配置混合型证券投资基金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鹏华丰惠债券型证券投资基金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鹏华兴悦定期开放灵活配置混合型证券投资基金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鹏华永盛一年定期开放债券型证券投资基金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鹏华安益增强混合型证券投资基金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鹏华丰享债券型证券投资基金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鹏华丰玉债券型证券投资基金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鹏华永安18个月定期开放债券型证券投资基金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鹏华丰康债券型证券投资基金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鹏华沪深港互联网股票型证券投资基金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鹏华丰瑞债券型证券投资基金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鹏华聚财通货币市场基金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鹏华永泰18个月定期开放债券型证券投资基金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鹏华丰源债券型证券投资基金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鹏华盈余宝货币市场基金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鹏华中证空天一体军工指数证券投资基金（LOF）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鹏华金元宝货币市场基金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鹏华兴鑫宝货币市场基金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鹏华策略回报灵活配置混合型证券投资基金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鹏华研究精选灵活配置混合型证券投资基金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鹏华香港美国互联网股票型证券投资基金（LOF）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鹏华优势企业股票型证券投资基金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鹏华永泽18个月定期开放债券型证券投资基金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鹏华尊惠18个月定期开放混合型证券投资基金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鹏华尊悦3个月定期开放债券型发起式证券投资基金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鹏华产业精选灵活配置混合型证券投资基金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鹏华睿投灵活配置混合型证券投资基金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鹏华创新驱动混合型证券投资基金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鹏华尊享6个月定期开放债券型发起式证券投资基金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鹏华研究驱动混合型证券投资基金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鹏华中短债3个月定期开放债券型证券投资基金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鹏华养老目标日期2035三年持有期混合型基金中基金（FOF）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鹏华优选回报灵活配置混合型证券投资基金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鹏华永融一年定期开放债券型证券投资基金</w:t>
      </w:r>
    </w:p>
    <w:p w:rsidR="00C17EC9" w:rsidRPr="00C17EC9" w:rsidRDefault="00C17EC9" w:rsidP="00C17EC9">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鹏华中债1-3年国开行债券指数证券投资基金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鹏华永润一年定期开放债券型证券投资基金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鹏华核心优势混合型证券投资基金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鹏华中证酒交易型开放式指数证券投资基金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鹏华长乐稳健养老目标一年持有期混合型发起式基金中基金（FOF）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鹏华养老目标日期2045三年持有期混合型发起式基金中基金（FOF）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鹏华研究智选混合型证券投资基金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鹏华创新动力灵活配置混合型证券投资基金（LOF）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鹏华尊诚3个月定期开放债券型发起式证券投资基金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鹏华尊晟3个月定期开放债券型发起式证券投资基金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鹏华精选回报三年定期开放混合型证券投资基金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鹏华中证国防交易型开放式指数证券投资基金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鹏华金利债券型证券投资基金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鹏华丰登债券型证券投资基金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鹏华中证5年期地方政府债交易型开放式指数证券投资基金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鹏华浮动净值型发起式货币市场基金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鹏华尊信3个月定期开放债券型发起式证券投资基金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鹏华锦利两年定期开放债券型证券投资基金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鹏华丰鑫债券型证券投资基金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鹏华丰庆债券型证券投资基金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鹏华稳利短债债券型证券投资基金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鹏华中证500交易型开放式指数证券投资基金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鹏华金享混合型证券投资基金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鹏华价值驱动混合型证券投资基金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鹏华优选价值股票型证券投资基金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鹏华中证银行交易型开放式指数证券投资基金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鹏华0-5年利率债债券型发起式证券投资基金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鹏华尊泰一年定期开放债券型发起式证券投资基金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鹏华国证证券龙头交易型开放式指数证券投资基金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鹏华中证500交易型开放式指数证券投资基金联接基金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鹏华科技创新混合型证券投资基金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鹏华价值成长混合型证券投资基金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鹏华尊裕一年定期开放债券型发起式证券投资基金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鹏华优质回报两年定期开放混合型证券投资基金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鹏华中证800证券保险交易型开放式指数证券投资基金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鹏华中证传媒交易型开放式指数证券投资基金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鹏华丰诚债券型证券投资基金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鹏华安泽混合型证券投资基金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鹏华稳健回报混合型证券投资基金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鹏华鑫享稳健混合型证券投资基金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鹏华国证半导体芯片交易型开放式指数证券投资基金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鹏华中债3-5年国开行债券指数证券投资基金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鹏华价值共赢两年持有期混合型证券投资基金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鹏华股息精选混合型证券投资基金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鹏华成长价值混合型证券投资基金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鹏华尊达一年定期开放债券型发起式证券投资基金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鹏华优质企业混合型证券投资基金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鹏华普利债券型证券投资基金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鹏华安和混合型证券投资基金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鹏华安庆混合型证券投资基金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鹏华安惠混合型证券投资基金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鹏华匠心精选混合型证券投资基金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鹏华新兴成长混合型证券投资基金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鹏华锦润86个月定期开放债券型证券投资基金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鹏华安睿两年持有期混合型证券投资基金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鹏华中证0-4年期地方政府债交易型开放式指数证券投资基金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鹏华招华一年持有期混合型证券投资基金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鹏华中债1-3年农发行债券指数证券投资基金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鹏华年年红一年持有期债券型证券投资基金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鹏华中债-0-3年AA+优选信用债指数证券投资基金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鹏华启航混合型证券投资基金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鹏华创新未来混合型证券投资基金（LOF）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鹏华成长智选混合型证券投资基金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鹏华丰颐债券型证券投资基金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鹏华高质量增长混合型证券投资基金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鹏华优选成长混合型证券投资基金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鹏华尊和一年定期开放债券型发起式证券投资基金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鹏华安润混合型证券投资基金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鹏华安享一年持有期混合型证券投资基金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鹏华汇智优选混合型证券投资基金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鹏华安裕5个月持有期混合型证券投资基金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鹏华弘裕一年持有期混合型证券投资基金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鹏华品质优选混合型证券投资基金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鹏华安悦一年持有期混合型证券投资基金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鹏华中证光伏产业交易型开放式指数证券投资基金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鹏华中证细分化工产业主题交易型开放式指数证券投资基金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鹏华中证畜牧养殖交易型开放式指数证券投资基金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鹏华国证有色金属行业交易型开放式指数证券投资基金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鹏华宁华一年持有期混合型证券投资基金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鹏华创新成长混合型证券投资基金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鹏华致远成长混合型证券投资基金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鹏华远见回报三年持有期混合型证券投资基金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鹏华民丰盈和6个月持有期混合型证券投资基金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鹏华中证内地低碳经济主题交易型开放式指数证券投资基金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鹏华招润一年持有期混合型证券投资基金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鹏华鑫远价值一年持有期混合型证券投资基金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鹏华远见成长混合型证券投资基金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鹏华永益3个月定期开放债券型证券投资基金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鹏华中证车联网主题交易型开放式指数证券投资基金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鹏华创新升级混合型证券投资基金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鹏华领航一年持有期混合型证券投资基金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鹏华稳泰30天滚动持有债券型证券投资基金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鹏华中证港股通医药卫生综合交易型开放式指数证券投资基金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鹏华中证内地低碳经济主题交易型开放式指数证券投资基金联接基金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鹏华新能源精选混合型证券投资基金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鹏华丰宁债券型证券投资基金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鹏华中证港股通消费主题交易型开放式指数证券投资基金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鹏华品质成长混合型证券投资基金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鹏华长治稳健养老目标一年持有期混合型基金中基金（FOF）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鹏华国证半导体芯片交易型开放式指数证券投资基金联接基金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鹏华稳健鸿利一年持有期混合型证券投资基金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鹏华产业升级混合型证券投资基金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鹏华安诚混合型证券投资基金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鹏华国证ESG300交易型开放式指数证券投资基金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鹏华安荣混合型证券投资基金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鹏华精选群英一年持有期灵活配置混合型管理人中管理人（MOM）证券投资基金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鹏华上华一年持有期混合型证券投资基金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鹏华品质精选混合型证券投资基金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鹏华安康一年持有期混合型证券投资基金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鹏华稳华90天滚动持有债券型证券投资基金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鹏华安颐混合型证券投资基金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鹏华中证云计算与大数据主题交易型开放式指数证券投资基金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鹏华中证沪港深科技龙头指数证券投资基金（LOF）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鹏华中证港股通科技交易型开放式指数证券投资基金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鹏华中证同业存单AAA指数7天持有期证券投资基金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鹏华沃鑫混合型证券投资基金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鹏华稳瑞中短债债券型证券投资基金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鹏华中证500指数增强型证券投资基金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鹏华成长领航两年持有期混合型证券投资基金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鹏华中证工业互联网主题交易型开放式指数证券投资基金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鹏华价值远航6个月持有期混合型证券投资基金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鹏华中证细分化工产业主题交易型开放式指数证券投资基金联接基金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鹏华双季享180天持有期债券型证券投资基金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鹏华永宁3个月定期开放债券型证券投资基金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鹏华浙华一年持有期混合型证券投资基金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鹏华创新增长一年持有期混合型证券投资基金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鹏华鑫华一年持有期混合型证券投资基金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鹏华深圳能源清洁能源封闭式基础设施证券投资基金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鹏华稳享一年持有期混合型证券投资基金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鹏华中证中药交易型开放式指数证券投资基金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鹏华新能源汽车主题混合型证券投资基金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鹏华永平6个月定期开放债券型证券投资基金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鹏华增华混合型证券投资基金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鹏华兴鹏一年持有期混合型证券投资基金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鹏华增鑫股票型证券投资基金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鹏华丰启债券型证券投资基金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鹏华畅享债券型证券投资基金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鹏华创兴增利债券型证券投资基金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鹏华稳福中短债债券型证券投资基金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鹏华永鑫一年定期开放债券型证券投资基金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鹏华中证中药交易型开放式指数证券投资基金联接基金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鹏华上证科创板50成份增强策略交易型开放式指数证券投资基金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鹏华创业板50交易型开放式指数证券投资基金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鹏华中证1000指数增强型证券投资基金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鹏华稳健增利债券型证券投资基金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鹏华稳健恒利债券型证券投资基金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鹏华养老目标日期2040五年持有期混合型发起式基金中基金（FOF）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鹏华睿进一年持有期混合型证券投资基金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鹏华国证2000指数增强型证券投资基金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鹏华国证疫苗与生物科技交易型开放式指数证券投资基金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鹏华丰尊债券型证券投资基金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鹏华安锦一年持有期混合型证券投资基金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鹏华汽车产业混合型发起式证券投资基金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鹏华新材料混合型发起式证券投资基金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鹏华国证石油天然气交易型开放式指数证券投资基金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鹏华稳健添利债券型证券投资基金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鹏华悦享一年持有期混合型证券投资基金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鹏华碳中和主题混合型证券投资基金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鹏华中证港股通消费主题交易型开放式指数证券投资基金联接基金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鹏华芯片产业混合型发起式证券投资基金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鹏华丰顺债券型证券投资基金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鹏华沪深300交易型开放式指数证券投资基金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鹏华睿见混合型证券投资基金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鹏华高端装备一年持有期混合型证券投资基金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鹏华国证粮食产业交易型开放式指数证券投资基金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鹏华创业板50交易型开放式指数证券投资基金联接基金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鹏华信用债6个月持有期债券型证券投资基金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鹏华中证1000增强策略交易型开放式指数证券投资基金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鹏华上证科创板100交易型开放式指数证券投资基金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鹏华养老目标日期2050五年持有期混合型发起式基金中基金（FOF）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鹏华易诚积极3个月持有期混合型基金中基金（FOF）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鹏华远见精选混合型发起式证券投资基金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鹏华上证科创板100交易型开放式指数证券投资基金联接基金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鹏华易选积极3个月持有期混合型基金中基金（FOF）</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鹏华丰景债券型证券投资基金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鹏华道琼斯工业平均交易型开放式指数证券投资基金（QDII）</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鹏华智投800混合型证券投资基金</w:t>
      </w:r>
    </w:p>
    <w:p w:rsidR="00C17EC9" w:rsidRDefault="00C17EC9">
      <w:pPr>
        <w:spacing w:line="540" w:lineRule="exact"/>
        <w:ind w:firstLineChars="200" w:firstLine="640"/>
        <w:rPr>
          <w:rFonts w:ascii="仿宋" w:eastAsia="仿宋" w:hAnsi="仿宋"/>
          <w:color w:val="000000" w:themeColor="text1"/>
          <w:sz w:val="32"/>
          <w:szCs w:val="32"/>
        </w:rPr>
      </w:pPr>
      <w:r w:rsidRPr="00C17EC9">
        <w:rPr>
          <w:rFonts w:ascii="仿宋" w:eastAsia="仿宋" w:hAnsi="仿宋" w:hint="eastAsia"/>
          <w:color w:val="000000" w:themeColor="text1"/>
          <w:sz w:val="32"/>
          <w:szCs w:val="32"/>
        </w:rPr>
        <w:t>鹏华双季红180天持有期债券型证券投资基金</w:t>
      </w:r>
    </w:p>
    <w:p w:rsidR="00C17EC9" w:rsidRDefault="00C17EC9">
      <w:pPr>
        <w:spacing w:line="540" w:lineRule="exact"/>
        <w:ind w:firstLineChars="200" w:firstLine="640"/>
        <w:rPr>
          <w:rFonts w:ascii="仿宋" w:eastAsia="仿宋" w:hAnsi="仿宋"/>
          <w:color w:val="000000" w:themeColor="text1"/>
          <w:sz w:val="32"/>
          <w:szCs w:val="32"/>
        </w:rPr>
      </w:pPr>
      <w:r w:rsidRPr="00C17EC9">
        <w:rPr>
          <w:rFonts w:ascii="仿宋" w:eastAsia="仿宋" w:hAnsi="仿宋" w:hint="eastAsia"/>
          <w:color w:val="000000" w:themeColor="text1"/>
          <w:sz w:val="32"/>
          <w:szCs w:val="32"/>
        </w:rPr>
        <w:t>鹏华稳益180天持有期债券型证券投资基金</w:t>
      </w:r>
    </w:p>
    <w:p w:rsidR="00C17EC9" w:rsidRDefault="00C17EC9">
      <w:pPr>
        <w:spacing w:line="540" w:lineRule="exact"/>
        <w:ind w:firstLineChars="200" w:firstLine="640"/>
        <w:rPr>
          <w:rFonts w:ascii="仿宋" w:eastAsia="仿宋" w:hAnsi="仿宋"/>
          <w:color w:val="000000" w:themeColor="text1"/>
          <w:sz w:val="32"/>
          <w:szCs w:val="32"/>
        </w:rPr>
      </w:pPr>
      <w:r w:rsidRPr="00C17EC9">
        <w:rPr>
          <w:rFonts w:ascii="仿宋" w:eastAsia="仿宋" w:hAnsi="仿宋" w:hint="eastAsia"/>
          <w:color w:val="000000" w:themeColor="text1"/>
          <w:sz w:val="32"/>
          <w:szCs w:val="32"/>
        </w:rPr>
        <w:t>鹏华中证电信主题交易型开放式指数证券投资基金</w:t>
      </w:r>
    </w:p>
    <w:p w:rsidR="00C17EC9" w:rsidRPr="00C17EC9" w:rsidRDefault="00C17EC9" w:rsidP="00C17EC9">
      <w:pPr>
        <w:spacing w:line="540" w:lineRule="exact"/>
        <w:ind w:firstLineChars="200" w:firstLine="640"/>
        <w:rPr>
          <w:rFonts w:ascii="仿宋" w:eastAsia="仿宋" w:hAnsi="仿宋"/>
          <w:color w:val="000000" w:themeColor="text1"/>
          <w:sz w:val="32"/>
          <w:szCs w:val="32"/>
        </w:rPr>
      </w:pPr>
      <w:r w:rsidRPr="00C17EC9">
        <w:rPr>
          <w:rFonts w:ascii="仿宋" w:eastAsia="仿宋" w:hAnsi="仿宋" w:hint="eastAsia"/>
          <w:color w:val="000000" w:themeColor="text1"/>
          <w:sz w:val="32"/>
          <w:szCs w:val="32"/>
        </w:rPr>
        <w:t>鹏华中证车联网主题交易型开放式指数证券投资基金发起式联接基金</w:t>
      </w:r>
    </w:p>
    <w:p w:rsidR="00C17EC9" w:rsidRPr="00C17EC9" w:rsidRDefault="00C17EC9" w:rsidP="00C17EC9">
      <w:pPr>
        <w:spacing w:line="540" w:lineRule="exact"/>
        <w:ind w:firstLineChars="200" w:firstLine="640"/>
        <w:rPr>
          <w:rFonts w:ascii="仿宋" w:eastAsia="仿宋" w:hAnsi="仿宋"/>
          <w:color w:val="000000" w:themeColor="text1"/>
          <w:sz w:val="32"/>
          <w:szCs w:val="32"/>
        </w:rPr>
      </w:pPr>
      <w:r w:rsidRPr="00C17EC9">
        <w:rPr>
          <w:rFonts w:ascii="仿宋" w:eastAsia="仿宋" w:hAnsi="仿宋" w:hint="eastAsia"/>
          <w:color w:val="000000" w:themeColor="text1"/>
          <w:sz w:val="32"/>
          <w:szCs w:val="32"/>
        </w:rPr>
        <w:t>鹏华恒生中国央企交易型开放式指数证券投资基金（QDII）</w:t>
      </w:r>
    </w:p>
    <w:p w:rsidR="00C17EC9" w:rsidRDefault="00C17EC9" w:rsidP="00C17EC9">
      <w:pPr>
        <w:spacing w:line="540" w:lineRule="exact"/>
        <w:ind w:firstLineChars="200" w:firstLine="640"/>
        <w:rPr>
          <w:rFonts w:ascii="仿宋" w:eastAsia="仿宋" w:hAnsi="仿宋"/>
          <w:color w:val="000000" w:themeColor="text1"/>
          <w:sz w:val="32"/>
          <w:szCs w:val="32"/>
        </w:rPr>
      </w:pPr>
      <w:r w:rsidRPr="00C17EC9">
        <w:rPr>
          <w:rFonts w:ascii="仿宋" w:eastAsia="仿宋" w:hAnsi="仿宋" w:hint="eastAsia"/>
          <w:color w:val="000000" w:themeColor="text1"/>
          <w:sz w:val="32"/>
          <w:szCs w:val="32"/>
        </w:rPr>
        <w:t>鹏华双季乐180天持有期债券型证券投资基金</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Pr>
          <w:rFonts w:ascii="仿宋" w:eastAsia="仿宋" w:hAnsi="仿宋" w:hint="eastAsia"/>
          <w:color w:val="000000" w:themeColor="text1"/>
          <w:sz w:val="32"/>
          <w:szCs w:val="32"/>
        </w:rPr>
        <w:t>4年第</w:t>
      </w:r>
      <w:r w:rsidR="003B1905">
        <w:rPr>
          <w:rFonts w:ascii="仿宋" w:eastAsia="仿宋" w:hAnsi="仿宋"/>
          <w:color w:val="000000" w:themeColor="text1"/>
          <w:sz w:val="32"/>
          <w:szCs w:val="32"/>
        </w:rPr>
        <w:t>2</w:t>
      </w:r>
      <w:r>
        <w:rPr>
          <w:rFonts w:ascii="仿宋" w:eastAsia="仿宋" w:hAnsi="仿宋" w:hint="eastAsia"/>
          <w:color w:val="000000" w:themeColor="text1"/>
          <w:sz w:val="32"/>
          <w:szCs w:val="32"/>
        </w:rPr>
        <w:t>季度</w:t>
      </w:r>
      <w:r>
        <w:rPr>
          <w:rFonts w:ascii="仿宋" w:eastAsia="仿宋" w:hAnsi="仿宋"/>
          <w:color w:val="000000" w:themeColor="text1"/>
          <w:sz w:val="32"/>
          <w:szCs w:val="32"/>
        </w:rPr>
        <w:t>报告全文</w:t>
      </w:r>
      <w:r>
        <w:rPr>
          <w:rFonts w:ascii="仿宋" w:eastAsia="仿宋" w:hAnsi="仿宋" w:hint="eastAsia"/>
          <w:color w:val="000000" w:themeColor="text1"/>
          <w:sz w:val="32"/>
          <w:szCs w:val="32"/>
        </w:rPr>
        <w:t>于2</w:t>
      </w:r>
      <w:r>
        <w:rPr>
          <w:rFonts w:ascii="仿宋" w:eastAsia="仿宋" w:hAnsi="仿宋"/>
          <w:color w:val="000000" w:themeColor="text1"/>
          <w:sz w:val="32"/>
          <w:szCs w:val="32"/>
        </w:rPr>
        <w:t>024</w:t>
      </w:r>
      <w:r>
        <w:rPr>
          <w:rFonts w:ascii="仿宋" w:eastAsia="仿宋" w:hAnsi="仿宋" w:hint="eastAsia"/>
          <w:color w:val="000000" w:themeColor="text1"/>
          <w:sz w:val="32"/>
          <w:szCs w:val="32"/>
        </w:rPr>
        <w:t>年</w:t>
      </w:r>
      <w:r w:rsidR="003B1905">
        <w:rPr>
          <w:rFonts w:ascii="仿宋" w:eastAsia="仿宋" w:hAnsi="仿宋"/>
          <w:color w:val="000000" w:themeColor="text1"/>
          <w:sz w:val="32"/>
          <w:szCs w:val="32"/>
        </w:rPr>
        <w:t>7</w:t>
      </w:r>
      <w:r>
        <w:rPr>
          <w:rFonts w:ascii="仿宋" w:eastAsia="仿宋" w:hAnsi="仿宋" w:hint="eastAsia"/>
          <w:color w:val="000000" w:themeColor="text1"/>
          <w:sz w:val="32"/>
          <w:szCs w:val="32"/>
        </w:rPr>
        <w:t>月</w:t>
      </w:r>
      <w:r>
        <w:rPr>
          <w:rFonts w:ascii="仿宋" w:eastAsia="仿宋" w:hAnsi="仿宋"/>
          <w:color w:val="000000" w:themeColor="text1"/>
          <w:sz w:val="32"/>
          <w:szCs w:val="32"/>
        </w:rPr>
        <w:t>1</w:t>
      </w:r>
      <w:r w:rsidR="003B1905">
        <w:rPr>
          <w:rFonts w:ascii="仿宋" w:eastAsia="仿宋" w:hAnsi="仿宋"/>
          <w:color w:val="000000" w:themeColor="text1"/>
          <w:sz w:val="32"/>
          <w:szCs w:val="32"/>
        </w:rPr>
        <w:t>8</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r>
        <w:rPr>
          <w:rFonts w:ascii="仿宋" w:eastAsia="仿宋" w:hAnsi="仿宋"/>
          <w:color w:val="000000" w:themeColor="text1"/>
          <w:sz w:val="32"/>
          <w:szCs w:val="32"/>
        </w:rPr>
        <w:t>http://www.phfund.com.cn</w:t>
      </w:r>
      <w:r>
        <w:rPr>
          <w:rFonts w:ascii="仿宋" w:eastAsia="仿宋" w:hAnsi="仿宋" w:hint="eastAsia"/>
          <w:color w:val="000000" w:themeColor="text1"/>
          <w:sz w:val="32"/>
          <w:szCs w:val="32"/>
        </w:rPr>
        <w:t>]</w:t>
      </w:r>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7"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400-6788-999</w:t>
      </w:r>
      <w:r>
        <w:rPr>
          <w:rFonts w:ascii="仿宋" w:eastAsia="仿宋" w:hAnsi="仿宋" w:hint="eastAsia"/>
          <w:color w:val="000000" w:themeColor="text1"/>
          <w:sz w:val="32"/>
          <w:szCs w:val="32"/>
        </w:rPr>
        <w:t>/</w:t>
      </w:r>
      <w:r>
        <w:t xml:space="preserve"> </w:t>
      </w:r>
      <w:r>
        <w:rPr>
          <w:rFonts w:ascii="仿宋" w:eastAsia="仿宋" w:hAnsi="仿宋"/>
          <w:color w:val="000000" w:themeColor="text1"/>
          <w:sz w:val="32"/>
          <w:szCs w:val="32"/>
        </w:rPr>
        <w:t>400-6788-533</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DB093A" w:rsidRDefault="005B1AE2">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B093A" w:rsidRDefault="00DB093A">
      <w:pPr>
        <w:spacing w:line="540" w:lineRule="exact"/>
        <w:ind w:firstLineChars="200" w:firstLine="640"/>
        <w:rPr>
          <w:rFonts w:ascii="仿宋" w:eastAsia="仿宋" w:hAnsi="仿宋"/>
          <w:color w:val="000000" w:themeColor="text1"/>
          <w:sz w:val="32"/>
          <w:szCs w:val="32"/>
        </w:rPr>
      </w:pPr>
    </w:p>
    <w:p w:rsidR="00DB093A" w:rsidRDefault="005B1AE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Pr>
          <w:rFonts w:ascii="仿宋" w:eastAsia="仿宋" w:hAnsi="仿宋"/>
          <w:color w:val="000000" w:themeColor="text1"/>
          <w:sz w:val="32"/>
          <w:szCs w:val="32"/>
        </w:rPr>
        <w:t>公司</w:t>
      </w:r>
    </w:p>
    <w:p w:rsidR="00DB093A" w:rsidRDefault="005B1AE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w:t>
      </w:r>
      <w:r>
        <w:rPr>
          <w:rFonts w:ascii="仿宋" w:eastAsia="仿宋" w:hAnsi="仿宋"/>
          <w:color w:val="000000" w:themeColor="text1"/>
          <w:sz w:val="32"/>
          <w:szCs w:val="32"/>
        </w:rPr>
        <w:t>24年</w:t>
      </w:r>
      <w:r w:rsidR="003B1905">
        <w:rPr>
          <w:rFonts w:ascii="仿宋" w:eastAsia="仿宋" w:hAnsi="仿宋"/>
          <w:color w:val="000000" w:themeColor="text1"/>
          <w:sz w:val="32"/>
          <w:szCs w:val="32"/>
        </w:rPr>
        <w:t>7</w:t>
      </w:r>
      <w:r>
        <w:rPr>
          <w:rFonts w:ascii="仿宋" w:eastAsia="仿宋" w:hAnsi="仿宋"/>
          <w:color w:val="000000" w:themeColor="text1"/>
          <w:sz w:val="32"/>
          <w:szCs w:val="32"/>
        </w:rPr>
        <w:t>月1</w:t>
      </w:r>
      <w:r w:rsidR="003B1905">
        <w:rPr>
          <w:rFonts w:ascii="仿宋" w:eastAsia="仿宋" w:hAnsi="仿宋"/>
          <w:color w:val="000000" w:themeColor="text1"/>
          <w:sz w:val="32"/>
          <w:szCs w:val="32"/>
        </w:rPr>
        <w:t>8</w:t>
      </w:r>
      <w:r>
        <w:rPr>
          <w:rFonts w:ascii="仿宋" w:eastAsia="仿宋" w:hAnsi="仿宋"/>
          <w:color w:val="000000" w:themeColor="text1"/>
          <w:sz w:val="32"/>
          <w:szCs w:val="32"/>
        </w:rPr>
        <w:t>日</w:t>
      </w:r>
    </w:p>
    <w:sectPr w:rsidR="00DB093A" w:rsidSect="001A2596">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596" w:rsidRDefault="005B1AE2">
      <w:r>
        <w:separator/>
      </w:r>
    </w:p>
  </w:endnote>
  <w:endnote w:type="continuationSeparator" w:id="0">
    <w:p w:rsidR="001A2596" w:rsidRDefault="005B1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DB093A" w:rsidRDefault="001A2596">
        <w:pPr>
          <w:pStyle w:val="a5"/>
          <w:jc w:val="center"/>
        </w:pPr>
        <w:r>
          <w:fldChar w:fldCharType="begin"/>
        </w:r>
        <w:r w:rsidR="005B1AE2">
          <w:instrText>PAGE   \* MERGEFORMAT</w:instrText>
        </w:r>
        <w:r>
          <w:fldChar w:fldCharType="separate"/>
        </w:r>
        <w:r w:rsidR="005B1AE2" w:rsidRPr="005B1AE2">
          <w:rPr>
            <w:noProof/>
            <w:lang w:val="zh-CN"/>
          </w:rPr>
          <w:t>15</w:t>
        </w:r>
        <w:r>
          <w:fldChar w:fldCharType="end"/>
        </w:r>
      </w:p>
    </w:sdtContent>
  </w:sdt>
  <w:p w:rsidR="00DB093A" w:rsidRDefault="00DB093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DB093A" w:rsidRDefault="001A2596">
        <w:pPr>
          <w:pStyle w:val="a5"/>
          <w:jc w:val="center"/>
        </w:pPr>
        <w:r>
          <w:fldChar w:fldCharType="begin"/>
        </w:r>
        <w:r w:rsidR="005B1AE2">
          <w:instrText>PAGE   \* MERGEFORMAT</w:instrText>
        </w:r>
        <w:r>
          <w:fldChar w:fldCharType="separate"/>
        </w:r>
        <w:r w:rsidR="00B66215" w:rsidRPr="00B66215">
          <w:rPr>
            <w:noProof/>
            <w:lang w:val="zh-CN"/>
          </w:rPr>
          <w:t>1</w:t>
        </w:r>
        <w:r>
          <w:fldChar w:fldCharType="end"/>
        </w:r>
      </w:p>
    </w:sdtContent>
  </w:sdt>
  <w:p w:rsidR="00DB093A" w:rsidRDefault="00DB09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596" w:rsidRDefault="005B1AE2">
      <w:r>
        <w:separator/>
      </w:r>
    </w:p>
  </w:footnote>
  <w:footnote w:type="continuationSeparator" w:id="0">
    <w:p w:rsidR="001A2596" w:rsidRDefault="005B1A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cumentProtection w:formatting="1"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2596"/>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0AFA"/>
    <w:rsid w:val="0038176C"/>
    <w:rsid w:val="00382BCB"/>
    <w:rsid w:val="00391944"/>
    <w:rsid w:val="00393949"/>
    <w:rsid w:val="003948AF"/>
    <w:rsid w:val="00394BBC"/>
    <w:rsid w:val="003A4AC6"/>
    <w:rsid w:val="003B1905"/>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1AE2"/>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0522"/>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56DE1"/>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1AE6"/>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1606"/>
    <w:rsid w:val="00A96435"/>
    <w:rsid w:val="00AB49A1"/>
    <w:rsid w:val="00AB7720"/>
    <w:rsid w:val="00AC1161"/>
    <w:rsid w:val="00AD18DD"/>
    <w:rsid w:val="00AD562B"/>
    <w:rsid w:val="00AE3F47"/>
    <w:rsid w:val="00AE69BF"/>
    <w:rsid w:val="00AF140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57344"/>
    <w:rsid w:val="00B61D0F"/>
    <w:rsid w:val="00B64EDD"/>
    <w:rsid w:val="00B65E43"/>
    <w:rsid w:val="00B66215"/>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17EC9"/>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3F14"/>
    <w:rsid w:val="00C972C4"/>
    <w:rsid w:val="00CA1FEF"/>
    <w:rsid w:val="00CA25FC"/>
    <w:rsid w:val="00CA5943"/>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093A"/>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C36A4"/>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 w:val="08571D21"/>
    <w:rsid w:val="470430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9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A2596"/>
    <w:pPr>
      <w:jc w:val="left"/>
    </w:pPr>
  </w:style>
  <w:style w:type="paragraph" w:styleId="a4">
    <w:name w:val="Balloon Text"/>
    <w:basedOn w:val="a"/>
    <w:link w:val="Char0"/>
    <w:uiPriority w:val="99"/>
    <w:semiHidden/>
    <w:unhideWhenUsed/>
    <w:qFormat/>
    <w:rsid w:val="001A2596"/>
    <w:rPr>
      <w:sz w:val="18"/>
      <w:szCs w:val="18"/>
    </w:rPr>
  </w:style>
  <w:style w:type="paragraph" w:styleId="a5">
    <w:name w:val="footer"/>
    <w:basedOn w:val="a"/>
    <w:link w:val="Char1"/>
    <w:uiPriority w:val="99"/>
    <w:unhideWhenUsed/>
    <w:rsid w:val="001A259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A2596"/>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1A2596"/>
    <w:pPr>
      <w:snapToGrid w:val="0"/>
      <w:jc w:val="left"/>
    </w:pPr>
    <w:rPr>
      <w:sz w:val="18"/>
      <w:szCs w:val="18"/>
    </w:rPr>
  </w:style>
  <w:style w:type="paragraph" w:styleId="a8">
    <w:name w:val="annotation subject"/>
    <w:basedOn w:val="a3"/>
    <w:next w:val="a3"/>
    <w:link w:val="Char4"/>
    <w:uiPriority w:val="99"/>
    <w:semiHidden/>
    <w:unhideWhenUsed/>
    <w:qFormat/>
    <w:rsid w:val="001A2596"/>
    <w:rPr>
      <w:b/>
      <w:bCs/>
    </w:rPr>
  </w:style>
  <w:style w:type="character" w:styleId="a9">
    <w:name w:val="FollowedHyperlink"/>
    <w:basedOn w:val="a0"/>
    <w:uiPriority w:val="99"/>
    <w:semiHidden/>
    <w:unhideWhenUsed/>
    <w:qFormat/>
    <w:rsid w:val="001A2596"/>
    <w:rPr>
      <w:color w:val="800080" w:themeColor="followedHyperlink"/>
      <w:u w:val="single"/>
    </w:rPr>
  </w:style>
  <w:style w:type="character" w:styleId="aa">
    <w:name w:val="Hyperlink"/>
    <w:basedOn w:val="a0"/>
    <w:uiPriority w:val="99"/>
    <w:unhideWhenUsed/>
    <w:qFormat/>
    <w:rsid w:val="001A2596"/>
    <w:rPr>
      <w:color w:val="0000FF" w:themeColor="hyperlink"/>
      <w:u w:val="single"/>
    </w:rPr>
  </w:style>
  <w:style w:type="character" w:styleId="ab">
    <w:name w:val="annotation reference"/>
    <w:basedOn w:val="a0"/>
    <w:uiPriority w:val="99"/>
    <w:semiHidden/>
    <w:unhideWhenUsed/>
    <w:qFormat/>
    <w:rsid w:val="001A2596"/>
    <w:rPr>
      <w:sz w:val="21"/>
      <w:szCs w:val="21"/>
    </w:rPr>
  </w:style>
  <w:style w:type="character" w:styleId="ac">
    <w:name w:val="footnote reference"/>
    <w:basedOn w:val="a0"/>
    <w:uiPriority w:val="99"/>
    <w:semiHidden/>
    <w:unhideWhenUsed/>
    <w:rsid w:val="001A2596"/>
    <w:rPr>
      <w:vertAlign w:val="superscript"/>
    </w:rPr>
  </w:style>
  <w:style w:type="character" w:customStyle="1" w:styleId="Char2">
    <w:name w:val="页眉 Char"/>
    <w:basedOn w:val="a0"/>
    <w:link w:val="a6"/>
    <w:uiPriority w:val="99"/>
    <w:qFormat/>
    <w:rsid w:val="001A2596"/>
    <w:rPr>
      <w:sz w:val="18"/>
      <w:szCs w:val="18"/>
    </w:rPr>
  </w:style>
  <w:style w:type="character" w:customStyle="1" w:styleId="Char1">
    <w:name w:val="页脚 Char"/>
    <w:basedOn w:val="a0"/>
    <w:link w:val="a5"/>
    <w:uiPriority w:val="99"/>
    <w:qFormat/>
    <w:rsid w:val="001A2596"/>
    <w:rPr>
      <w:sz w:val="18"/>
      <w:szCs w:val="18"/>
    </w:rPr>
  </w:style>
  <w:style w:type="paragraph" w:styleId="ad">
    <w:name w:val="List Paragraph"/>
    <w:basedOn w:val="a"/>
    <w:uiPriority w:val="34"/>
    <w:qFormat/>
    <w:rsid w:val="001A2596"/>
    <w:pPr>
      <w:ind w:firstLineChars="200" w:firstLine="420"/>
    </w:pPr>
  </w:style>
  <w:style w:type="character" w:customStyle="1" w:styleId="Char0">
    <w:name w:val="批注框文本 Char"/>
    <w:basedOn w:val="a0"/>
    <w:link w:val="a4"/>
    <w:uiPriority w:val="99"/>
    <w:semiHidden/>
    <w:rsid w:val="001A2596"/>
    <w:rPr>
      <w:sz w:val="18"/>
      <w:szCs w:val="18"/>
    </w:rPr>
  </w:style>
  <w:style w:type="character" w:customStyle="1" w:styleId="Char">
    <w:name w:val="批注文字 Char"/>
    <w:basedOn w:val="a0"/>
    <w:link w:val="a3"/>
    <w:uiPriority w:val="99"/>
    <w:semiHidden/>
    <w:qFormat/>
    <w:rsid w:val="001A2596"/>
  </w:style>
  <w:style w:type="character" w:customStyle="1" w:styleId="Char4">
    <w:name w:val="批注主题 Char"/>
    <w:basedOn w:val="Char"/>
    <w:link w:val="a8"/>
    <w:uiPriority w:val="99"/>
    <w:semiHidden/>
    <w:rsid w:val="001A2596"/>
    <w:rPr>
      <w:b/>
      <w:bCs/>
    </w:rPr>
  </w:style>
  <w:style w:type="character" w:customStyle="1" w:styleId="Char3">
    <w:name w:val="脚注文本 Char"/>
    <w:basedOn w:val="a0"/>
    <w:link w:val="a7"/>
    <w:uiPriority w:val="99"/>
    <w:semiHidden/>
    <w:qFormat/>
    <w:rsid w:val="001A259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706F-7B2C-4BE5-ABC5-DA5AB8AE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5732</Characters>
  <Application>Microsoft Office Word</Application>
  <DocSecurity>4</DocSecurity>
  <Lines>47</Lines>
  <Paragraphs>13</Paragraphs>
  <ScaleCrop>false</ScaleCrop>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2024-07-17T16:03:00Z</dcterms:created>
  <dcterms:modified xsi:type="dcterms:W3CDTF">2024-07-17T16:03:00Z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07EF17FB6E844747A1ED2E2C7B59CE03</vt:lpwstr>
  </property>
</Properties>
</file>