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2442" w:rsidRDefault="00B64ECE">
      <w:pPr>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兴业纯债</w:t>
      </w:r>
      <w:r>
        <w:rPr>
          <w:rFonts w:asciiTheme="majorEastAsia" w:eastAsiaTheme="majorEastAsia" w:hAnsiTheme="majorEastAsia"/>
          <w:b/>
          <w:sz w:val="44"/>
          <w:szCs w:val="44"/>
        </w:rPr>
        <w:t>6个月定期开放债券型证券投资基金</w:t>
      </w:r>
      <w:r>
        <w:rPr>
          <w:rFonts w:asciiTheme="majorEastAsia" w:eastAsiaTheme="majorEastAsia" w:hAnsiTheme="majorEastAsia" w:hint="eastAsia"/>
          <w:b/>
          <w:sz w:val="44"/>
          <w:szCs w:val="44"/>
        </w:rPr>
        <w:t>开放申购、赎回</w:t>
      </w:r>
      <w:r>
        <w:rPr>
          <w:rFonts w:ascii="宋体" w:hAnsi="宋体" w:hint="eastAsia"/>
          <w:b/>
          <w:sz w:val="44"/>
          <w:szCs w:val="44"/>
        </w:rPr>
        <w:t>、转换及定投</w:t>
      </w:r>
      <w:r>
        <w:rPr>
          <w:rFonts w:asciiTheme="majorEastAsia" w:eastAsiaTheme="majorEastAsia" w:hAnsiTheme="majorEastAsia" w:hint="eastAsia"/>
          <w:b/>
          <w:sz w:val="44"/>
          <w:szCs w:val="44"/>
        </w:rPr>
        <w:t>业务公告</w:t>
      </w:r>
      <w:bookmarkStart w:id="1" w:name="t_2_0_0002_a2_fm1"/>
      <w:bookmarkEnd w:id="1"/>
    </w:p>
    <w:p w:rsidR="00EF2442" w:rsidRDefault="00B64ECE">
      <w:pPr>
        <w:spacing w:before="240" w:line="360" w:lineRule="auto"/>
        <w:jc w:val="center"/>
        <w:rPr>
          <w:rFonts w:asciiTheme="majorEastAsia" w:eastAsiaTheme="majorEastAsia" w:hAnsiTheme="majorEastAsia" w:cstheme="minorEastAsia"/>
          <w:sz w:val="24"/>
          <w:szCs w:val="24"/>
        </w:rPr>
      </w:pPr>
      <w:r>
        <w:rPr>
          <w:rFonts w:asciiTheme="majorEastAsia" w:eastAsiaTheme="majorEastAsia" w:hAnsiTheme="majorEastAsia"/>
          <w:sz w:val="24"/>
          <w:szCs w:val="24"/>
        </w:rPr>
        <w:t>公告送出日期：</w:t>
      </w:r>
      <w:r w:rsidR="00A57223">
        <w:rPr>
          <w:rFonts w:asciiTheme="majorEastAsia" w:eastAsiaTheme="majorEastAsia" w:hAnsiTheme="majorEastAsia" w:hint="eastAsia"/>
          <w:sz w:val="24"/>
          <w:szCs w:val="24"/>
        </w:rPr>
        <w:t>2024</w:t>
      </w:r>
      <w:r>
        <w:rPr>
          <w:rFonts w:asciiTheme="majorEastAsia" w:eastAsiaTheme="majorEastAsia" w:hAnsiTheme="majorEastAsia"/>
          <w:sz w:val="24"/>
          <w:szCs w:val="24"/>
        </w:rPr>
        <w:t>年</w:t>
      </w:r>
      <w:r w:rsidR="00075592">
        <w:rPr>
          <w:rFonts w:asciiTheme="majorEastAsia" w:eastAsiaTheme="majorEastAsia" w:hAnsiTheme="majorEastAsia" w:hint="eastAsia"/>
          <w:sz w:val="24"/>
          <w:szCs w:val="24"/>
        </w:rPr>
        <w:t>7</w:t>
      </w:r>
      <w:r>
        <w:rPr>
          <w:rFonts w:asciiTheme="majorEastAsia" w:eastAsiaTheme="majorEastAsia" w:hAnsiTheme="majorEastAsia"/>
          <w:sz w:val="24"/>
          <w:szCs w:val="24"/>
        </w:rPr>
        <w:t>月</w:t>
      </w:r>
      <w:r w:rsidR="00075592">
        <w:rPr>
          <w:rFonts w:asciiTheme="majorEastAsia" w:eastAsiaTheme="majorEastAsia" w:hAnsiTheme="majorEastAsia"/>
          <w:sz w:val="24"/>
          <w:szCs w:val="24"/>
        </w:rPr>
        <w:t>17</w:t>
      </w:r>
      <w:r>
        <w:rPr>
          <w:rFonts w:asciiTheme="majorEastAsia" w:eastAsiaTheme="majorEastAsia" w:hAnsiTheme="majorEastAsia"/>
          <w:sz w:val="24"/>
          <w:szCs w:val="24"/>
        </w:rPr>
        <w:t>日</w:t>
      </w:r>
    </w:p>
    <w:p w:rsidR="00EF2442" w:rsidRDefault="00EF2442">
      <w:pPr>
        <w:rPr>
          <w:rFonts w:asciiTheme="majorEastAsia" w:eastAsiaTheme="majorEastAsia" w:hAnsiTheme="majorEastAsia" w:cstheme="minorEastAsia"/>
          <w:szCs w:val="21"/>
        </w:rPr>
      </w:pPr>
    </w:p>
    <w:p w:rsidR="00EF2442" w:rsidRDefault="00B64ECE" w:rsidP="00EE0B50">
      <w:pPr>
        <w:pStyle w:val="2"/>
        <w:spacing w:beforeLines="50" w:afterLines="50" w:line="240" w:lineRule="auto"/>
        <w:jc w:val="left"/>
        <w:rPr>
          <w:rFonts w:asciiTheme="majorEastAsia" w:eastAsiaTheme="majorEastAsia" w:hAnsiTheme="majorEastAsia" w:cstheme="minorEastAsia"/>
          <w:bCs/>
          <w:sz w:val="21"/>
          <w:szCs w:val="21"/>
        </w:rPr>
      </w:pPr>
      <w:r>
        <w:rPr>
          <w:rFonts w:asciiTheme="majorEastAsia" w:eastAsiaTheme="majorEastAsia" w:hAnsiTheme="majorEastAsia" w:cstheme="minorEastAsia" w:hint="eastAsia"/>
          <w:bCs/>
          <w:sz w:val="21"/>
          <w:szCs w:val="21"/>
        </w:rPr>
        <w:t>1</w:t>
      </w:r>
      <w:bookmarkStart w:id="2" w:name="t_2_1_table"/>
      <w:bookmarkEnd w:id="2"/>
      <w:r>
        <w:rPr>
          <w:rFonts w:asciiTheme="majorEastAsia" w:eastAsiaTheme="majorEastAsia" w:hAnsiTheme="majorEastAsia" w:cstheme="minorEastAsia" w:hint="eastAsia"/>
          <w:bCs/>
          <w:sz w:val="21"/>
          <w:szCs w:val="21"/>
        </w:rPr>
        <w:t>公告基本信息</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2430"/>
        <w:gridCol w:w="2430"/>
      </w:tblGrid>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基金名称</w:t>
            </w:r>
          </w:p>
        </w:tc>
        <w:tc>
          <w:tcPr>
            <w:tcW w:w="4860" w:type="dxa"/>
            <w:gridSpan w:val="2"/>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兴业纯债6个月定期开放债券型证券投资基金</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基金简称</w:t>
            </w:r>
          </w:p>
        </w:tc>
        <w:tc>
          <w:tcPr>
            <w:tcW w:w="4860" w:type="dxa"/>
            <w:gridSpan w:val="2"/>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兴业纯债6个月定开债券</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基金主代码</w:t>
            </w:r>
          </w:p>
        </w:tc>
        <w:tc>
          <w:tcPr>
            <w:tcW w:w="4860" w:type="dxa"/>
            <w:gridSpan w:val="2"/>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005988</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基金运作方式</w:t>
            </w:r>
          </w:p>
        </w:tc>
        <w:tc>
          <w:tcPr>
            <w:tcW w:w="4860" w:type="dxa"/>
            <w:gridSpan w:val="2"/>
          </w:tcPr>
          <w:p w:rsidR="00EF2442" w:rsidRDefault="00B64ECE">
            <w:pPr>
              <w:rPr>
                <w:rFonts w:asciiTheme="majorEastAsia" w:eastAsiaTheme="majorEastAsia" w:hAnsiTheme="majorEastAsia" w:cstheme="minorEastAsia"/>
                <w:szCs w:val="21"/>
              </w:rPr>
            </w:pPr>
            <w:bookmarkStart w:id="3" w:name="t_2_1_0017_a1_fm1"/>
            <w:bookmarkEnd w:id="3"/>
            <w:r>
              <w:rPr>
                <w:rFonts w:asciiTheme="majorEastAsia" w:eastAsiaTheme="majorEastAsia" w:hAnsiTheme="majorEastAsia" w:cstheme="minorEastAsia" w:hint="eastAsia"/>
                <w:szCs w:val="21"/>
              </w:rPr>
              <w:t>契约型开放式；</w:t>
            </w:r>
            <w:r>
              <w:rPr>
                <w:rFonts w:asciiTheme="majorEastAsia" w:eastAsiaTheme="majorEastAsia" w:hAnsiTheme="majorEastAsia" w:hint="eastAsia"/>
              </w:rPr>
              <w:t>本基金以定期开放方式运作，即以封闭期和开放期相结合的方式运作</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基金合同生效日</w:t>
            </w:r>
          </w:p>
        </w:tc>
        <w:tc>
          <w:tcPr>
            <w:tcW w:w="4860" w:type="dxa"/>
            <w:gridSpan w:val="2"/>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2020年2月19日</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基金管理人名称</w:t>
            </w:r>
          </w:p>
        </w:tc>
        <w:tc>
          <w:tcPr>
            <w:tcW w:w="4860" w:type="dxa"/>
            <w:gridSpan w:val="2"/>
          </w:tcPr>
          <w:p w:rsidR="00EF2442" w:rsidRDefault="00B64ECE">
            <w:pPr>
              <w:rPr>
                <w:rFonts w:asciiTheme="majorEastAsia" w:eastAsiaTheme="majorEastAsia" w:hAnsiTheme="majorEastAsia" w:cstheme="minorEastAsia"/>
                <w:szCs w:val="21"/>
              </w:rPr>
            </w:pPr>
            <w:bookmarkStart w:id="4" w:name="t_2_1_0186_a1_fm1"/>
            <w:bookmarkEnd w:id="4"/>
            <w:r>
              <w:rPr>
                <w:rFonts w:asciiTheme="majorEastAsia" w:eastAsiaTheme="majorEastAsia" w:hAnsiTheme="majorEastAsia" w:cstheme="minorEastAsia" w:hint="eastAsia"/>
                <w:szCs w:val="21"/>
              </w:rPr>
              <w:t>兴业基金管理有限公司</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基金托管人名称</w:t>
            </w:r>
          </w:p>
        </w:tc>
        <w:tc>
          <w:tcPr>
            <w:tcW w:w="4860" w:type="dxa"/>
            <w:gridSpan w:val="2"/>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中国民生银行股份有限公司</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基金注册登记机构名称</w:t>
            </w:r>
          </w:p>
        </w:tc>
        <w:tc>
          <w:tcPr>
            <w:tcW w:w="4860" w:type="dxa"/>
            <w:gridSpan w:val="2"/>
          </w:tcPr>
          <w:p w:rsidR="00EF2442" w:rsidRDefault="00B64ECE">
            <w:pPr>
              <w:rPr>
                <w:rFonts w:asciiTheme="majorEastAsia" w:eastAsiaTheme="majorEastAsia" w:hAnsiTheme="majorEastAsia" w:cstheme="minorEastAsia"/>
                <w:szCs w:val="21"/>
              </w:rPr>
            </w:pPr>
            <w:bookmarkStart w:id="5" w:name="t_2_1_0310_a1_fm1"/>
            <w:bookmarkEnd w:id="5"/>
            <w:r>
              <w:rPr>
                <w:rFonts w:asciiTheme="majorEastAsia" w:eastAsiaTheme="majorEastAsia" w:hAnsiTheme="majorEastAsia" w:cstheme="minorEastAsia" w:hint="eastAsia"/>
                <w:szCs w:val="21"/>
              </w:rPr>
              <w:t>兴业基金管理有限公司</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公告依据</w:t>
            </w:r>
          </w:p>
        </w:tc>
        <w:tc>
          <w:tcPr>
            <w:tcW w:w="4860" w:type="dxa"/>
            <w:gridSpan w:val="2"/>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根据《中华人民共和国证券投资基金法》、《公开募集证券投资基金运作管理办法》等法律法规以及《兴业纯债6个月定期开放债券型证券投资基金基金合同》、《兴业纯债6个月定期开放债券型证券投资基金招募说明书》</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申购起始日</w:t>
            </w:r>
          </w:p>
        </w:tc>
        <w:tc>
          <w:tcPr>
            <w:tcW w:w="4860" w:type="dxa"/>
            <w:gridSpan w:val="2"/>
          </w:tcPr>
          <w:p w:rsidR="00EF2442" w:rsidRDefault="00A57223" w:rsidP="00075592">
            <w:pPr>
              <w:rPr>
                <w:rFonts w:asciiTheme="majorEastAsia" w:eastAsiaTheme="majorEastAsia" w:hAnsiTheme="majorEastAsia" w:cstheme="minorEastAsia"/>
                <w:szCs w:val="21"/>
                <w:highlight w:val="yellow"/>
              </w:rPr>
            </w:pPr>
            <w:bookmarkStart w:id="6" w:name="t_2_1_2660_a1_fm1"/>
            <w:bookmarkEnd w:id="6"/>
            <w:r>
              <w:rPr>
                <w:rFonts w:asciiTheme="majorEastAsia" w:eastAsiaTheme="majorEastAsia" w:hAnsiTheme="majorEastAsia" w:cstheme="minorEastAsia" w:hint="eastAsia"/>
                <w:szCs w:val="21"/>
              </w:rPr>
              <w:t>2024</w:t>
            </w:r>
            <w:r w:rsidR="00B64ECE">
              <w:rPr>
                <w:rFonts w:asciiTheme="majorEastAsia" w:eastAsiaTheme="majorEastAsia" w:hAnsiTheme="majorEastAsia" w:cstheme="minorEastAsia" w:hint="eastAsia"/>
                <w:szCs w:val="21"/>
              </w:rPr>
              <w:t>年</w:t>
            </w:r>
            <w:r w:rsidR="00075592">
              <w:rPr>
                <w:rFonts w:asciiTheme="majorEastAsia" w:eastAsiaTheme="majorEastAsia" w:hAnsiTheme="majorEastAsia" w:cstheme="minorEastAsia"/>
                <w:szCs w:val="21"/>
              </w:rPr>
              <w:t>7</w:t>
            </w:r>
            <w:r w:rsidR="00B64ECE">
              <w:rPr>
                <w:rFonts w:asciiTheme="majorEastAsia" w:eastAsiaTheme="majorEastAsia" w:hAnsiTheme="majorEastAsia" w:cstheme="minorEastAsia" w:hint="eastAsia"/>
                <w:szCs w:val="21"/>
              </w:rPr>
              <w:t>月</w:t>
            </w:r>
            <w:r w:rsidR="00075592">
              <w:rPr>
                <w:rFonts w:asciiTheme="majorEastAsia" w:eastAsiaTheme="majorEastAsia" w:hAnsiTheme="majorEastAsia" w:cstheme="minorEastAsia"/>
                <w:szCs w:val="21"/>
              </w:rPr>
              <w:t>19</w:t>
            </w:r>
            <w:r w:rsidR="00B64ECE">
              <w:rPr>
                <w:rFonts w:asciiTheme="majorEastAsia" w:eastAsiaTheme="majorEastAsia" w:hAnsiTheme="majorEastAsia" w:cstheme="minorEastAsia" w:hint="eastAsia"/>
                <w:szCs w:val="21"/>
              </w:rPr>
              <w:t>日</w:t>
            </w:r>
          </w:p>
        </w:tc>
      </w:tr>
      <w:tr w:rsidR="00075592">
        <w:tc>
          <w:tcPr>
            <w:tcW w:w="3960" w:type="dxa"/>
          </w:tcPr>
          <w:p w:rsidR="00075592" w:rsidRDefault="00075592" w:rsidP="00075592">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赎回起始日</w:t>
            </w:r>
          </w:p>
        </w:tc>
        <w:tc>
          <w:tcPr>
            <w:tcW w:w="4860" w:type="dxa"/>
            <w:gridSpan w:val="2"/>
          </w:tcPr>
          <w:p w:rsidR="00075592" w:rsidRDefault="00075592" w:rsidP="00075592">
            <w:bookmarkStart w:id="7" w:name="t_2_1_2661_a1_fm1"/>
            <w:bookmarkEnd w:id="7"/>
            <w:r w:rsidRPr="00820073">
              <w:rPr>
                <w:rFonts w:asciiTheme="majorEastAsia" w:eastAsiaTheme="majorEastAsia" w:hAnsiTheme="majorEastAsia" w:cstheme="minorEastAsia" w:hint="eastAsia"/>
                <w:szCs w:val="21"/>
              </w:rPr>
              <w:t>2024年</w:t>
            </w:r>
            <w:r w:rsidRPr="00820073">
              <w:rPr>
                <w:rFonts w:asciiTheme="majorEastAsia" w:eastAsiaTheme="majorEastAsia" w:hAnsiTheme="majorEastAsia" w:cstheme="minorEastAsia"/>
                <w:szCs w:val="21"/>
              </w:rPr>
              <w:t>7</w:t>
            </w:r>
            <w:r w:rsidRPr="00820073">
              <w:rPr>
                <w:rFonts w:asciiTheme="majorEastAsia" w:eastAsiaTheme="majorEastAsia" w:hAnsiTheme="majorEastAsia" w:cstheme="minorEastAsia" w:hint="eastAsia"/>
                <w:szCs w:val="21"/>
              </w:rPr>
              <w:t>月</w:t>
            </w:r>
            <w:r w:rsidRPr="00820073">
              <w:rPr>
                <w:rFonts w:asciiTheme="majorEastAsia" w:eastAsiaTheme="majorEastAsia" w:hAnsiTheme="majorEastAsia" w:cstheme="minorEastAsia"/>
                <w:szCs w:val="21"/>
              </w:rPr>
              <w:t>19</w:t>
            </w:r>
            <w:r w:rsidRPr="00820073">
              <w:rPr>
                <w:rFonts w:asciiTheme="majorEastAsia" w:eastAsiaTheme="majorEastAsia" w:hAnsiTheme="majorEastAsia" w:cstheme="minorEastAsia" w:hint="eastAsia"/>
                <w:szCs w:val="21"/>
              </w:rPr>
              <w:t>日</w:t>
            </w:r>
          </w:p>
        </w:tc>
      </w:tr>
      <w:tr w:rsidR="00075592">
        <w:tc>
          <w:tcPr>
            <w:tcW w:w="3960" w:type="dxa"/>
          </w:tcPr>
          <w:p w:rsidR="00075592" w:rsidRDefault="00075592" w:rsidP="0007559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转换转入起始日</w:t>
            </w:r>
          </w:p>
        </w:tc>
        <w:tc>
          <w:tcPr>
            <w:tcW w:w="4860" w:type="dxa"/>
            <w:gridSpan w:val="2"/>
          </w:tcPr>
          <w:p w:rsidR="00075592" w:rsidRDefault="00075592" w:rsidP="00075592">
            <w:r w:rsidRPr="00820073">
              <w:rPr>
                <w:rFonts w:asciiTheme="majorEastAsia" w:eastAsiaTheme="majorEastAsia" w:hAnsiTheme="majorEastAsia" w:cstheme="minorEastAsia" w:hint="eastAsia"/>
                <w:szCs w:val="21"/>
              </w:rPr>
              <w:t>2024年</w:t>
            </w:r>
            <w:r w:rsidRPr="00820073">
              <w:rPr>
                <w:rFonts w:asciiTheme="majorEastAsia" w:eastAsiaTheme="majorEastAsia" w:hAnsiTheme="majorEastAsia" w:cstheme="minorEastAsia"/>
                <w:szCs w:val="21"/>
              </w:rPr>
              <w:t>7</w:t>
            </w:r>
            <w:r w:rsidRPr="00820073">
              <w:rPr>
                <w:rFonts w:asciiTheme="majorEastAsia" w:eastAsiaTheme="majorEastAsia" w:hAnsiTheme="majorEastAsia" w:cstheme="minorEastAsia" w:hint="eastAsia"/>
                <w:szCs w:val="21"/>
              </w:rPr>
              <w:t>月</w:t>
            </w:r>
            <w:r w:rsidRPr="00820073">
              <w:rPr>
                <w:rFonts w:asciiTheme="majorEastAsia" w:eastAsiaTheme="majorEastAsia" w:hAnsiTheme="majorEastAsia" w:cstheme="minorEastAsia"/>
                <w:szCs w:val="21"/>
              </w:rPr>
              <w:t>19</w:t>
            </w:r>
            <w:r w:rsidRPr="00820073">
              <w:rPr>
                <w:rFonts w:asciiTheme="majorEastAsia" w:eastAsiaTheme="majorEastAsia" w:hAnsiTheme="majorEastAsia" w:cstheme="minorEastAsia" w:hint="eastAsia"/>
                <w:szCs w:val="21"/>
              </w:rPr>
              <w:t>日</w:t>
            </w:r>
          </w:p>
        </w:tc>
      </w:tr>
      <w:tr w:rsidR="00075592">
        <w:tc>
          <w:tcPr>
            <w:tcW w:w="3960" w:type="dxa"/>
          </w:tcPr>
          <w:p w:rsidR="00075592" w:rsidRDefault="00075592" w:rsidP="0007559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转换转出起始日</w:t>
            </w:r>
          </w:p>
        </w:tc>
        <w:tc>
          <w:tcPr>
            <w:tcW w:w="4860" w:type="dxa"/>
            <w:gridSpan w:val="2"/>
          </w:tcPr>
          <w:p w:rsidR="00075592" w:rsidRDefault="00075592" w:rsidP="00075592">
            <w:r w:rsidRPr="00820073">
              <w:rPr>
                <w:rFonts w:asciiTheme="majorEastAsia" w:eastAsiaTheme="majorEastAsia" w:hAnsiTheme="majorEastAsia" w:cstheme="minorEastAsia" w:hint="eastAsia"/>
                <w:szCs w:val="21"/>
              </w:rPr>
              <w:t>2024年</w:t>
            </w:r>
            <w:r w:rsidRPr="00820073">
              <w:rPr>
                <w:rFonts w:asciiTheme="majorEastAsia" w:eastAsiaTheme="majorEastAsia" w:hAnsiTheme="majorEastAsia" w:cstheme="minorEastAsia"/>
                <w:szCs w:val="21"/>
              </w:rPr>
              <w:t>7</w:t>
            </w:r>
            <w:r w:rsidRPr="00820073">
              <w:rPr>
                <w:rFonts w:asciiTheme="majorEastAsia" w:eastAsiaTheme="majorEastAsia" w:hAnsiTheme="majorEastAsia" w:cstheme="minorEastAsia" w:hint="eastAsia"/>
                <w:szCs w:val="21"/>
              </w:rPr>
              <w:t>月</w:t>
            </w:r>
            <w:r w:rsidRPr="00820073">
              <w:rPr>
                <w:rFonts w:asciiTheme="majorEastAsia" w:eastAsiaTheme="majorEastAsia" w:hAnsiTheme="majorEastAsia" w:cstheme="minorEastAsia"/>
                <w:szCs w:val="21"/>
              </w:rPr>
              <w:t>19</w:t>
            </w:r>
            <w:r w:rsidRPr="00820073">
              <w:rPr>
                <w:rFonts w:asciiTheme="majorEastAsia" w:eastAsiaTheme="majorEastAsia" w:hAnsiTheme="majorEastAsia" w:cstheme="minorEastAsia" w:hint="eastAsia"/>
                <w:szCs w:val="21"/>
              </w:rPr>
              <w:t>日</w:t>
            </w:r>
          </w:p>
        </w:tc>
      </w:tr>
      <w:tr w:rsidR="00075592">
        <w:tc>
          <w:tcPr>
            <w:tcW w:w="3960" w:type="dxa"/>
          </w:tcPr>
          <w:p w:rsidR="00075592" w:rsidRDefault="00075592" w:rsidP="0007559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定期定额投资起始日</w:t>
            </w:r>
          </w:p>
        </w:tc>
        <w:tc>
          <w:tcPr>
            <w:tcW w:w="4860" w:type="dxa"/>
            <w:gridSpan w:val="2"/>
          </w:tcPr>
          <w:p w:rsidR="00075592" w:rsidRDefault="00075592" w:rsidP="00075592">
            <w:r w:rsidRPr="00820073">
              <w:rPr>
                <w:rFonts w:asciiTheme="majorEastAsia" w:eastAsiaTheme="majorEastAsia" w:hAnsiTheme="majorEastAsia" w:cstheme="minorEastAsia" w:hint="eastAsia"/>
                <w:szCs w:val="21"/>
              </w:rPr>
              <w:t>2024年</w:t>
            </w:r>
            <w:r w:rsidRPr="00820073">
              <w:rPr>
                <w:rFonts w:asciiTheme="majorEastAsia" w:eastAsiaTheme="majorEastAsia" w:hAnsiTheme="majorEastAsia" w:cstheme="minorEastAsia"/>
                <w:szCs w:val="21"/>
              </w:rPr>
              <w:t>7</w:t>
            </w:r>
            <w:r w:rsidRPr="00820073">
              <w:rPr>
                <w:rFonts w:asciiTheme="majorEastAsia" w:eastAsiaTheme="majorEastAsia" w:hAnsiTheme="majorEastAsia" w:cstheme="minorEastAsia" w:hint="eastAsia"/>
                <w:szCs w:val="21"/>
              </w:rPr>
              <w:t>月</w:t>
            </w:r>
            <w:r w:rsidRPr="00820073">
              <w:rPr>
                <w:rFonts w:asciiTheme="majorEastAsia" w:eastAsiaTheme="majorEastAsia" w:hAnsiTheme="majorEastAsia" w:cstheme="minorEastAsia"/>
                <w:szCs w:val="21"/>
              </w:rPr>
              <w:t>19</w:t>
            </w:r>
            <w:r w:rsidRPr="00820073">
              <w:rPr>
                <w:rFonts w:asciiTheme="majorEastAsia" w:eastAsiaTheme="majorEastAsia" w:hAnsiTheme="majorEastAsia" w:cstheme="minorEastAsia" w:hint="eastAsia"/>
                <w:szCs w:val="21"/>
              </w:rPr>
              <w:t>日</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下属分级基金的基金简称</w:t>
            </w:r>
          </w:p>
        </w:tc>
        <w:tc>
          <w:tcPr>
            <w:tcW w:w="2430" w:type="dxa"/>
          </w:tcPr>
          <w:p w:rsidR="00EF2442" w:rsidRDefault="00B64ECE">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兴业纯债6个月定开债券A</w:t>
            </w:r>
          </w:p>
        </w:tc>
        <w:tc>
          <w:tcPr>
            <w:tcW w:w="2430" w:type="dxa"/>
          </w:tcPr>
          <w:p w:rsidR="00EF2442" w:rsidRDefault="00B64ECE">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兴业纯债6个月定开债券C</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下属分级基金的交易代码</w:t>
            </w:r>
          </w:p>
        </w:tc>
        <w:tc>
          <w:tcPr>
            <w:tcW w:w="2430" w:type="dxa"/>
          </w:tcPr>
          <w:p w:rsidR="00EF2442" w:rsidRDefault="00B64ECE">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005988</w:t>
            </w:r>
          </w:p>
        </w:tc>
        <w:tc>
          <w:tcPr>
            <w:tcW w:w="2430" w:type="dxa"/>
          </w:tcPr>
          <w:p w:rsidR="00EF2442" w:rsidRDefault="00B64ECE">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005989</w:t>
            </w:r>
          </w:p>
        </w:tc>
      </w:tr>
      <w:tr w:rsidR="00EF2442">
        <w:tc>
          <w:tcPr>
            <w:tcW w:w="3960" w:type="dxa"/>
          </w:tcPr>
          <w:p w:rsidR="00EF2442" w:rsidRDefault="00B64ECE">
            <w:pP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该分级基金是否开放申购、赎回、转换及定期定额投资</w:t>
            </w:r>
          </w:p>
        </w:tc>
        <w:tc>
          <w:tcPr>
            <w:tcW w:w="2430" w:type="dxa"/>
          </w:tcPr>
          <w:p w:rsidR="00EF2442" w:rsidRDefault="00B64ECE">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是</w:t>
            </w:r>
          </w:p>
        </w:tc>
        <w:tc>
          <w:tcPr>
            <w:tcW w:w="2430" w:type="dxa"/>
          </w:tcPr>
          <w:p w:rsidR="00EF2442" w:rsidRDefault="00B64ECE">
            <w:pPr>
              <w:jc w:val="center"/>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是</w:t>
            </w:r>
          </w:p>
        </w:tc>
      </w:tr>
    </w:tbl>
    <w:p w:rsidR="00EF2442" w:rsidRDefault="00B64ECE">
      <w:pPr>
        <w:spacing w:line="360" w:lineRule="auto"/>
        <w:ind w:left="360"/>
        <w:rPr>
          <w:rFonts w:asciiTheme="majorEastAsia" w:eastAsiaTheme="majorEastAsia" w:hAnsiTheme="majorEastAsia" w:cstheme="minorEastAsia"/>
          <w:color w:val="0000FF"/>
          <w:kern w:val="0"/>
          <w:szCs w:val="21"/>
        </w:rPr>
      </w:pPr>
      <w:r>
        <w:rPr>
          <w:rFonts w:asciiTheme="majorEastAsia" w:eastAsiaTheme="majorEastAsia" w:hAnsiTheme="majorEastAsia" w:cstheme="minorEastAsia" w:hint="eastAsia"/>
          <w:kern w:val="0"/>
          <w:szCs w:val="21"/>
          <w:shd w:val="clear" w:color="auto" w:fill="FFFFFF"/>
        </w:rPr>
        <w:t>注： 本基金为定期开放基金，本次开放期为</w:t>
      </w:r>
      <w:r w:rsidR="00A57223">
        <w:rPr>
          <w:rFonts w:asciiTheme="majorEastAsia" w:eastAsiaTheme="majorEastAsia" w:hAnsiTheme="majorEastAsia" w:cstheme="minorEastAsia" w:hint="eastAsia"/>
          <w:kern w:val="0"/>
          <w:szCs w:val="21"/>
          <w:shd w:val="clear" w:color="auto" w:fill="FFFFFF"/>
        </w:rPr>
        <w:t>2024</w:t>
      </w:r>
      <w:r>
        <w:rPr>
          <w:rFonts w:asciiTheme="majorEastAsia" w:eastAsiaTheme="majorEastAsia" w:hAnsiTheme="majorEastAsia" w:cstheme="minorEastAsia" w:hint="eastAsia"/>
          <w:kern w:val="0"/>
          <w:szCs w:val="21"/>
          <w:shd w:val="clear" w:color="auto" w:fill="FFFFFF"/>
        </w:rPr>
        <w:t>年</w:t>
      </w:r>
      <w:r w:rsidR="00075592" w:rsidRPr="00075592">
        <w:rPr>
          <w:rFonts w:asciiTheme="majorEastAsia" w:eastAsiaTheme="majorEastAsia" w:hAnsiTheme="majorEastAsia" w:cstheme="minorEastAsia" w:hint="eastAsia"/>
          <w:kern w:val="0"/>
          <w:szCs w:val="21"/>
          <w:shd w:val="clear" w:color="auto" w:fill="FFFFFF"/>
        </w:rPr>
        <w:t>7月19日</w:t>
      </w:r>
      <w:r>
        <w:rPr>
          <w:rFonts w:asciiTheme="majorEastAsia" w:eastAsiaTheme="majorEastAsia" w:hAnsiTheme="majorEastAsia" w:cstheme="minorEastAsia" w:hint="eastAsia"/>
          <w:kern w:val="0"/>
          <w:szCs w:val="21"/>
          <w:shd w:val="clear" w:color="auto" w:fill="FFFFFF"/>
        </w:rPr>
        <w:t>—</w:t>
      </w:r>
      <w:r>
        <w:rPr>
          <w:rFonts w:asciiTheme="majorEastAsia" w:eastAsiaTheme="majorEastAsia" w:hAnsiTheme="majorEastAsia" w:cstheme="minorEastAsia" w:hint="eastAsia"/>
          <w:szCs w:val="21"/>
        </w:rPr>
        <w:t>202</w:t>
      </w:r>
      <w:r w:rsidR="005A0E2B">
        <w:rPr>
          <w:rFonts w:asciiTheme="majorEastAsia" w:eastAsiaTheme="majorEastAsia" w:hAnsiTheme="majorEastAsia" w:cstheme="minorEastAsia"/>
          <w:szCs w:val="21"/>
        </w:rPr>
        <w:t>4</w:t>
      </w:r>
      <w:r>
        <w:rPr>
          <w:rFonts w:asciiTheme="majorEastAsia" w:eastAsiaTheme="majorEastAsia" w:hAnsiTheme="majorEastAsia" w:cstheme="minorEastAsia" w:hint="eastAsia"/>
          <w:szCs w:val="21"/>
        </w:rPr>
        <w:t>年</w:t>
      </w:r>
      <w:r w:rsidR="00075592">
        <w:rPr>
          <w:rFonts w:asciiTheme="majorEastAsia" w:eastAsiaTheme="majorEastAsia" w:hAnsiTheme="majorEastAsia" w:cstheme="minorEastAsia"/>
          <w:szCs w:val="21"/>
        </w:rPr>
        <w:t>7</w:t>
      </w:r>
      <w:r>
        <w:rPr>
          <w:rFonts w:asciiTheme="majorEastAsia" w:eastAsiaTheme="majorEastAsia" w:hAnsiTheme="majorEastAsia" w:cstheme="minorEastAsia" w:hint="eastAsia"/>
          <w:szCs w:val="21"/>
        </w:rPr>
        <w:t>月</w:t>
      </w:r>
      <w:r w:rsidR="006745BE">
        <w:rPr>
          <w:rFonts w:asciiTheme="majorEastAsia" w:eastAsiaTheme="majorEastAsia" w:hAnsiTheme="majorEastAsia" w:cstheme="minorEastAsia"/>
          <w:szCs w:val="21"/>
        </w:rPr>
        <w:t>25</w:t>
      </w:r>
      <w:r>
        <w:rPr>
          <w:rFonts w:asciiTheme="majorEastAsia" w:eastAsiaTheme="majorEastAsia" w:hAnsiTheme="majorEastAsia" w:cstheme="minorEastAsia" w:hint="eastAsia"/>
          <w:szCs w:val="21"/>
        </w:rPr>
        <w:t>日</w:t>
      </w:r>
      <w:r>
        <w:rPr>
          <w:rFonts w:asciiTheme="majorEastAsia" w:eastAsiaTheme="majorEastAsia" w:hAnsiTheme="majorEastAsia" w:cstheme="minorEastAsia" w:hint="eastAsia"/>
          <w:kern w:val="0"/>
          <w:szCs w:val="21"/>
          <w:shd w:val="clear" w:color="auto" w:fill="FFFFFF"/>
        </w:rPr>
        <w:t>。</w:t>
      </w:r>
    </w:p>
    <w:p w:rsidR="00EF2442" w:rsidRDefault="00B64ECE" w:rsidP="00EE0B50">
      <w:pPr>
        <w:pStyle w:val="2"/>
        <w:spacing w:beforeLines="50" w:afterLines="50" w:line="240" w:lineRule="auto"/>
        <w:jc w:val="left"/>
        <w:rPr>
          <w:rFonts w:asciiTheme="majorEastAsia" w:eastAsiaTheme="majorEastAsia" w:hAnsiTheme="majorEastAsia" w:cstheme="minorEastAsia"/>
          <w:bCs/>
          <w:sz w:val="21"/>
          <w:szCs w:val="21"/>
        </w:rPr>
      </w:pPr>
      <w:r>
        <w:rPr>
          <w:rFonts w:asciiTheme="majorEastAsia" w:eastAsiaTheme="majorEastAsia" w:hAnsiTheme="majorEastAsia" w:cstheme="minorEastAsia" w:hint="eastAsia"/>
          <w:bCs/>
          <w:sz w:val="21"/>
          <w:szCs w:val="21"/>
        </w:rPr>
        <w:t xml:space="preserve">2 </w:t>
      </w:r>
      <w:bookmarkStart w:id="8" w:name="t_2_2_table"/>
      <w:bookmarkEnd w:id="8"/>
      <w:r>
        <w:rPr>
          <w:rFonts w:asciiTheme="majorEastAsia" w:eastAsiaTheme="majorEastAsia" w:hAnsiTheme="majorEastAsia" w:cstheme="minorEastAsia" w:hint="eastAsia"/>
          <w:bCs/>
          <w:sz w:val="21"/>
          <w:szCs w:val="21"/>
        </w:rPr>
        <w:t>日常申购、赎回业务的办理时间</w:t>
      </w:r>
    </w:p>
    <w:p w:rsidR="00EF2442" w:rsidRDefault="00B64ECE">
      <w:pPr>
        <w:spacing w:line="360" w:lineRule="auto"/>
        <w:jc w:val="left"/>
        <w:rPr>
          <w:rFonts w:asciiTheme="majorEastAsia" w:eastAsiaTheme="majorEastAsia" w:hAnsiTheme="majorEastAsia" w:cstheme="minorEastAsia"/>
          <w:b/>
          <w:bCs/>
          <w:szCs w:val="21"/>
        </w:rPr>
      </w:pPr>
      <w:bookmarkStart w:id="9" w:name="t_2_2_2819_a1_fm1"/>
      <w:bookmarkEnd w:id="9"/>
      <w:r>
        <w:rPr>
          <w:rFonts w:asciiTheme="majorEastAsia" w:eastAsiaTheme="majorEastAsia" w:hAnsiTheme="majorEastAsia" w:cstheme="minorEastAsia" w:hint="eastAsia"/>
          <w:b/>
          <w:bCs/>
          <w:szCs w:val="21"/>
        </w:rPr>
        <w:t>2.1 开放日及开放时间</w:t>
      </w:r>
    </w:p>
    <w:p w:rsidR="00EF2442" w:rsidRDefault="00B64ECE">
      <w:pPr>
        <w:spacing w:line="360" w:lineRule="auto"/>
        <w:ind w:firstLineChars="200" w:firstLine="420"/>
        <w:jc w:val="left"/>
        <w:rPr>
          <w:rFonts w:asciiTheme="majorEastAsia" w:eastAsiaTheme="majorEastAsia" w:hAnsiTheme="majorEastAsia" w:cstheme="minorEastAsia"/>
          <w:szCs w:val="21"/>
        </w:rPr>
      </w:pPr>
      <w:r>
        <w:t>本基金开放期内，投资人在开放日办理基金份额的申购和赎回，具体办理时间为上海证券交易所、深圳证券交易所的正常交易日的交易时间，但基金管理人根据法律法规、中国证监会的要求或基金合同的规定公告暂停申购、赎回时除外。封闭期内，本基金不办理申购与赎回业务（红利再投资除外），也不上市交易。</w:t>
      </w:r>
    </w:p>
    <w:p w:rsidR="00EF2442" w:rsidRDefault="00B64ECE">
      <w:pPr>
        <w:spacing w:line="360" w:lineRule="auto"/>
        <w:jc w:val="left"/>
        <w:rPr>
          <w:rFonts w:asciiTheme="majorEastAsia" w:eastAsiaTheme="majorEastAsia" w:hAnsiTheme="majorEastAsia" w:cstheme="minorEastAsia"/>
          <w:b/>
          <w:bCs/>
          <w:szCs w:val="21"/>
        </w:rPr>
      </w:pPr>
      <w:r>
        <w:rPr>
          <w:rFonts w:asciiTheme="majorEastAsia" w:eastAsiaTheme="majorEastAsia" w:hAnsiTheme="majorEastAsia" w:cstheme="minorEastAsia" w:hint="eastAsia"/>
          <w:b/>
          <w:bCs/>
          <w:szCs w:val="21"/>
        </w:rPr>
        <w:lastRenderedPageBreak/>
        <w:t>2.2 申购、赎回的开始日及业务办理时间</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本基金自封闭期结束之后第一个工作日起（包括该日）起进入开放期，期间可以办理申购与赎回业务。本基金每个开放期不少于5个工作日且最长不超过20个工作日，开放期的具体时间以基金管理人届时公告为准。</w:t>
      </w:r>
    </w:p>
    <w:p w:rsidR="00EF2442" w:rsidRDefault="00B64ECE">
      <w:pPr>
        <w:spacing w:line="360" w:lineRule="auto"/>
        <w:ind w:firstLineChars="200" w:firstLine="420"/>
        <w:jc w:val="left"/>
      </w:pPr>
      <w:r>
        <w:rPr>
          <w:rFonts w:hint="eastAsia"/>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EF2442" w:rsidRDefault="00B64ECE">
      <w:pPr>
        <w:spacing w:line="360" w:lineRule="auto"/>
        <w:ind w:firstLineChars="200" w:firstLine="420"/>
        <w:jc w:val="left"/>
        <w:rPr>
          <w:rFonts w:asciiTheme="majorEastAsia" w:eastAsiaTheme="majorEastAsia" w:hAnsiTheme="majorEastAsia" w:cstheme="minorEastAsia"/>
          <w:szCs w:val="21"/>
        </w:rPr>
      </w:pPr>
      <w: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该开放期内下一开放日基金份额申购、赎回的价格；投资人在开放期最后一个开放日业务办理时间结束之后提出申购、赎回或转换申请的，视为无效申请。</w:t>
      </w:r>
    </w:p>
    <w:p w:rsidR="00EF2442" w:rsidRDefault="00B64ECE" w:rsidP="00EE0B50">
      <w:pPr>
        <w:pStyle w:val="2"/>
        <w:spacing w:beforeLines="50" w:afterLines="50" w:line="240" w:lineRule="auto"/>
        <w:jc w:val="left"/>
        <w:rPr>
          <w:rFonts w:asciiTheme="majorEastAsia" w:eastAsiaTheme="majorEastAsia" w:hAnsiTheme="majorEastAsia" w:cstheme="minorEastAsia"/>
          <w:bCs/>
          <w:sz w:val="21"/>
          <w:szCs w:val="21"/>
        </w:rPr>
      </w:pPr>
      <w:r>
        <w:rPr>
          <w:rFonts w:asciiTheme="majorEastAsia" w:eastAsiaTheme="majorEastAsia" w:hAnsiTheme="majorEastAsia" w:cstheme="minorEastAsia" w:hint="eastAsia"/>
          <w:bCs/>
          <w:sz w:val="21"/>
          <w:szCs w:val="21"/>
        </w:rPr>
        <w:t>3 日常申购业务</w:t>
      </w:r>
    </w:p>
    <w:p w:rsidR="00EF2442" w:rsidRDefault="00B64ECE" w:rsidP="00EE0B50">
      <w:pPr>
        <w:spacing w:beforeLines="50" w:afterLines="50"/>
        <w:jc w:val="left"/>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 xml:space="preserve">3.1 </w:t>
      </w:r>
      <w:bookmarkStart w:id="10" w:name="t_2_3_1_table"/>
      <w:bookmarkEnd w:id="10"/>
      <w:r>
        <w:rPr>
          <w:rFonts w:asciiTheme="majorEastAsia" w:eastAsiaTheme="majorEastAsia" w:hAnsiTheme="majorEastAsia" w:cstheme="minorEastAsia" w:hint="eastAsia"/>
          <w:b/>
          <w:szCs w:val="21"/>
        </w:rPr>
        <w:t>申购金额限制</w:t>
      </w:r>
    </w:p>
    <w:p w:rsidR="00EF2442" w:rsidRDefault="00B64ECE" w:rsidP="00EE0B50">
      <w:pPr>
        <w:spacing w:beforeLines="50" w:afterLines="50" w:line="360" w:lineRule="auto"/>
        <w:ind w:firstLineChars="202" w:firstLine="424"/>
        <w:jc w:val="left"/>
      </w:pPr>
      <w:r>
        <w:t>通过基金管理人直销机构以外的销售机构首次申购本基金</w:t>
      </w:r>
      <w:r>
        <w:t>A</w:t>
      </w:r>
      <w:r>
        <w:t>类基金份额的，</w:t>
      </w:r>
      <w:r>
        <w:t xml:space="preserve"> </w:t>
      </w:r>
      <w:r>
        <w:t>每个基金账户单笔最低申购金额为</w:t>
      </w:r>
      <w:r>
        <w:t>1</w:t>
      </w:r>
      <w:r>
        <w:t>元；首次申购本基金</w:t>
      </w:r>
      <w:r>
        <w:rPr>
          <w:rFonts w:hint="eastAsia"/>
        </w:rPr>
        <w:t>C</w:t>
      </w:r>
      <w:r>
        <w:t>类基金份额的，每个基金账户单笔最低申购金额为</w:t>
      </w:r>
      <w:r>
        <w:t>1</w:t>
      </w:r>
      <w:r>
        <w:t>元。追加申购本基金</w:t>
      </w:r>
      <w:r>
        <w:t>A</w:t>
      </w:r>
      <w:r>
        <w:t>类、</w:t>
      </w:r>
      <w:r>
        <w:rPr>
          <w:rFonts w:hint="eastAsia"/>
        </w:rPr>
        <w:t>C</w:t>
      </w:r>
      <w:r>
        <w:t>类基金份额的单笔最低金额为</w:t>
      </w:r>
      <w:r>
        <w:t>1</w:t>
      </w:r>
      <w:r>
        <w:t>元。销售机构另有规定的，从其规定。</w:t>
      </w:r>
    </w:p>
    <w:p w:rsidR="00EF2442" w:rsidRDefault="00B64ECE" w:rsidP="00EE0B50">
      <w:pPr>
        <w:spacing w:beforeLines="50" w:afterLines="50" w:line="360" w:lineRule="auto"/>
        <w:ind w:firstLineChars="202" w:firstLine="424"/>
        <w:jc w:val="left"/>
      </w:pPr>
      <w:r>
        <w:t>通过基金管理人的直销机构首次申购本基金</w:t>
      </w:r>
      <w:r>
        <w:t>A</w:t>
      </w:r>
      <w:r>
        <w:t>类基金份额的，每个基金账户单笔最低申购金额为</w:t>
      </w:r>
      <w:r>
        <w:t>1</w:t>
      </w:r>
      <w:r>
        <w:t>元；首次申购本基金</w:t>
      </w:r>
      <w:r>
        <w:rPr>
          <w:rFonts w:hint="eastAsia"/>
        </w:rPr>
        <w:t>C</w:t>
      </w:r>
      <w:r>
        <w:t>类基金份额的，每个基金账户单笔最低申购金额为</w:t>
      </w:r>
      <w:r>
        <w:t>1</w:t>
      </w:r>
      <w:r>
        <w:t>元。追加申购本基金</w:t>
      </w:r>
      <w:r>
        <w:t>A</w:t>
      </w:r>
      <w:r>
        <w:t>类、</w:t>
      </w:r>
      <w:r>
        <w:rPr>
          <w:rFonts w:hint="eastAsia"/>
        </w:rPr>
        <w:t>C</w:t>
      </w:r>
      <w:r>
        <w:t>类基金份额的最低金额为</w:t>
      </w:r>
      <w:r>
        <w:t>1</w:t>
      </w:r>
      <w:r>
        <w:t>元。</w:t>
      </w:r>
      <w:r>
        <w:t xml:space="preserve"> </w:t>
      </w:r>
    </w:p>
    <w:p w:rsidR="00EF2442" w:rsidRDefault="00B64ECE" w:rsidP="00EE0B50">
      <w:pPr>
        <w:spacing w:beforeLines="50" w:afterLines="50" w:line="360" w:lineRule="auto"/>
        <w:ind w:firstLineChars="202" w:firstLine="424"/>
        <w:jc w:val="left"/>
      </w:pPr>
      <w:r>
        <w:t>投资者将当期分配的基金收益转购基金份额时，不受最低申购金额的限制。</w:t>
      </w:r>
      <w:r>
        <w:t xml:space="preserve"> </w:t>
      </w:r>
    </w:p>
    <w:p w:rsidR="00EF2442" w:rsidRDefault="00B64ECE" w:rsidP="00EE0B50">
      <w:pPr>
        <w:spacing w:beforeLines="50" w:afterLines="50" w:line="360" w:lineRule="auto"/>
        <w:ind w:firstLineChars="202" w:firstLine="424"/>
        <w:jc w:val="left"/>
        <w:rPr>
          <w:rFonts w:asciiTheme="majorEastAsia" w:eastAsiaTheme="majorEastAsia" w:hAnsiTheme="majorEastAsia" w:cstheme="minorEastAsia"/>
          <w:szCs w:val="21"/>
        </w:rPr>
      </w:pPr>
      <w:r>
        <w:t>投资者可多次申购，对单个投资者累计持有份额不设上限，但单一投资者持有基金份额数不得达到或超过基金份额总数的</w:t>
      </w:r>
      <w:r>
        <w:t>50%</w:t>
      </w:r>
      <w:r>
        <w:t>（在基金运作过程中因基金份额赎回等情形导致被动达到或超过</w:t>
      </w:r>
      <w:r>
        <w:t>50%</w:t>
      </w:r>
      <w:r>
        <w:t>的除外）。法律法规、中国证监会另有规定的除外。</w:t>
      </w:r>
    </w:p>
    <w:p w:rsidR="00EF2442" w:rsidRDefault="00B64ECE" w:rsidP="00EE0B50">
      <w:pPr>
        <w:spacing w:beforeLines="50" w:afterLines="50" w:line="360" w:lineRule="auto"/>
        <w:ind w:firstLineChars="202" w:firstLine="426"/>
        <w:jc w:val="left"/>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 xml:space="preserve">3.2 </w:t>
      </w:r>
      <w:bookmarkStart w:id="11" w:name="t_2_3_2_table"/>
      <w:bookmarkEnd w:id="11"/>
      <w:r>
        <w:rPr>
          <w:rFonts w:asciiTheme="majorEastAsia" w:eastAsiaTheme="majorEastAsia" w:hAnsiTheme="majorEastAsia" w:cstheme="minorEastAsia" w:hint="eastAsia"/>
          <w:b/>
          <w:szCs w:val="21"/>
        </w:rPr>
        <w:t>申购费率</w:t>
      </w:r>
    </w:p>
    <w:p w:rsidR="00EF2442" w:rsidRDefault="00B64ECE">
      <w:pPr>
        <w:spacing w:line="360" w:lineRule="auto"/>
        <w:ind w:firstLineChars="200" w:firstLine="420"/>
      </w:pPr>
      <w:r>
        <w:t>本基金</w:t>
      </w:r>
      <w:r>
        <w:t>A</w:t>
      </w:r>
      <w:r>
        <w:t>类基金份额在申购时收取申购费，</w:t>
      </w:r>
      <w:r>
        <w:t>C</w:t>
      </w:r>
      <w:r>
        <w:t>类基金份额在申购时不收取申购费。本基金</w:t>
      </w:r>
      <w:r>
        <w:t>A</w:t>
      </w:r>
      <w:r>
        <w:t>类基金份额的申购费用由</w:t>
      </w:r>
      <w:r>
        <w:t>A</w:t>
      </w:r>
      <w:r>
        <w:t>类基金份额的投资人承担，不列入基金财产，主要用于本基金的市场</w:t>
      </w:r>
      <w:r>
        <w:lastRenderedPageBreak/>
        <w:t>推广、销售、登记等各项费用。</w:t>
      </w:r>
      <w:r>
        <w:t xml:space="preserve"> </w:t>
      </w:r>
    </w:p>
    <w:p w:rsidR="00EF2442" w:rsidRDefault="00B64ECE">
      <w:pPr>
        <w:spacing w:line="360" w:lineRule="auto"/>
        <w:ind w:firstLineChars="200" w:firstLine="420"/>
        <w:rPr>
          <w:rFonts w:asciiTheme="majorEastAsia" w:eastAsiaTheme="majorEastAsia" w:hAnsiTheme="majorEastAsia" w:cstheme="minorEastAsia"/>
          <w:szCs w:val="21"/>
        </w:rPr>
      </w:pPr>
      <w:r>
        <w:t>投资人申购</w:t>
      </w:r>
      <w:r>
        <w:t>A</w:t>
      </w:r>
      <w:r>
        <w:t>类基金份额收取前端申购费用，即在申购时支付申购费用，申购费率按每笔申购申请单独计算。投资人申购</w:t>
      </w:r>
      <w:r>
        <w:t>C</w:t>
      </w:r>
      <w:r>
        <w:t>类基金份额不收取申购费用。具体费率如下：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3028"/>
        <w:gridCol w:w="3026"/>
      </w:tblGrid>
      <w:tr w:rsidR="00EF2442">
        <w:trPr>
          <w:trHeight w:val="516"/>
          <w:jc w:val="center"/>
        </w:trPr>
        <w:tc>
          <w:tcPr>
            <w:tcW w:w="1659" w:type="pct"/>
            <w:vAlign w:val="center"/>
          </w:tcPr>
          <w:p w:rsidR="00EF2442" w:rsidRDefault="00B64ECE">
            <w:pPr>
              <w:pStyle w:val="Default"/>
              <w:jc w:val="center"/>
              <w:rPr>
                <w:rFonts w:asciiTheme="majorEastAsia" w:eastAsiaTheme="majorEastAsia" w:hAnsiTheme="majorEastAsia"/>
                <w:sz w:val="21"/>
                <w:szCs w:val="21"/>
              </w:rPr>
            </w:pPr>
            <w:bookmarkStart w:id="12" w:name="t_2_3_2_q_01_2682_a1_fm2210"/>
            <w:bookmarkStart w:id="13" w:name="t_2_3_2_q_2685_a1_fm1"/>
            <w:bookmarkEnd w:id="12"/>
            <w:r>
              <w:rPr>
                <w:rFonts w:asciiTheme="majorEastAsia" w:eastAsiaTheme="majorEastAsia" w:hAnsiTheme="majorEastAsia" w:hint="eastAsia"/>
                <w:sz w:val="21"/>
                <w:szCs w:val="21"/>
              </w:rPr>
              <w:t>基金份额类别</w:t>
            </w:r>
          </w:p>
        </w:tc>
        <w:tc>
          <w:tcPr>
            <w:tcW w:w="1671" w:type="pct"/>
            <w:vAlign w:val="center"/>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申购金额（M，含申购费）</w:t>
            </w:r>
          </w:p>
        </w:tc>
        <w:tc>
          <w:tcPr>
            <w:tcW w:w="1670" w:type="pct"/>
            <w:vAlign w:val="center"/>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申购费率</w:t>
            </w:r>
          </w:p>
        </w:tc>
      </w:tr>
      <w:tr w:rsidR="00EF2442">
        <w:trPr>
          <w:trHeight w:val="211"/>
          <w:jc w:val="center"/>
        </w:trPr>
        <w:tc>
          <w:tcPr>
            <w:tcW w:w="1659" w:type="pct"/>
            <w:vMerge w:val="restart"/>
            <w:vAlign w:val="center"/>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A类基金份额</w:t>
            </w:r>
          </w:p>
        </w:tc>
        <w:tc>
          <w:tcPr>
            <w:tcW w:w="1671" w:type="pct"/>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M＜100万元</w:t>
            </w:r>
          </w:p>
        </w:tc>
        <w:tc>
          <w:tcPr>
            <w:tcW w:w="1670" w:type="pct"/>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0.6%</w:t>
            </w:r>
          </w:p>
        </w:tc>
      </w:tr>
      <w:tr w:rsidR="00EF2442">
        <w:trPr>
          <w:trHeight w:val="211"/>
          <w:jc w:val="center"/>
        </w:trPr>
        <w:tc>
          <w:tcPr>
            <w:tcW w:w="1659" w:type="pct"/>
            <w:vMerge/>
          </w:tcPr>
          <w:p w:rsidR="00EF2442" w:rsidRDefault="00EF2442">
            <w:pPr>
              <w:pStyle w:val="Default"/>
              <w:jc w:val="center"/>
              <w:rPr>
                <w:rFonts w:asciiTheme="majorEastAsia" w:eastAsiaTheme="majorEastAsia" w:hAnsiTheme="majorEastAsia"/>
                <w:sz w:val="21"/>
                <w:szCs w:val="21"/>
              </w:rPr>
            </w:pPr>
          </w:p>
        </w:tc>
        <w:tc>
          <w:tcPr>
            <w:tcW w:w="1671" w:type="pct"/>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100万元≤M＜300万元</w:t>
            </w:r>
          </w:p>
        </w:tc>
        <w:tc>
          <w:tcPr>
            <w:tcW w:w="1670" w:type="pct"/>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0.4%</w:t>
            </w:r>
          </w:p>
        </w:tc>
      </w:tr>
      <w:tr w:rsidR="00EF2442">
        <w:trPr>
          <w:trHeight w:val="211"/>
          <w:jc w:val="center"/>
        </w:trPr>
        <w:tc>
          <w:tcPr>
            <w:tcW w:w="1659" w:type="pct"/>
            <w:vMerge/>
          </w:tcPr>
          <w:p w:rsidR="00EF2442" w:rsidRDefault="00EF2442">
            <w:pPr>
              <w:pStyle w:val="Default"/>
              <w:jc w:val="center"/>
              <w:rPr>
                <w:rFonts w:asciiTheme="majorEastAsia" w:eastAsiaTheme="majorEastAsia" w:hAnsiTheme="majorEastAsia"/>
                <w:sz w:val="21"/>
                <w:szCs w:val="21"/>
              </w:rPr>
            </w:pPr>
          </w:p>
        </w:tc>
        <w:tc>
          <w:tcPr>
            <w:tcW w:w="1671" w:type="pct"/>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300 万元≤M＜500 万元</w:t>
            </w:r>
          </w:p>
        </w:tc>
        <w:tc>
          <w:tcPr>
            <w:tcW w:w="1670" w:type="pct"/>
          </w:tcPr>
          <w:p w:rsidR="00EF2442" w:rsidRDefault="00B64ECE">
            <w:pPr>
              <w:pStyle w:val="Defaul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0.2%</w:t>
            </w:r>
          </w:p>
        </w:tc>
      </w:tr>
      <w:tr w:rsidR="00EF2442">
        <w:trPr>
          <w:trHeight w:val="211"/>
          <w:jc w:val="center"/>
        </w:trPr>
        <w:tc>
          <w:tcPr>
            <w:tcW w:w="1659" w:type="pct"/>
            <w:vMerge/>
          </w:tcPr>
          <w:p w:rsidR="00EF2442" w:rsidRDefault="00EF2442">
            <w:pPr>
              <w:spacing w:line="360" w:lineRule="auto"/>
              <w:ind w:firstLineChars="200" w:firstLine="420"/>
              <w:jc w:val="center"/>
              <w:rPr>
                <w:rFonts w:asciiTheme="majorEastAsia" w:eastAsiaTheme="majorEastAsia" w:hAnsiTheme="majorEastAsia" w:cstheme="minorEastAsia"/>
                <w:bCs/>
                <w:color w:val="000000"/>
                <w:szCs w:val="21"/>
              </w:rPr>
            </w:pPr>
          </w:p>
        </w:tc>
        <w:tc>
          <w:tcPr>
            <w:tcW w:w="1671" w:type="pct"/>
          </w:tcPr>
          <w:p w:rsidR="00EF2442" w:rsidRDefault="00B64ECE">
            <w:pPr>
              <w:spacing w:line="360" w:lineRule="auto"/>
              <w:jc w:val="center"/>
              <w:rPr>
                <w:rFonts w:asciiTheme="majorEastAsia" w:eastAsiaTheme="majorEastAsia" w:hAnsiTheme="majorEastAsia" w:cstheme="minorEastAsia"/>
                <w:bCs/>
                <w:color w:val="000000"/>
                <w:szCs w:val="21"/>
              </w:rPr>
            </w:pPr>
            <w:r>
              <w:rPr>
                <w:rFonts w:asciiTheme="majorEastAsia" w:eastAsiaTheme="majorEastAsia" w:hAnsiTheme="majorEastAsia" w:cstheme="minorEastAsia" w:hint="eastAsia"/>
                <w:bCs/>
                <w:color w:val="000000"/>
                <w:szCs w:val="21"/>
              </w:rPr>
              <w:t>M≥500万元</w:t>
            </w:r>
          </w:p>
        </w:tc>
        <w:tc>
          <w:tcPr>
            <w:tcW w:w="1670" w:type="pct"/>
          </w:tcPr>
          <w:p w:rsidR="00EF2442" w:rsidRDefault="00B64ECE">
            <w:pPr>
              <w:spacing w:line="360" w:lineRule="auto"/>
              <w:jc w:val="center"/>
              <w:rPr>
                <w:rFonts w:asciiTheme="majorEastAsia" w:eastAsiaTheme="majorEastAsia" w:hAnsiTheme="majorEastAsia" w:cstheme="minorEastAsia"/>
                <w:bCs/>
                <w:color w:val="000000"/>
                <w:szCs w:val="21"/>
              </w:rPr>
            </w:pPr>
            <w:r>
              <w:rPr>
                <w:rFonts w:asciiTheme="majorEastAsia" w:eastAsiaTheme="majorEastAsia" w:hAnsiTheme="majorEastAsia" w:cstheme="minorEastAsia" w:hint="eastAsia"/>
                <w:bCs/>
                <w:color w:val="000000"/>
                <w:szCs w:val="21"/>
              </w:rPr>
              <w:t>按笔收取，1000元/笔</w:t>
            </w:r>
          </w:p>
        </w:tc>
      </w:tr>
      <w:tr w:rsidR="00EF2442">
        <w:trPr>
          <w:trHeight w:val="211"/>
          <w:jc w:val="center"/>
        </w:trPr>
        <w:tc>
          <w:tcPr>
            <w:tcW w:w="1659" w:type="pct"/>
          </w:tcPr>
          <w:p w:rsidR="00EF2442" w:rsidRDefault="00B64ECE">
            <w:pPr>
              <w:spacing w:line="360" w:lineRule="auto"/>
              <w:jc w:val="center"/>
              <w:rPr>
                <w:rFonts w:asciiTheme="majorEastAsia" w:eastAsiaTheme="majorEastAsia" w:hAnsiTheme="majorEastAsia" w:cstheme="minorEastAsia"/>
                <w:bCs/>
                <w:color w:val="000000"/>
                <w:szCs w:val="21"/>
              </w:rPr>
            </w:pPr>
            <w:r>
              <w:rPr>
                <w:rFonts w:asciiTheme="majorEastAsia" w:eastAsiaTheme="majorEastAsia" w:hAnsiTheme="majorEastAsia" w:cstheme="minorEastAsia" w:hint="eastAsia"/>
                <w:bCs/>
                <w:color w:val="000000"/>
                <w:szCs w:val="21"/>
              </w:rPr>
              <w:t>C类基金份额</w:t>
            </w:r>
          </w:p>
        </w:tc>
        <w:tc>
          <w:tcPr>
            <w:tcW w:w="3341" w:type="pct"/>
            <w:gridSpan w:val="2"/>
          </w:tcPr>
          <w:p w:rsidR="00EF2442" w:rsidRDefault="00B64ECE">
            <w:pPr>
              <w:spacing w:line="360" w:lineRule="auto"/>
              <w:jc w:val="center"/>
              <w:rPr>
                <w:rFonts w:asciiTheme="majorEastAsia" w:eastAsiaTheme="majorEastAsia" w:hAnsiTheme="majorEastAsia" w:cstheme="minorEastAsia"/>
                <w:bCs/>
                <w:color w:val="000000"/>
                <w:szCs w:val="21"/>
              </w:rPr>
            </w:pPr>
            <w:r>
              <w:rPr>
                <w:rFonts w:asciiTheme="majorEastAsia" w:eastAsiaTheme="majorEastAsia" w:hAnsiTheme="majorEastAsia" w:cstheme="minorEastAsia" w:hint="eastAsia"/>
                <w:bCs/>
                <w:color w:val="000000"/>
                <w:szCs w:val="21"/>
              </w:rPr>
              <w:t>0</w:t>
            </w:r>
          </w:p>
        </w:tc>
      </w:tr>
      <w:bookmarkEnd w:id="13"/>
    </w:tbl>
    <w:p w:rsidR="00EF2442" w:rsidRDefault="00EF2442">
      <w:pPr>
        <w:spacing w:line="360" w:lineRule="auto"/>
        <w:jc w:val="left"/>
        <w:rPr>
          <w:rFonts w:asciiTheme="majorEastAsia" w:eastAsiaTheme="majorEastAsia" w:hAnsiTheme="majorEastAsia" w:cstheme="minorEastAsia"/>
          <w:szCs w:val="21"/>
        </w:rPr>
      </w:pPr>
    </w:p>
    <w:p w:rsidR="00EF2442" w:rsidRDefault="00B64ECE" w:rsidP="00EE0B50">
      <w:pPr>
        <w:pStyle w:val="2"/>
        <w:spacing w:beforeLines="50" w:afterLines="50" w:line="240" w:lineRule="auto"/>
        <w:rPr>
          <w:rFonts w:asciiTheme="majorEastAsia" w:eastAsiaTheme="majorEastAsia" w:hAnsiTheme="majorEastAsia" w:cstheme="minorEastAsia"/>
          <w:bCs/>
          <w:sz w:val="21"/>
          <w:szCs w:val="21"/>
        </w:rPr>
      </w:pPr>
      <w:r>
        <w:rPr>
          <w:rFonts w:asciiTheme="majorEastAsia" w:eastAsiaTheme="majorEastAsia" w:hAnsiTheme="majorEastAsia" w:cstheme="minorEastAsia" w:hint="eastAsia"/>
          <w:bCs/>
          <w:sz w:val="21"/>
          <w:szCs w:val="21"/>
        </w:rPr>
        <w:t>4 日常赎回业务</w:t>
      </w:r>
    </w:p>
    <w:p w:rsidR="00EF2442" w:rsidRDefault="00B64ECE" w:rsidP="00EE0B50">
      <w:pPr>
        <w:spacing w:beforeLines="50" w:afterLines="50"/>
        <w:jc w:val="left"/>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4.1</w:t>
      </w:r>
      <w:bookmarkStart w:id="14" w:name="t_2_4_1_table"/>
      <w:bookmarkEnd w:id="14"/>
      <w:r>
        <w:rPr>
          <w:rFonts w:asciiTheme="majorEastAsia" w:eastAsiaTheme="majorEastAsia" w:hAnsiTheme="majorEastAsia" w:cstheme="minorEastAsia" w:hint="eastAsia"/>
          <w:b/>
          <w:szCs w:val="21"/>
        </w:rPr>
        <w:t xml:space="preserve"> 赎回份额限制</w:t>
      </w:r>
    </w:p>
    <w:p w:rsidR="00EF2442" w:rsidRDefault="00B64ECE">
      <w:pPr>
        <w:spacing w:line="360" w:lineRule="auto"/>
        <w:ind w:firstLineChars="200" w:firstLine="420"/>
      </w:pPr>
      <w:r>
        <w:t>基金份额持有人在销售机构赎回时，基金份额持有人可将其全部或部分基金份额赎回，投资者每次赎回份额申请不得低于</w:t>
      </w:r>
      <w:r>
        <w:t>1</w:t>
      </w:r>
      <w:r>
        <w:t>份（除非该账户在销售机构或网点托管的基金份额余额不足</w:t>
      </w:r>
      <w:r>
        <w:t>1</w:t>
      </w:r>
      <w:r>
        <w:t>份）基金份额。</w:t>
      </w:r>
    </w:p>
    <w:p w:rsidR="00EF2442" w:rsidRDefault="00B64ECE">
      <w:pPr>
        <w:spacing w:line="360" w:lineRule="auto"/>
        <w:ind w:firstLineChars="200" w:firstLine="420"/>
        <w:rPr>
          <w:rFonts w:asciiTheme="majorEastAsia" w:eastAsiaTheme="majorEastAsia" w:hAnsiTheme="majorEastAsia" w:cstheme="minorEastAsia"/>
          <w:szCs w:val="21"/>
        </w:rPr>
      </w:pPr>
      <w:r>
        <w:t>投资者在销售机构保留的基金份额最低余额为</w:t>
      </w:r>
      <w:r>
        <w:t>1</w:t>
      </w:r>
      <w:r>
        <w:t>份，基金份额持有人赎回时或赎回后在销售机构保留的基金份额余额不足上述余额的，余额部分基金份额在赎回时需同时全部赎回。</w:t>
      </w:r>
    </w:p>
    <w:p w:rsidR="00EF2442" w:rsidRDefault="00B64ECE" w:rsidP="00EE0B50">
      <w:pPr>
        <w:spacing w:beforeLines="50" w:afterLines="50"/>
        <w:rPr>
          <w:rFonts w:asciiTheme="majorEastAsia" w:eastAsiaTheme="majorEastAsia" w:hAnsiTheme="majorEastAsia" w:cstheme="minorEastAsia"/>
          <w:b/>
          <w:szCs w:val="21"/>
          <w:lang w:val="nl-NL"/>
        </w:rPr>
      </w:pPr>
      <w:r>
        <w:rPr>
          <w:rFonts w:asciiTheme="majorEastAsia" w:eastAsiaTheme="majorEastAsia" w:hAnsiTheme="majorEastAsia" w:cstheme="minorEastAsia" w:hint="eastAsia"/>
          <w:b/>
          <w:szCs w:val="21"/>
        </w:rPr>
        <w:t xml:space="preserve">4.2 </w:t>
      </w:r>
      <w:bookmarkStart w:id="15" w:name="t_2_4_2_table"/>
      <w:bookmarkEnd w:id="15"/>
      <w:r>
        <w:rPr>
          <w:rFonts w:asciiTheme="majorEastAsia" w:eastAsiaTheme="majorEastAsia" w:hAnsiTheme="majorEastAsia" w:cstheme="minorEastAsia" w:hint="eastAsia"/>
          <w:b/>
          <w:szCs w:val="21"/>
        </w:rPr>
        <w:t>赎回费率</w:t>
      </w:r>
      <w:bookmarkStart w:id="16" w:name="t_2_4_2_2843_a1_fm1"/>
      <w:bookmarkEnd w:id="16"/>
    </w:p>
    <w:p w:rsidR="00EF2442" w:rsidRDefault="00B64ECE" w:rsidP="00EE0B50">
      <w:pPr>
        <w:spacing w:beforeLines="50" w:afterLines="50" w:line="360" w:lineRule="auto"/>
        <w:ind w:firstLineChars="202" w:firstLine="424"/>
        <w:rPr>
          <w:rFonts w:asciiTheme="majorEastAsia" w:eastAsiaTheme="majorEastAsia" w:hAnsiTheme="majorEastAsia" w:cstheme="minorEastAsia"/>
          <w:bCs/>
          <w:szCs w:val="21"/>
        </w:rPr>
      </w:pPr>
      <w:r>
        <w:rPr>
          <w:rFonts w:asciiTheme="majorEastAsia" w:eastAsiaTheme="majorEastAsia" w:hAnsiTheme="majorEastAsia" w:cstheme="minorEastAsia"/>
          <w:bCs/>
          <w:szCs w:val="21"/>
        </w:rPr>
        <w:t>（1）</w:t>
      </w:r>
      <w:r>
        <w:rPr>
          <w:rFonts w:asciiTheme="majorEastAsia" w:eastAsiaTheme="majorEastAsia" w:hAnsiTheme="majorEastAsia" w:cstheme="minorEastAsia" w:hint="eastAsia"/>
          <w:bCs/>
          <w:szCs w:val="21"/>
        </w:rPr>
        <w:t>在同一个开放期内申购后又赎回的A类基金份额或C类基金份额，</w:t>
      </w:r>
      <w:r>
        <w:rPr>
          <w:rFonts w:asciiTheme="majorEastAsia" w:eastAsiaTheme="majorEastAsia" w:hAnsiTheme="majorEastAsia" w:cstheme="minorEastAsia"/>
          <w:bCs/>
          <w:szCs w:val="21"/>
        </w:rPr>
        <w:t xml:space="preserve">赎回费率为1.5%； </w:t>
      </w:r>
    </w:p>
    <w:p w:rsidR="00EF2442" w:rsidRDefault="00B64ECE" w:rsidP="00EE0B50">
      <w:pPr>
        <w:spacing w:beforeLines="50" w:afterLines="50" w:line="360" w:lineRule="auto"/>
        <w:ind w:firstLineChars="202" w:firstLine="424"/>
        <w:rPr>
          <w:rFonts w:asciiTheme="majorEastAsia" w:eastAsiaTheme="majorEastAsia" w:hAnsiTheme="majorEastAsia" w:cstheme="minorEastAsia"/>
          <w:bCs/>
          <w:szCs w:val="21"/>
        </w:rPr>
      </w:pPr>
      <w:r>
        <w:rPr>
          <w:rFonts w:asciiTheme="majorEastAsia" w:eastAsiaTheme="majorEastAsia" w:hAnsiTheme="majorEastAsia" w:cstheme="minorEastAsia"/>
          <w:bCs/>
          <w:szCs w:val="21"/>
        </w:rPr>
        <w:t xml:space="preserve">（2）其他情况的赎回费率为 0%。 </w:t>
      </w:r>
    </w:p>
    <w:p w:rsidR="00EF2442" w:rsidRDefault="00B64ECE" w:rsidP="00EE0B50">
      <w:pPr>
        <w:spacing w:beforeLines="50" w:afterLines="50" w:line="360" w:lineRule="auto"/>
        <w:ind w:firstLineChars="202" w:firstLine="424"/>
        <w:rPr>
          <w:rFonts w:asciiTheme="majorEastAsia" w:eastAsiaTheme="majorEastAsia" w:hAnsiTheme="majorEastAsia" w:cstheme="minorEastAsia"/>
          <w:bCs/>
          <w:szCs w:val="21"/>
        </w:rPr>
      </w:pPr>
      <w:r>
        <w:t>赎回费用由赎回基金份额的基金份额持有人承担，在基金份额持有人赎回基金份额时收取，并全额归入基金财产。</w:t>
      </w:r>
    </w:p>
    <w:p w:rsidR="00EF2442" w:rsidRDefault="00B64ECE" w:rsidP="00EE0B50">
      <w:pPr>
        <w:spacing w:beforeLines="50" w:afterLines="50"/>
        <w:rPr>
          <w:rFonts w:asciiTheme="majorEastAsia" w:eastAsiaTheme="majorEastAsia" w:hAnsiTheme="majorEastAsia" w:cstheme="minorEastAsia"/>
          <w:b/>
          <w:szCs w:val="21"/>
        </w:rPr>
      </w:pPr>
      <w:r>
        <w:rPr>
          <w:rFonts w:asciiTheme="majorEastAsia" w:eastAsiaTheme="majorEastAsia" w:hAnsiTheme="majorEastAsia" w:cstheme="minorEastAsia" w:hint="eastAsia"/>
          <w:b/>
          <w:szCs w:val="21"/>
        </w:rPr>
        <w:t xml:space="preserve">4.3 </w:t>
      </w:r>
      <w:bookmarkStart w:id="17" w:name="t_2_4_3_table"/>
      <w:bookmarkEnd w:id="17"/>
      <w:r>
        <w:rPr>
          <w:rFonts w:asciiTheme="majorEastAsia" w:eastAsiaTheme="majorEastAsia" w:hAnsiTheme="majorEastAsia" w:cstheme="minorEastAsia" w:hint="eastAsia"/>
          <w:b/>
          <w:szCs w:val="21"/>
        </w:rPr>
        <w:t>其他与赎回相关的事项</w:t>
      </w:r>
    </w:p>
    <w:p w:rsidR="00EF2442" w:rsidRDefault="00B64ECE" w:rsidP="00EE0B50">
      <w:pPr>
        <w:spacing w:beforeLines="50" w:afterLines="50"/>
        <w:ind w:firstLineChars="100" w:firstLine="210"/>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无</w:t>
      </w:r>
    </w:p>
    <w:p w:rsidR="00EF2442" w:rsidRDefault="00B64ECE" w:rsidP="00EE0B50">
      <w:pPr>
        <w:pStyle w:val="2"/>
        <w:spacing w:beforeLines="50" w:afterLines="50" w:line="240" w:lineRule="auto"/>
        <w:jc w:val="left"/>
        <w:rPr>
          <w:rFonts w:ascii="宋体" w:eastAsia="宋体" w:hAnsi="宋体" w:cs="宋体"/>
          <w:bCs/>
          <w:sz w:val="21"/>
          <w:szCs w:val="21"/>
        </w:rPr>
      </w:pPr>
      <w:bookmarkStart w:id="18" w:name="t_2_4_3_2823_a1_fm1"/>
      <w:bookmarkEnd w:id="18"/>
      <w:r>
        <w:rPr>
          <w:rFonts w:ascii="宋体" w:eastAsia="宋体" w:hAnsi="宋体" w:cs="宋体" w:hint="eastAsia"/>
          <w:bCs/>
          <w:sz w:val="21"/>
          <w:szCs w:val="21"/>
        </w:rPr>
        <w:t>5 基金转换业务</w:t>
      </w:r>
    </w:p>
    <w:p w:rsidR="00EF2442" w:rsidRDefault="00B64ECE">
      <w:pPr>
        <w:spacing w:before="156" w:after="156"/>
        <w:rPr>
          <w:b/>
        </w:rPr>
      </w:pPr>
      <w:r>
        <w:rPr>
          <w:b/>
        </w:rPr>
        <w:t xml:space="preserve">5.1 </w:t>
      </w:r>
      <w:r>
        <w:rPr>
          <w:rFonts w:hint="eastAsia"/>
          <w:b/>
        </w:rPr>
        <w:t>转换费率</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基金转换费用由转出基金的赎回费和基金转换的申购补差费两部分构成，具体收取情况视每次转换时不同基金的申购费率和赎回费率的差异情况而定。基金转换费用由基金持有人承担。</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转出基金赎回费用按转出基金的赎回费率收取，并按照《公开募集证券投资基金销售机构监督管理办法》的规定将部分赎回费计入转出基金的基金财产。转出基金的赎回金额、赎回费的处理按照相关基金招募说明书及本公司《开放式基金业务规则》中有关赎回业务相关规则执行。</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申购补差费率指转入基金与转出基金的申购费率之差。当转入基金的申购费率高于转出基金的申购费率时，应缴纳转入基金和转出基金的申购费差额，反之则不收取申购补差费；各基金的申购费率以基金的招募说明书等法律文件为准，如转入基金或转出基金适用固定费用的，则申购补差费中的申购费按固定费用进行计算。</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转入份额按照四舍五入的方法保留小数点后两位，由此产生的误差归入基金财产。</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转出基金赎回费用、转出转入基金申购补差费用保留小数点后两位，两位以后的部分四舍五入，由此产生的误差计入基金财产。</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基金转换计算公式如下：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转出基金赎回费＝转出份额×转出净值×转出基金赎回费率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转出金额=转出份额×转出基金当日基金份额净值－转出基金赎回费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申购补差费（外扣法）＝Max[转出金额×转入基金的申购费率/（1＋转入基金申购费率）－转出金额×转出基金申购费率/（1＋转出基金申购费率）,0]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转换费用＝转出基金赎回费＋申购补差费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转入份额＝（转出金额－申购补差费）/转入基金当日基金份额净值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注：申购补差费中的转入基金申购费率按基金合同和招募说明书中的费率标准执行，不适用申购费率优惠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例如：某基金份额持有人持有10,000 份兴业N基金份额1年后（未满2 年）决定转换为M基金份额。</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假设N基金申购金额小于100万元，申购费率为0.8%，持有期限满1年未满2年，赎回费为0.05％。</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M基金申购金额小于100万元，申购费率为0.8%，持有期限满1年未满2年，赎回费为0.05％。</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假设转换当日转出基金份额净值是1.050元，转入基金的基金份额净值是1.195元，对应赎回费率为0.05%，申购补差费率为0，则可得到的转换份额为：</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转出基金赎回费＝10,000×1.050×0.05％＝5.25元</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转出金额=10,000×1.050－5.25＝10,494.75元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申购补差费（外扣法）＝Max[10,494.75×0.8%/（1＋0.8%）－10,494.75×0.8%/（1＋0.8%）,0] =0元</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转换费用＝5.25＋0=5.25元</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转入份额＝（10,494.75－0）/1.195= 8782.22份</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即：某基金份额持有人持有10,000 份N基金份额1年后（未满2 年）决定转换为M基金份额，假设转换当日转出基金份额净值是1.050元，转入基金的基金份额净值是1.195元，则可得到的转换份额为8782.22份。</w:t>
      </w:r>
    </w:p>
    <w:p w:rsidR="00EF2442" w:rsidRDefault="00B64ECE">
      <w:pPr>
        <w:spacing w:before="156" w:after="156"/>
        <w:rPr>
          <w:b/>
        </w:rPr>
      </w:pPr>
      <w:r>
        <w:rPr>
          <w:b/>
        </w:rPr>
        <w:t xml:space="preserve">5.2 </w:t>
      </w:r>
      <w:r>
        <w:rPr>
          <w:rFonts w:hint="eastAsia"/>
          <w:b/>
        </w:rPr>
        <w:t>其他与转换相关的事项</w:t>
      </w:r>
    </w:p>
    <w:p w:rsidR="00EF2442" w:rsidRDefault="00B64ECE" w:rsidP="00EE0B50">
      <w:pPr>
        <w:pStyle w:val="2"/>
        <w:spacing w:beforeLines="50" w:afterLines="50" w:line="240" w:lineRule="auto"/>
        <w:ind w:firstLineChars="200" w:firstLine="422"/>
        <w:jc w:val="left"/>
        <w:rPr>
          <w:rFonts w:ascii="宋体" w:eastAsia="宋体" w:hAnsi="宋体" w:cs="宋体"/>
          <w:bCs/>
          <w:szCs w:val="21"/>
        </w:rPr>
      </w:pPr>
      <w:r>
        <w:rPr>
          <w:rFonts w:ascii="宋体" w:eastAsia="宋体" w:hAnsi="宋体" w:cs="宋体" w:hint="eastAsia"/>
          <w:bCs/>
          <w:sz w:val="21"/>
          <w:szCs w:val="21"/>
        </w:rPr>
        <w:t>（1）转换业务规则</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转换的两只基金必须都是由同一销售机构销售、同一基金管理人管理、并在同一注册登记机构处注册登记的基金。投资者办理基金转换业务时，转出方的基金必须处于可赎回状态，转入方的基金必须处于可申购状态。除兴业稳天盈货币市场基金外，同一基金不同类别基金份额间不开放相互转换业务。</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投资者可在基金开放日申请办理基金转换业务，具体办理时间与基金申购、赎回业务办理时间相同。本公司公告暂停申购、赎回或转换时除外。</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交易限额参见相关基金招募说明书和相关公告中对申购和赎回限额的规定。</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投资者提出的基金转换申请，在当日交易时间结束前可以撤销，交易时间结束后不得撤销。</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基金转换采取未知价法，即基金的转换价格以申请受理当日各转出、转入基金的基金份额净值为基础进行计算。</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基金转换以份额为单位进行申请，遵循“先进先出”的原则，即份额注册日期在前的先转换出，份额注册日期在后的后转换出。基金转换申请转出的基金份额必须是可用份额。</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注册登记机构以收到有效转换申请的当天作为转换申请日（T日）。正常情况下，转换基金成功的，注册登记机构将在T＋1日对投资者T日的基金转换业务申请进行有效性确认，办理转出基金的权益扣除以及转入基金的权益登记，投资者可自T+2日起向销售机构查询基金转换的成交情况，并有权转换或赎回转入部分的基金份额。</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申请基金转换须满足各基金的基金合同及招募说明书关于基金最低持有份额的规定，如果某笔转换申请导致投资者在单个交易账户的基金份额余额少于转出基金最低保留余额限制，基金管理人有权将投资者在该个交易账户的该基金剩余份额一次性全部赎回。</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基金份额持有人可将其全部或部分基金份额转换成其他基金，单笔转换申请必须满足各基金的招募说明书等法律文件中关于基金最低交易份额的规定。</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如单个开放日发生巨额赎回时，基金转出与基金赎回具有相同的优先级，基金管理人可根据基金资产组合情况，决定全额转出或部分转出，并且对于基金转出和基金赎回，将采取相同的比例确认（另行公告除外）。巨额赎回定义以各基金的基金合同等法律文件中相关规定为准。</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基金转换后，转入基金份额的持有时间将重新计算，即转入的基金份额的持有期将自转入的基金份额被确认日起重新开始计算。</w:t>
      </w:r>
    </w:p>
    <w:p w:rsidR="00EF2442" w:rsidRDefault="00B64ECE">
      <w:pPr>
        <w:spacing w:line="360" w:lineRule="auto"/>
        <w:ind w:firstLineChars="200" w:firstLine="420"/>
        <w:rPr>
          <w:rFonts w:ascii="宋体" w:hAnsi="宋体" w:cs="宋体"/>
          <w:szCs w:val="21"/>
        </w:rPr>
      </w:pPr>
      <w:r>
        <w:rPr>
          <w:rFonts w:hint="eastAsia"/>
          <w:szCs w:val="21"/>
        </w:rPr>
        <w:t>基金管理人可以根据市场情况在不违反有关法律法规和基金合同的规定之前提下调整上述转换的业务规则及有关限制。</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（2）可转换基金</w:t>
      </w:r>
    </w:p>
    <w:p w:rsidR="00ED5994" w:rsidRDefault="00ED5994" w:rsidP="00ED5994">
      <w:pPr>
        <w:spacing w:line="360" w:lineRule="auto"/>
        <w:ind w:firstLineChars="200" w:firstLine="420"/>
        <w:rPr>
          <w:rFonts w:ascii="宋体" w:hAnsi="宋体"/>
          <w:szCs w:val="21"/>
        </w:rPr>
      </w:pPr>
      <w:r>
        <w:rPr>
          <w:rFonts w:ascii="宋体" w:hAnsi="宋体" w:hint="eastAsia"/>
        </w:rPr>
        <w:t>本基金开通与截至本公告披露时本公司旗下除</w:t>
      </w:r>
      <w:r>
        <w:rPr>
          <w:rFonts w:hint="eastAsia"/>
        </w:rPr>
        <w:t>FOF</w:t>
      </w:r>
      <w:r>
        <w:rPr>
          <w:rFonts w:ascii="宋体" w:hAnsi="宋体" w:hint="eastAsia"/>
        </w:rPr>
        <w:t>型基金外的其他开放式基金（由同一注册登记机构办理注册登记的、且已公告开通基金转换业务）之间的转换业务，各基金转换业务的开放状态及交易限制详见相关公告。</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（3）业务办理机构</w:t>
      </w:r>
    </w:p>
    <w:p w:rsidR="00EF2442" w:rsidRDefault="00B64ECE">
      <w:pPr>
        <w:spacing w:line="360" w:lineRule="auto"/>
        <w:ind w:firstLine="420"/>
        <w:rPr>
          <w:rFonts w:ascii="宋体" w:hAnsi="宋体" w:cs="宋体"/>
          <w:szCs w:val="21"/>
        </w:rPr>
      </w:pPr>
      <w:r>
        <w:rPr>
          <w:rFonts w:ascii="宋体" w:hAnsi="宋体" w:cs="宋体" w:hint="eastAsia"/>
          <w:szCs w:val="21"/>
        </w:rPr>
        <w:t>本公司开通本基金转换业务。本基金销售机构是否支持办理本基金的转换业务及具体转换办法以各销售机构规定为准。</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投资者须到同时销售拟转出和转入基金的同一销售机构办理基金的转换业务。</w:t>
      </w:r>
    </w:p>
    <w:p w:rsidR="00EF2442" w:rsidRDefault="00B64ECE" w:rsidP="00EE0B50">
      <w:pPr>
        <w:pStyle w:val="2"/>
        <w:spacing w:beforeLines="50" w:afterLines="50" w:line="240" w:lineRule="auto"/>
        <w:jc w:val="left"/>
        <w:rPr>
          <w:rFonts w:ascii="宋体" w:eastAsia="宋体" w:hAnsi="宋体" w:cs="宋体"/>
          <w:bCs/>
          <w:sz w:val="21"/>
          <w:szCs w:val="21"/>
        </w:rPr>
      </w:pPr>
      <w:r>
        <w:rPr>
          <w:rFonts w:ascii="宋体" w:eastAsia="宋体" w:hAnsi="宋体" w:cs="宋体"/>
          <w:bCs/>
          <w:sz w:val="21"/>
          <w:szCs w:val="21"/>
        </w:rPr>
        <w:t>6.</w:t>
      </w:r>
      <w:r>
        <w:rPr>
          <w:rFonts w:ascii="宋体" w:eastAsia="宋体" w:hAnsi="宋体" w:cs="宋体" w:hint="eastAsia"/>
          <w:bCs/>
          <w:sz w:val="21"/>
          <w:szCs w:val="21"/>
        </w:rPr>
        <w:t>定期定额投资业务</w:t>
      </w:r>
    </w:p>
    <w:p w:rsidR="00EF2442" w:rsidRDefault="00B64ECE" w:rsidP="00EE0B50">
      <w:pPr>
        <w:pStyle w:val="2"/>
        <w:spacing w:beforeLines="50" w:afterLines="50" w:line="240" w:lineRule="auto"/>
        <w:jc w:val="left"/>
        <w:rPr>
          <w:rFonts w:ascii="宋体" w:eastAsia="宋体" w:hAnsi="宋体" w:cs="宋体"/>
          <w:bCs/>
          <w:szCs w:val="21"/>
        </w:rPr>
      </w:pPr>
      <w:r>
        <w:rPr>
          <w:rFonts w:ascii="宋体" w:eastAsia="宋体" w:hAnsi="宋体" w:cs="宋体"/>
          <w:bCs/>
          <w:sz w:val="21"/>
          <w:szCs w:val="21"/>
        </w:rPr>
        <w:t xml:space="preserve">6.1 </w:t>
      </w:r>
      <w:r>
        <w:rPr>
          <w:rFonts w:ascii="宋体" w:eastAsia="宋体" w:hAnsi="宋体" w:cs="宋体" w:hint="eastAsia"/>
          <w:bCs/>
          <w:sz w:val="21"/>
          <w:szCs w:val="21"/>
        </w:rPr>
        <w:t>定投业务办理方式</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投资者开立基金账户后即可到开通定投业务的销售机构办理本基金的基金定投业务，具体安排请遵循各销售机构的相关规定。</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（1）投资者应和销售机构约定扣款日期；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（2）销售机构将按照投资者申请时约定的每期扣款日、申购金额扣款，如遇非基金开放日则以销售机构的相关规定为准，并将投资者申购的实际扣款日期视为基金申购申请日（T 日）；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 xml:space="preserve">（3）投资者需指定销售机构认可的资金账户作为每期固定扣款账户；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（4）投资者办理上述基金的定投业务，每期最低定投金额与产品申购起点保持一致。在不低于产品申购起点的情形下，如销售机构对最低定投金额有其他规定，则以销售机构的业务规定为准。</w:t>
      </w:r>
    </w:p>
    <w:p w:rsidR="00EF2442" w:rsidRDefault="00B64ECE" w:rsidP="00EE0B50">
      <w:pPr>
        <w:pStyle w:val="2"/>
        <w:spacing w:beforeLines="50" w:afterLines="50" w:line="240" w:lineRule="auto"/>
        <w:jc w:val="left"/>
        <w:rPr>
          <w:rFonts w:ascii="宋体" w:eastAsia="宋体" w:hAnsi="宋体" w:cs="宋体"/>
          <w:bCs/>
          <w:szCs w:val="21"/>
        </w:rPr>
      </w:pPr>
      <w:r>
        <w:rPr>
          <w:rFonts w:ascii="宋体" w:eastAsia="宋体" w:hAnsi="宋体" w:cs="宋体"/>
          <w:bCs/>
          <w:sz w:val="21"/>
          <w:szCs w:val="21"/>
        </w:rPr>
        <w:t>6</w:t>
      </w:r>
      <w:r>
        <w:rPr>
          <w:rFonts w:ascii="宋体" w:eastAsia="宋体" w:hAnsi="宋体" w:cs="宋体" w:hint="eastAsia"/>
          <w:bCs/>
          <w:sz w:val="21"/>
          <w:szCs w:val="21"/>
        </w:rPr>
        <w:t xml:space="preserve">.2扣款与交易确认 </w:t>
      </w:r>
    </w:p>
    <w:p w:rsidR="00EF2442" w:rsidRDefault="00B64ECE">
      <w:pPr>
        <w:spacing w:line="360" w:lineRule="auto"/>
        <w:ind w:firstLineChars="200" w:firstLine="420"/>
        <w:rPr>
          <w:rFonts w:ascii="宋体" w:hAnsi="宋体" w:cs="宋体"/>
          <w:szCs w:val="21"/>
        </w:rPr>
      </w:pPr>
      <w:r>
        <w:rPr>
          <w:rFonts w:ascii="宋体" w:hAnsi="宋体" w:cs="宋体" w:hint="eastAsia"/>
          <w:szCs w:val="21"/>
        </w:rPr>
        <w:t>本基金的基金注册登记机构按照基金申购日（T</w:t>
      </w:r>
      <w:r>
        <w:rPr>
          <w:rFonts w:ascii="宋体" w:hAnsi="宋体" w:cs="宋体"/>
          <w:szCs w:val="21"/>
        </w:rPr>
        <w:t xml:space="preserve"> </w:t>
      </w:r>
      <w:r>
        <w:rPr>
          <w:rFonts w:ascii="宋体" w:hAnsi="宋体" w:cs="宋体" w:hint="eastAsia"/>
          <w:szCs w:val="21"/>
        </w:rPr>
        <w:t>日）的基金份额净值为基准计算申购份额，申购份额将在</w:t>
      </w:r>
      <w:r>
        <w:rPr>
          <w:rFonts w:ascii="宋体" w:hAnsi="宋体" w:cs="宋体"/>
          <w:szCs w:val="21"/>
        </w:rPr>
        <w:t xml:space="preserve"> T+1 </w:t>
      </w:r>
      <w:r>
        <w:rPr>
          <w:rFonts w:ascii="宋体" w:hAnsi="宋体" w:cs="宋体" w:hint="eastAsia"/>
          <w:szCs w:val="21"/>
        </w:rPr>
        <w:t>日确认，投资者可自</w:t>
      </w:r>
      <w:r>
        <w:rPr>
          <w:rFonts w:ascii="宋体" w:hAnsi="宋体" w:cs="宋体"/>
          <w:szCs w:val="21"/>
        </w:rPr>
        <w:t xml:space="preserve"> T+2 </w:t>
      </w:r>
      <w:r>
        <w:rPr>
          <w:rFonts w:ascii="宋体" w:hAnsi="宋体" w:cs="宋体" w:hint="eastAsia"/>
          <w:szCs w:val="21"/>
        </w:rPr>
        <w:t>日起查询申购成交情况；</w:t>
      </w:r>
    </w:p>
    <w:p w:rsidR="00EF2442" w:rsidRDefault="00B64ECE" w:rsidP="00EE0B50">
      <w:pPr>
        <w:pStyle w:val="2"/>
        <w:spacing w:beforeLines="50" w:afterLines="50" w:line="240" w:lineRule="auto"/>
        <w:jc w:val="left"/>
        <w:rPr>
          <w:rFonts w:ascii="宋体" w:eastAsia="宋体" w:hAnsi="宋体" w:cs="宋体"/>
          <w:bCs/>
          <w:szCs w:val="21"/>
        </w:rPr>
      </w:pPr>
      <w:r>
        <w:rPr>
          <w:rFonts w:ascii="宋体" w:eastAsia="宋体" w:hAnsi="宋体" w:cs="宋体"/>
          <w:bCs/>
          <w:sz w:val="21"/>
          <w:szCs w:val="21"/>
        </w:rPr>
        <w:t>6</w:t>
      </w:r>
      <w:r>
        <w:rPr>
          <w:rFonts w:ascii="宋体" w:eastAsia="宋体" w:hAnsi="宋体" w:cs="宋体" w:hint="eastAsia"/>
          <w:bCs/>
          <w:sz w:val="21"/>
          <w:szCs w:val="21"/>
        </w:rPr>
        <w:t xml:space="preserve">.3变更与解约 </w:t>
      </w:r>
    </w:p>
    <w:p w:rsidR="00EF2442" w:rsidRPr="00654322" w:rsidRDefault="00B64ECE" w:rsidP="00654322">
      <w:pPr>
        <w:spacing w:before="156" w:after="156" w:line="360" w:lineRule="auto"/>
        <w:ind w:firstLineChars="200" w:firstLine="420"/>
        <w:rPr>
          <w:rFonts w:ascii="宋体" w:hAnsi="宋体" w:cs="宋体"/>
          <w:szCs w:val="21"/>
        </w:rPr>
      </w:pPr>
      <w:r>
        <w:rPr>
          <w:rFonts w:ascii="宋体" w:hAnsi="宋体" w:cs="宋体" w:hint="eastAsia"/>
          <w:szCs w:val="21"/>
        </w:rPr>
        <w:t>投资者欲变更每期申购金额、扣款日期、扣款方式或终止定投业务，请遵循销售机构的相关规定。</w:t>
      </w:r>
    </w:p>
    <w:p w:rsidR="00EF2442" w:rsidRDefault="00B64ECE" w:rsidP="00EE0B50">
      <w:pPr>
        <w:pStyle w:val="2"/>
        <w:spacing w:beforeLines="50" w:afterLines="50" w:line="240" w:lineRule="auto"/>
        <w:jc w:val="left"/>
        <w:rPr>
          <w:rFonts w:asciiTheme="minorEastAsia" w:eastAsiaTheme="minorEastAsia" w:hAnsiTheme="minorEastAsia" w:cstheme="minorEastAsia"/>
          <w:bCs/>
          <w:sz w:val="21"/>
          <w:szCs w:val="21"/>
        </w:rPr>
      </w:pPr>
      <w:bookmarkStart w:id="19" w:name="t_2_7_2833_a1_fm1"/>
      <w:bookmarkEnd w:id="19"/>
      <w:r>
        <w:rPr>
          <w:rFonts w:asciiTheme="minorEastAsia" w:eastAsiaTheme="minorEastAsia" w:hAnsiTheme="minorEastAsia" w:cstheme="minorEastAsia"/>
          <w:bCs/>
          <w:sz w:val="21"/>
          <w:szCs w:val="21"/>
        </w:rPr>
        <w:t>7</w:t>
      </w:r>
      <w:r>
        <w:rPr>
          <w:rFonts w:asciiTheme="minorEastAsia" w:eastAsiaTheme="minorEastAsia" w:hAnsiTheme="minorEastAsia" w:cstheme="minorEastAsia" w:hint="eastAsia"/>
          <w:bCs/>
          <w:sz w:val="21"/>
          <w:szCs w:val="21"/>
        </w:rPr>
        <w:t xml:space="preserve"> 基金销售机构</w:t>
      </w:r>
    </w:p>
    <w:p w:rsidR="00EF2442" w:rsidRDefault="00B64ECE" w:rsidP="00EE0B50">
      <w:pPr>
        <w:spacing w:beforeLines="50" w:afterLines="50"/>
        <w:jc w:val="left"/>
        <w:rPr>
          <w:rFonts w:asciiTheme="minorEastAsia" w:eastAsiaTheme="minorEastAsia" w:hAnsiTheme="minorEastAsia" w:cstheme="minorEastAsia"/>
          <w:b/>
          <w:szCs w:val="21"/>
        </w:rPr>
      </w:pPr>
      <w:r>
        <w:rPr>
          <w:rFonts w:asciiTheme="minorEastAsia" w:eastAsiaTheme="minorEastAsia" w:hAnsiTheme="minorEastAsia" w:cstheme="minorEastAsia"/>
          <w:b/>
          <w:szCs w:val="21"/>
        </w:rPr>
        <w:t>7</w:t>
      </w:r>
      <w:r>
        <w:rPr>
          <w:rFonts w:asciiTheme="minorEastAsia" w:eastAsiaTheme="minorEastAsia" w:hAnsiTheme="minorEastAsia" w:cstheme="minorEastAsia" w:hint="eastAsia"/>
          <w:b/>
          <w:szCs w:val="21"/>
        </w:rPr>
        <w:t>.1</w:t>
      </w:r>
      <w:bookmarkStart w:id="20" w:name="t_2_7_table"/>
      <w:bookmarkEnd w:id="20"/>
      <w:r>
        <w:rPr>
          <w:rFonts w:asciiTheme="minorEastAsia" w:eastAsiaTheme="minorEastAsia" w:hAnsiTheme="minorEastAsia" w:cstheme="minorEastAsia" w:hint="eastAsia"/>
          <w:b/>
          <w:szCs w:val="21"/>
        </w:rPr>
        <w:t xml:space="preserve"> 场外销售机构</w:t>
      </w:r>
    </w:p>
    <w:p w:rsidR="00EF2442" w:rsidRDefault="00B64ECE" w:rsidP="00EE0B50">
      <w:pPr>
        <w:spacing w:beforeLines="50" w:afterLines="50"/>
        <w:rPr>
          <w:rFonts w:asciiTheme="minorEastAsia" w:eastAsiaTheme="minorEastAsia" w:hAnsiTheme="minorEastAsia" w:cstheme="minorEastAsia"/>
          <w:b/>
          <w:szCs w:val="21"/>
        </w:rPr>
      </w:pPr>
      <w:r>
        <w:rPr>
          <w:rFonts w:asciiTheme="minorEastAsia" w:eastAsiaTheme="minorEastAsia" w:hAnsiTheme="minorEastAsia" w:cstheme="minorEastAsia"/>
          <w:b/>
          <w:szCs w:val="21"/>
        </w:rPr>
        <w:t>7</w:t>
      </w:r>
      <w:r>
        <w:rPr>
          <w:rFonts w:asciiTheme="minorEastAsia" w:eastAsiaTheme="minorEastAsia" w:hAnsiTheme="minorEastAsia" w:cstheme="minorEastAsia" w:hint="eastAsia"/>
          <w:b/>
          <w:szCs w:val="21"/>
        </w:rPr>
        <w:t>.1.1 直销机构</w:t>
      </w:r>
    </w:p>
    <w:p w:rsidR="00EF2442" w:rsidRDefault="00B64ECE">
      <w:pPr>
        <w:spacing w:line="360" w:lineRule="auto"/>
        <w:ind w:firstLineChars="200" w:firstLine="420"/>
        <w:rPr>
          <w:rFonts w:asciiTheme="majorEastAsia" w:eastAsiaTheme="majorEastAsia" w:hAnsiTheme="majorEastAsia" w:cstheme="minorEastAsia"/>
          <w:szCs w:val="21"/>
        </w:rPr>
      </w:pPr>
      <w:r>
        <w:rPr>
          <w:rFonts w:asciiTheme="majorEastAsia" w:eastAsiaTheme="majorEastAsia" w:hAnsiTheme="majorEastAsia" w:cstheme="minorEastAsia"/>
          <w:szCs w:val="21"/>
        </w:rPr>
        <w:t>（1）名称：兴业基金管理有限公司直销中心</w:t>
      </w:r>
    </w:p>
    <w:p w:rsidR="00EF2442" w:rsidRDefault="00B64ECE">
      <w:pPr>
        <w:spacing w:line="360" w:lineRule="auto"/>
        <w:ind w:firstLineChars="200" w:firstLine="420"/>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住所</w:t>
      </w:r>
      <w:r>
        <w:rPr>
          <w:rFonts w:asciiTheme="majorEastAsia" w:eastAsiaTheme="majorEastAsia" w:hAnsiTheme="majorEastAsia" w:cstheme="minorEastAsia"/>
          <w:szCs w:val="21"/>
        </w:rPr>
        <w:t xml:space="preserve">: </w:t>
      </w:r>
      <w:r>
        <w:rPr>
          <w:rFonts w:asciiTheme="majorEastAsia" w:eastAsiaTheme="majorEastAsia" w:hAnsiTheme="majorEastAsia" w:cstheme="minorEastAsia" w:hint="eastAsia"/>
          <w:szCs w:val="21"/>
        </w:rPr>
        <w:t>福建省福州市鼓楼区五四路</w:t>
      </w:r>
      <w:r>
        <w:rPr>
          <w:rFonts w:asciiTheme="majorEastAsia" w:eastAsiaTheme="majorEastAsia" w:hAnsiTheme="majorEastAsia" w:cstheme="minorEastAsia"/>
          <w:szCs w:val="21"/>
        </w:rPr>
        <w:t>137号信和广场25楼</w:t>
      </w:r>
    </w:p>
    <w:p w:rsidR="00EF2442" w:rsidRDefault="00B64ECE">
      <w:pPr>
        <w:spacing w:line="360" w:lineRule="auto"/>
        <w:ind w:firstLineChars="200" w:firstLine="420"/>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法定代表人：叶文煌</w:t>
      </w:r>
    </w:p>
    <w:p w:rsidR="00EF2442" w:rsidRDefault="00B64ECE">
      <w:pPr>
        <w:spacing w:line="360" w:lineRule="auto"/>
        <w:ind w:firstLineChars="200" w:firstLine="420"/>
        <w:rPr>
          <w:rFonts w:asciiTheme="majorEastAsia" w:eastAsiaTheme="majorEastAsia" w:hAnsiTheme="majorEastAsia" w:cstheme="minorEastAsia"/>
          <w:szCs w:val="21"/>
        </w:rPr>
      </w:pPr>
      <w:r>
        <w:rPr>
          <w:rFonts w:asciiTheme="majorEastAsia" w:eastAsiaTheme="majorEastAsia" w:hAnsiTheme="majorEastAsia" w:cstheme="minorEastAsia"/>
          <w:szCs w:val="21"/>
        </w:rPr>
        <w:t>地址：</w:t>
      </w:r>
      <w:r>
        <w:rPr>
          <w:rFonts w:asciiTheme="majorEastAsia" w:eastAsiaTheme="majorEastAsia" w:hAnsiTheme="majorEastAsia"/>
        </w:rPr>
        <w:t>上海市浦东新区银城路 167 号 13、14 层</w:t>
      </w:r>
    </w:p>
    <w:p w:rsidR="00EF2442" w:rsidRDefault="00B64ECE">
      <w:pPr>
        <w:spacing w:line="360" w:lineRule="auto"/>
        <w:ind w:firstLineChars="200" w:firstLine="420"/>
        <w:rPr>
          <w:rFonts w:asciiTheme="majorEastAsia" w:eastAsiaTheme="majorEastAsia" w:hAnsiTheme="majorEastAsia" w:cstheme="minorEastAsia"/>
          <w:szCs w:val="21"/>
        </w:rPr>
      </w:pPr>
      <w:r>
        <w:rPr>
          <w:rFonts w:asciiTheme="majorEastAsia" w:eastAsiaTheme="majorEastAsia" w:hAnsiTheme="majorEastAsia" w:cstheme="minorEastAsia"/>
          <w:szCs w:val="21"/>
        </w:rPr>
        <w:t>联系人：</w:t>
      </w:r>
      <w:r w:rsidR="00A06D35">
        <w:rPr>
          <w:rFonts w:asciiTheme="majorEastAsia" w:eastAsiaTheme="majorEastAsia" w:hAnsiTheme="majorEastAsia" w:cstheme="minorEastAsia" w:hint="eastAsia"/>
          <w:szCs w:val="21"/>
        </w:rPr>
        <w:t>王珏</w:t>
      </w:r>
    </w:p>
    <w:p w:rsidR="00EF2442" w:rsidRDefault="00B64ECE">
      <w:pPr>
        <w:spacing w:line="360" w:lineRule="auto"/>
        <w:ind w:firstLineChars="200" w:firstLine="420"/>
        <w:rPr>
          <w:rFonts w:asciiTheme="majorEastAsia" w:eastAsiaTheme="majorEastAsia" w:hAnsiTheme="majorEastAsia" w:cstheme="minorEastAsia"/>
          <w:szCs w:val="21"/>
        </w:rPr>
      </w:pPr>
      <w:r>
        <w:rPr>
          <w:rFonts w:asciiTheme="majorEastAsia" w:eastAsiaTheme="majorEastAsia" w:hAnsiTheme="majorEastAsia" w:cstheme="minorEastAsia"/>
          <w:szCs w:val="21"/>
        </w:rPr>
        <w:t>电话：021-2221</w:t>
      </w:r>
      <w:r w:rsidR="00A06D35">
        <w:rPr>
          <w:rFonts w:asciiTheme="majorEastAsia" w:eastAsiaTheme="majorEastAsia" w:hAnsiTheme="majorEastAsia" w:cstheme="minorEastAsia"/>
          <w:szCs w:val="21"/>
        </w:rPr>
        <w:t>1885</w:t>
      </w:r>
    </w:p>
    <w:p w:rsidR="00EF2442" w:rsidRDefault="00B64ECE">
      <w:pPr>
        <w:spacing w:line="360" w:lineRule="auto"/>
        <w:ind w:firstLineChars="200" w:firstLine="420"/>
        <w:rPr>
          <w:rFonts w:asciiTheme="majorEastAsia" w:eastAsiaTheme="majorEastAsia" w:hAnsiTheme="majorEastAsia" w:cstheme="minorEastAsia"/>
          <w:szCs w:val="21"/>
        </w:rPr>
      </w:pPr>
      <w:r>
        <w:rPr>
          <w:rFonts w:asciiTheme="majorEastAsia" w:eastAsiaTheme="majorEastAsia" w:hAnsiTheme="majorEastAsia" w:cstheme="minorEastAsia"/>
          <w:szCs w:val="21"/>
        </w:rPr>
        <w:t>传真：021-222119</w:t>
      </w:r>
      <w:r>
        <w:rPr>
          <w:rFonts w:asciiTheme="majorEastAsia" w:eastAsiaTheme="majorEastAsia" w:hAnsiTheme="majorEastAsia" w:cstheme="minorEastAsia" w:hint="eastAsia"/>
          <w:szCs w:val="21"/>
        </w:rPr>
        <w:t>97</w:t>
      </w:r>
    </w:p>
    <w:p w:rsidR="00EF2442" w:rsidRDefault="00B64ECE">
      <w:pPr>
        <w:spacing w:line="360" w:lineRule="auto"/>
        <w:ind w:firstLineChars="200" w:firstLine="420"/>
      </w:pPr>
      <w:r>
        <w:rPr>
          <w:rFonts w:asciiTheme="majorEastAsia" w:eastAsiaTheme="majorEastAsia" w:hAnsiTheme="majorEastAsia" w:cstheme="minorEastAsia"/>
          <w:szCs w:val="21"/>
        </w:rPr>
        <w:t>网址：</w:t>
      </w:r>
      <w:hyperlink r:id="rId7" w:history="1">
        <w:r>
          <w:rPr>
            <w:rStyle w:val="ab"/>
            <w:rFonts w:asciiTheme="majorEastAsia" w:eastAsiaTheme="majorEastAsia" w:hAnsiTheme="majorEastAsia" w:cstheme="minorEastAsia" w:hint="eastAsia"/>
            <w:szCs w:val="21"/>
          </w:rPr>
          <w:t>http://www.</w:t>
        </w:r>
        <w:r>
          <w:rPr>
            <w:rStyle w:val="ab"/>
            <w:rFonts w:asciiTheme="majorEastAsia" w:eastAsiaTheme="majorEastAsia" w:hAnsiTheme="majorEastAsia" w:cstheme="minorEastAsia"/>
            <w:szCs w:val="21"/>
          </w:rPr>
          <w:t>cib-fund.com.cn/</w:t>
        </w:r>
      </w:hyperlink>
    </w:p>
    <w:p w:rsidR="00EF2442" w:rsidRDefault="00B64ECE">
      <w:pPr>
        <w:spacing w:line="360" w:lineRule="auto"/>
        <w:ind w:firstLineChars="200" w:firstLine="420"/>
      </w:pPr>
      <w:r>
        <w:t>（</w:t>
      </w:r>
      <w:r>
        <w:t>2</w:t>
      </w:r>
      <w:r>
        <w:t>）名称：网上直销系统</w:t>
      </w:r>
      <w:r>
        <w:t xml:space="preserve"> </w:t>
      </w:r>
    </w:p>
    <w:p w:rsidR="00EF2442" w:rsidRDefault="00B64ECE">
      <w:pPr>
        <w:spacing w:line="360" w:lineRule="auto"/>
        <w:ind w:firstLineChars="200" w:firstLine="420"/>
      </w:pPr>
      <w:r>
        <w:t>网址：</w:t>
      </w:r>
      <w:hyperlink r:id="rId8" w:history="1">
        <w:r>
          <w:rPr>
            <w:rStyle w:val="ab"/>
          </w:rPr>
          <w:t>https://trade.cib-fund.com.cn/etrading/</w:t>
        </w:r>
      </w:hyperlink>
      <w:r>
        <w:t xml:space="preserve"> </w:t>
      </w:r>
    </w:p>
    <w:p w:rsidR="00EF2442" w:rsidRDefault="00B64ECE">
      <w:pPr>
        <w:spacing w:line="360" w:lineRule="auto"/>
        <w:ind w:firstLineChars="200" w:firstLine="420"/>
      </w:pPr>
      <w:r>
        <w:rPr>
          <w:rFonts w:hint="eastAsia"/>
        </w:rPr>
        <w:t>（</w:t>
      </w:r>
      <w:r>
        <w:t>3</w:t>
      </w:r>
      <w:r>
        <w:rPr>
          <w:rFonts w:hint="eastAsia"/>
        </w:rPr>
        <w:t>）</w:t>
      </w:r>
      <w:r>
        <w:t>名称：兴业基金微信公众号</w:t>
      </w:r>
      <w:r>
        <w:t xml:space="preserve"> </w:t>
      </w:r>
    </w:p>
    <w:p w:rsidR="00EF2442" w:rsidRDefault="00B64ECE">
      <w:pPr>
        <w:spacing w:line="360" w:lineRule="auto"/>
        <w:ind w:firstLineChars="200" w:firstLine="420"/>
      </w:pPr>
      <w:r>
        <w:t>微信号：</w:t>
      </w:r>
      <w:r>
        <w:t>“</w:t>
      </w:r>
      <w:r>
        <w:t>兴业基金</w:t>
      </w:r>
      <w:r>
        <w:t>”</w:t>
      </w:r>
      <w:r>
        <w:t>或者</w:t>
      </w:r>
      <w:r>
        <w:t>“cibfund”</w:t>
      </w:r>
    </w:p>
    <w:p w:rsidR="00EF2442" w:rsidRDefault="00B64ECE" w:rsidP="00EE0B50">
      <w:pPr>
        <w:spacing w:beforeLines="50" w:afterLines="50"/>
        <w:jc w:val="left"/>
        <w:rPr>
          <w:rFonts w:asciiTheme="minorEastAsia" w:eastAsiaTheme="minorEastAsia" w:hAnsiTheme="minorEastAsia" w:cstheme="minorEastAsia"/>
          <w:b/>
          <w:szCs w:val="21"/>
        </w:rPr>
      </w:pPr>
      <w:r>
        <w:rPr>
          <w:rFonts w:asciiTheme="minorEastAsia" w:eastAsiaTheme="minorEastAsia" w:hAnsiTheme="minorEastAsia" w:cstheme="minorEastAsia"/>
          <w:b/>
          <w:szCs w:val="21"/>
        </w:rPr>
        <w:t>7</w:t>
      </w:r>
      <w:r>
        <w:rPr>
          <w:rFonts w:asciiTheme="minorEastAsia" w:eastAsiaTheme="minorEastAsia" w:hAnsiTheme="minorEastAsia" w:cstheme="minorEastAsia" w:hint="eastAsia"/>
          <w:b/>
          <w:szCs w:val="21"/>
        </w:rPr>
        <w:t>.1.2 其他销售机构</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本基金非直销销售机构信息详见基金管理人网站公示，敬请投资者留意。</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基金管理人可根据有关法律法规的要求，增减或变更基金销售机构，并在基金管理人网站公示基金销售机构名录。本基金具体业务开通情况以各销售机构规定为准，请投资者留意各销售机构的相关规定。投资者在各销售机构办理本基金相关业务时，请遵循各销售机构业务规则与操作流程。</w:t>
      </w:r>
    </w:p>
    <w:p w:rsidR="00EF2442" w:rsidRDefault="00B64ECE" w:rsidP="00EE0B50">
      <w:pPr>
        <w:spacing w:beforeLines="50" w:afterLines="50"/>
        <w:jc w:val="left"/>
        <w:rPr>
          <w:rFonts w:asciiTheme="minorEastAsia" w:eastAsiaTheme="minorEastAsia" w:hAnsiTheme="minorEastAsia" w:cstheme="minorEastAsia"/>
          <w:b/>
          <w:szCs w:val="21"/>
        </w:rPr>
      </w:pPr>
      <w:bookmarkStart w:id="21" w:name="t_2_7_2835_a1_fm1"/>
      <w:bookmarkEnd w:id="21"/>
      <w:r>
        <w:rPr>
          <w:rFonts w:asciiTheme="minorEastAsia" w:eastAsiaTheme="minorEastAsia" w:hAnsiTheme="minorEastAsia" w:cstheme="minorEastAsia"/>
          <w:b/>
          <w:szCs w:val="21"/>
        </w:rPr>
        <w:t>7</w:t>
      </w:r>
      <w:r>
        <w:rPr>
          <w:rFonts w:asciiTheme="minorEastAsia" w:eastAsiaTheme="minorEastAsia" w:hAnsiTheme="minorEastAsia" w:cstheme="minorEastAsia" w:hint="eastAsia"/>
          <w:b/>
          <w:szCs w:val="21"/>
        </w:rPr>
        <w:t>.2 场内销售机构</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无</w:t>
      </w:r>
    </w:p>
    <w:p w:rsidR="00EF2442" w:rsidRDefault="00B64ECE" w:rsidP="00EE0B50">
      <w:pPr>
        <w:pStyle w:val="2"/>
        <w:spacing w:beforeLines="50" w:afterLines="50" w:line="240" w:lineRule="auto"/>
        <w:jc w:val="lef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8基金份额净值公告/基金收益公告的披露安排</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szCs w:val="21"/>
        </w:rPr>
        <w:t>《基金合同》生效后，在封闭期内，</w:t>
      </w:r>
      <w:r>
        <w:t>基金管理人应当至少每周在指定网站披露一次各类基金份额的基金份额净值和基金份额累计净值。</w:t>
      </w:r>
    </w:p>
    <w:p w:rsidR="00EF2442" w:rsidRDefault="00B64ECE">
      <w:pPr>
        <w:spacing w:line="360" w:lineRule="auto"/>
        <w:ind w:firstLineChars="200" w:firstLine="420"/>
        <w:jc w:val="left"/>
      </w:pPr>
      <w:r>
        <w:t>在开放期内，基金管理人应当在不晚于每个开放日的次日，通过指定网站、基金销售机构网站或者营业网点，披露开放日的各类基金份额的基金份额净值和基金份额累计净值。</w:t>
      </w:r>
    </w:p>
    <w:p w:rsidR="00EF2442" w:rsidRDefault="00B64ECE">
      <w:pPr>
        <w:spacing w:line="360" w:lineRule="auto"/>
        <w:ind w:firstLineChars="200" w:firstLine="420"/>
        <w:jc w:val="left"/>
      </w:pPr>
      <w:r>
        <w:t>基金管理人应当在不晚于半年度和年度最后一日的次日，在指定网站披露半年度和年度最后一日的各类基金份额的基金份额净值和基金份额累计净值。</w:t>
      </w:r>
    </w:p>
    <w:p w:rsidR="00EF2442" w:rsidRDefault="00B64ECE">
      <w:pPr>
        <w:pStyle w:val="Default"/>
        <w:spacing w:line="360" w:lineRule="auto"/>
        <w:rPr>
          <w:rFonts w:asciiTheme="minorEastAsia" w:eastAsiaTheme="minorEastAsia" w:hAnsiTheme="minorEastAsia" w:cstheme="minorEastAsia"/>
          <w:b/>
          <w:bCs/>
          <w:color w:val="auto"/>
          <w:kern w:val="2"/>
          <w:sz w:val="21"/>
          <w:szCs w:val="21"/>
        </w:rPr>
      </w:pPr>
      <w:bookmarkStart w:id="22" w:name="t_2_9_2646_a1_fm1"/>
      <w:bookmarkEnd w:id="22"/>
      <w:r>
        <w:rPr>
          <w:rFonts w:asciiTheme="minorEastAsia" w:eastAsiaTheme="minorEastAsia" w:hAnsiTheme="minorEastAsia" w:cstheme="minorEastAsia"/>
          <w:b/>
          <w:bCs/>
          <w:color w:val="auto"/>
          <w:kern w:val="2"/>
          <w:sz w:val="21"/>
          <w:szCs w:val="21"/>
        </w:rPr>
        <w:t>9</w:t>
      </w:r>
      <w:r>
        <w:rPr>
          <w:rFonts w:asciiTheme="minorEastAsia" w:eastAsiaTheme="minorEastAsia" w:hAnsiTheme="minorEastAsia" w:cstheme="minorEastAsia" w:hint="eastAsia"/>
          <w:b/>
          <w:bCs/>
          <w:color w:val="auto"/>
          <w:kern w:val="2"/>
          <w:sz w:val="21"/>
          <w:szCs w:val="21"/>
        </w:rPr>
        <w:t xml:space="preserve"> 其他需要提示的事项</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如有任何疑问，请与本基金直销机构或本公司联系。</w:t>
      </w:r>
      <w:r>
        <w:rPr>
          <w:rFonts w:asciiTheme="majorEastAsia" w:eastAsiaTheme="majorEastAsia" w:hAnsiTheme="majorEastAsia" w:cstheme="minorEastAsia"/>
          <w:szCs w:val="21"/>
        </w:rPr>
        <w:t xml:space="preserve"> </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 xml:space="preserve">本公司客户服务中心电话： </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szCs w:val="21"/>
        </w:rPr>
        <w:t>400-009-5561</w:t>
      </w:r>
      <w:r>
        <w:rPr>
          <w:rFonts w:asciiTheme="majorEastAsia" w:eastAsiaTheme="majorEastAsia" w:hAnsiTheme="majorEastAsia" w:cstheme="minorEastAsia" w:hint="eastAsia"/>
          <w:szCs w:val="21"/>
        </w:rPr>
        <w:t>、</w:t>
      </w:r>
      <w:r>
        <w:rPr>
          <w:rFonts w:asciiTheme="majorEastAsia" w:eastAsiaTheme="majorEastAsia" w:hAnsiTheme="majorEastAsia" w:cstheme="minorEastAsia"/>
          <w:szCs w:val="21"/>
        </w:rPr>
        <w:t xml:space="preserve">021-22211885 </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网址：</w:t>
      </w:r>
      <w:hyperlink r:id="rId9" w:history="1">
        <w:r>
          <w:rPr>
            <w:rStyle w:val="ab"/>
            <w:rFonts w:asciiTheme="majorEastAsia" w:eastAsiaTheme="majorEastAsia" w:hAnsiTheme="majorEastAsia" w:cstheme="minorEastAsia"/>
            <w:szCs w:val="21"/>
          </w:rPr>
          <w:t>http://www.cib-fund.com.cn/</w:t>
        </w:r>
      </w:hyperlink>
      <w:r>
        <w:rPr>
          <w:rFonts w:asciiTheme="majorEastAsia" w:eastAsiaTheme="majorEastAsia" w:hAnsiTheme="majorEastAsia" w:cstheme="minorEastAsia"/>
          <w:szCs w:val="21"/>
        </w:rPr>
        <w:t xml:space="preserve"> </w:t>
      </w:r>
    </w:p>
    <w:p w:rsidR="00EF2442" w:rsidRPr="00ED5994"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本公告仅对本基金开放日常申购、赎回、转换及定投业务的有关事项予以说明。投资者欲了解本基金的详细情况，请详细阅读刊登在指定媒介上的</w:t>
      </w:r>
      <w:r>
        <w:rPr>
          <w:rFonts w:asciiTheme="majorEastAsia" w:eastAsiaTheme="majorEastAsia" w:hAnsiTheme="majorEastAsia" w:cstheme="minorEastAsia"/>
          <w:szCs w:val="21"/>
        </w:rPr>
        <w:t>《兴业</w:t>
      </w:r>
      <w:r>
        <w:rPr>
          <w:rFonts w:asciiTheme="majorEastAsia" w:eastAsiaTheme="majorEastAsia" w:hAnsiTheme="majorEastAsia" w:cstheme="minorEastAsia" w:hint="eastAsia"/>
          <w:szCs w:val="21"/>
        </w:rPr>
        <w:t>纯债</w:t>
      </w:r>
      <w:r>
        <w:rPr>
          <w:rFonts w:asciiTheme="majorEastAsia" w:eastAsiaTheme="majorEastAsia" w:hAnsiTheme="majorEastAsia" w:cstheme="minorEastAsia"/>
          <w:szCs w:val="21"/>
        </w:rPr>
        <w:t>6个月定期开放债券型证券投资基金</w:t>
      </w:r>
      <w:r>
        <w:rPr>
          <w:rFonts w:asciiTheme="majorEastAsia" w:eastAsiaTheme="majorEastAsia" w:hAnsiTheme="majorEastAsia" w:cstheme="minorEastAsia" w:hint="eastAsia"/>
          <w:szCs w:val="21"/>
        </w:rPr>
        <w:t>基金合同》、《</w:t>
      </w:r>
      <w:r>
        <w:rPr>
          <w:rFonts w:asciiTheme="majorEastAsia" w:eastAsiaTheme="majorEastAsia" w:hAnsiTheme="majorEastAsia" w:cstheme="minorEastAsia"/>
          <w:szCs w:val="21"/>
        </w:rPr>
        <w:t>兴业</w:t>
      </w:r>
      <w:r>
        <w:rPr>
          <w:rFonts w:asciiTheme="majorEastAsia" w:eastAsiaTheme="majorEastAsia" w:hAnsiTheme="majorEastAsia" w:cstheme="minorEastAsia" w:hint="eastAsia"/>
          <w:szCs w:val="21"/>
        </w:rPr>
        <w:t>纯债</w:t>
      </w:r>
      <w:r>
        <w:rPr>
          <w:rFonts w:asciiTheme="majorEastAsia" w:eastAsiaTheme="majorEastAsia" w:hAnsiTheme="majorEastAsia" w:cstheme="minorEastAsia"/>
          <w:szCs w:val="21"/>
        </w:rPr>
        <w:t>6个月定期开放债券型证券投资基金</w:t>
      </w:r>
      <w:r>
        <w:rPr>
          <w:rFonts w:asciiTheme="majorEastAsia" w:eastAsiaTheme="majorEastAsia" w:hAnsiTheme="majorEastAsia" w:cstheme="minorEastAsia" w:hint="eastAsia"/>
          <w:szCs w:val="21"/>
        </w:rPr>
        <w:t>招募说明书》、《</w:t>
      </w:r>
      <w:r>
        <w:rPr>
          <w:rFonts w:asciiTheme="majorEastAsia" w:eastAsiaTheme="majorEastAsia" w:hAnsiTheme="majorEastAsia" w:cstheme="minorEastAsia"/>
          <w:szCs w:val="21"/>
        </w:rPr>
        <w:t>兴业</w:t>
      </w:r>
      <w:r>
        <w:rPr>
          <w:rFonts w:asciiTheme="majorEastAsia" w:eastAsiaTheme="majorEastAsia" w:hAnsiTheme="majorEastAsia" w:cstheme="minorEastAsia" w:hint="eastAsia"/>
          <w:szCs w:val="21"/>
        </w:rPr>
        <w:t>纯债</w:t>
      </w:r>
      <w:r>
        <w:rPr>
          <w:rFonts w:asciiTheme="majorEastAsia" w:eastAsiaTheme="majorEastAsia" w:hAnsiTheme="majorEastAsia" w:cstheme="minorEastAsia"/>
          <w:szCs w:val="21"/>
        </w:rPr>
        <w:t>6个月定期开放债券型证券投资基金</w:t>
      </w:r>
      <w:r>
        <w:rPr>
          <w:rFonts w:asciiTheme="majorEastAsia" w:eastAsiaTheme="majorEastAsia" w:hAnsiTheme="majorEastAsia" w:cstheme="minorEastAsia" w:hint="eastAsia"/>
          <w:szCs w:val="21"/>
        </w:rPr>
        <w:t>产品资料</w:t>
      </w:r>
      <w:r>
        <w:rPr>
          <w:rFonts w:asciiTheme="majorEastAsia" w:eastAsiaTheme="majorEastAsia" w:hAnsiTheme="majorEastAsia" w:cstheme="minorEastAsia"/>
          <w:szCs w:val="21"/>
        </w:rPr>
        <w:t>概要</w:t>
      </w:r>
      <w:r>
        <w:rPr>
          <w:rFonts w:asciiTheme="majorEastAsia" w:eastAsiaTheme="majorEastAsia" w:hAnsiTheme="majorEastAsia" w:cstheme="minorEastAsia" w:hint="eastAsia"/>
          <w:szCs w:val="21"/>
        </w:rPr>
        <w:t>》及其定期的更新。</w:t>
      </w:r>
      <w:r>
        <w:rPr>
          <w:rFonts w:asciiTheme="majorEastAsia" w:eastAsiaTheme="majorEastAsia" w:hAnsiTheme="majorEastAsia" w:cstheme="minorEastAsia"/>
          <w:szCs w:val="21"/>
        </w:rPr>
        <w:t xml:space="preserve"> </w:t>
      </w:r>
      <w:r w:rsidR="00ED5994" w:rsidRPr="00ED5994">
        <w:rPr>
          <w:rFonts w:asciiTheme="majorEastAsia" w:eastAsiaTheme="majorEastAsia" w:hAnsiTheme="majorEastAsia" w:cstheme="minorEastAsia" w:hint="eastAsia"/>
          <w:szCs w:val="21"/>
        </w:rPr>
        <w:t>若有代销机构实行费率优惠活动的，请以各代销机构最新公告或规定为准。</w:t>
      </w:r>
    </w:p>
    <w:p w:rsidR="00EF2442" w:rsidRDefault="00B64ECE">
      <w:pPr>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本基金管理人承诺以诚实信用、勤勉尽责的原则管理和运用基金资产，但不保证基金一定盈利，也不保证最低收益。敬请投资者于投资前认真阅读本基金《基金合同》、《招募说明书》和《产品资料概要》。</w:t>
      </w:r>
    </w:p>
    <w:p w:rsidR="00EF2442" w:rsidRDefault="00EF2442">
      <w:pPr>
        <w:spacing w:line="360" w:lineRule="auto"/>
        <w:ind w:firstLineChars="200" w:firstLine="420"/>
        <w:jc w:val="left"/>
        <w:rPr>
          <w:rFonts w:asciiTheme="majorEastAsia" w:eastAsiaTheme="majorEastAsia" w:hAnsiTheme="majorEastAsia" w:cstheme="minorEastAsia"/>
          <w:szCs w:val="21"/>
        </w:rPr>
      </w:pPr>
    </w:p>
    <w:p w:rsidR="00EF2442" w:rsidRDefault="00B64ECE">
      <w:pPr>
        <w:adjustRightInd w:val="0"/>
        <w:spacing w:line="360" w:lineRule="auto"/>
        <w:ind w:firstLineChars="200" w:firstLine="420"/>
        <w:jc w:val="left"/>
        <w:rPr>
          <w:rFonts w:asciiTheme="majorEastAsia" w:eastAsiaTheme="majorEastAsia" w:hAnsiTheme="majorEastAsia" w:cstheme="minorEastAsia"/>
          <w:szCs w:val="21"/>
        </w:rPr>
      </w:pPr>
      <w:r>
        <w:rPr>
          <w:rFonts w:asciiTheme="majorEastAsia" w:eastAsiaTheme="majorEastAsia" w:hAnsiTheme="majorEastAsia" w:cstheme="minorEastAsia" w:hint="eastAsia"/>
          <w:szCs w:val="21"/>
        </w:rPr>
        <w:t xml:space="preserve">特此公告。 </w:t>
      </w:r>
    </w:p>
    <w:p w:rsidR="00EF2442" w:rsidRDefault="00EF2442">
      <w:pPr>
        <w:adjustRightInd w:val="0"/>
        <w:spacing w:line="360" w:lineRule="auto"/>
        <w:jc w:val="left"/>
        <w:rPr>
          <w:rFonts w:asciiTheme="majorEastAsia" w:eastAsiaTheme="majorEastAsia" w:hAnsiTheme="majorEastAsia" w:cstheme="minorEastAsia"/>
          <w:szCs w:val="21"/>
        </w:rPr>
      </w:pPr>
    </w:p>
    <w:p w:rsidR="00EF2442" w:rsidRDefault="00EF2442">
      <w:pPr>
        <w:adjustRightInd w:val="0"/>
        <w:spacing w:line="360" w:lineRule="auto"/>
        <w:jc w:val="left"/>
        <w:rPr>
          <w:rFonts w:asciiTheme="majorEastAsia" w:eastAsiaTheme="majorEastAsia" w:hAnsiTheme="majorEastAsia" w:cstheme="minorEastAsia"/>
          <w:szCs w:val="21"/>
        </w:rPr>
      </w:pPr>
    </w:p>
    <w:p w:rsidR="00EF2442" w:rsidRDefault="00EF2442">
      <w:pPr>
        <w:adjustRightInd w:val="0"/>
        <w:spacing w:line="360" w:lineRule="auto"/>
        <w:jc w:val="left"/>
        <w:rPr>
          <w:rFonts w:asciiTheme="majorEastAsia" w:eastAsiaTheme="majorEastAsia" w:hAnsiTheme="majorEastAsia" w:cstheme="minorEastAsia"/>
          <w:szCs w:val="21"/>
        </w:rPr>
      </w:pPr>
    </w:p>
    <w:p w:rsidR="00EF2442" w:rsidRDefault="00EF2442">
      <w:pPr>
        <w:adjustRightInd w:val="0"/>
        <w:spacing w:line="360" w:lineRule="auto"/>
        <w:jc w:val="left"/>
        <w:rPr>
          <w:rFonts w:asciiTheme="majorEastAsia" w:eastAsiaTheme="majorEastAsia" w:hAnsiTheme="majorEastAsia" w:cstheme="minorEastAsia"/>
          <w:szCs w:val="21"/>
        </w:rPr>
      </w:pPr>
    </w:p>
    <w:p w:rsidR="00EF2442" w:rsidRDefault="00EF2442">
      <w:pPr>
        <w:adjustRightInd w:val="0"/>
        <w:spacing w:line="360" w:lineRule="auto"/>
        <w:jc w:val="left"/>
        <w:rPr>
          <w:rFonts w:asciiTheme="majorEastAsia" w:eastAsiaTheme="majorEastAsia" w:hAnsiTheme="majorEastAsia" w:cstheme="minorEastAsia"/>
          <w:szCs w:val="21"/>
        </w:rPr>
      </w:pPr>
    </w:p>
    <w:p w:rsidR="00EF2442" w:rsidRDefault="00B64ECE">
      <w:pPr>
        <w:spacing w:line="360" w:lineRule="auto"/>
        <w:jc w:val="right"/>
        <w:rPr>
          <w:rFonts w:asciiTheme="majorEastAsia" w:eastAsiaTheme="majorEastAsia" w:hAnsiTheme="majorEastAsia" w:cstheme="minorEastAsia"/>
          <w:sz w:val="22"/>
        </w:rPr>
      </w:pPr>
      <w:r>
        <w:rPr>
          <w:rFonts w:asciiTheme="majorEastAsia" w:eastAsiaTheme="majorEastAsia" w:hAnsiTheme="majorEastAsia" w:cstheme="minorEastAsia" w:hint="eastAsia"/>
          <w:sz w:val="22"/>
        </w:rPr>
        <w:t>兴业基金管理有限公司</w:t>
      </w:r>
    </w:p>
    <w:p w:rsidR="00EF2442" w:rsidRDefault="00A57223">
      <w:pPr>
        <w:wordWrap w:val="0"/>
        <w:spacing w:line="360" w:lineRule="auto"/>
        <w:jc w:val="right"/>
        <w:rPr>
          <w:rFonts w:asciiTheme="majorEastAsia" w:eastAsiaTheme="majorEastAsia" w:hAnsiTheme="majorEastAsia" w:cstheme="minorEastAsia"/>
          <w:sz w:val="22"/>
        </w:rPr>
      </w:pPr>
      <w:r>
        <w:rPr>
          <w:rFonts w:asciiTheme="majorEastAsia" w:eastAsiaTheme="majorEastAsia" w:hAnsiTheme="majorEastAsia" w:hint="eastAsia"/>
          <w:sz w:val="24"/>
          <w:szCs w:val="24"/>
        </w:rPr>
        <w:t>2024</w:t>
      </w:r>
      <w:r w:rsidR="00B64ECE">
        <w:rPr>
          <w:rFonts w:asciiTheme="majorEastAsia" w:eastAsiaTheme="majorEastAsia" w:hAnsiTheme="majorEastAsia"/>
          <w:sz w:val="24"/>
          <w:szCs w:val="24"/>
        </w:rPr>
        <w:t>年</w:t>
      </w:r>
      <w:r w:rsidR="00654322">
        <w:rPr>
          <w:rFonts w:asciiTheme="majorEastAsia" w:eastAsiaTheme="majorEastAsia" w:hAnsiTheme="majorEastAsia"/>
          <w:sz w:val="24"/>
          <w:szCs w:val="24"/>
        </w:rPr>
        <w:t>7</w:t>
      </w:r>
      <w:r w:rsidR="00B64ECE">
        <w:rPr>
          <w:rFonts w:asciiTheme="majorEastAsia" w:eastAsiaTheme="majorEastAsia" w:hAnsiTheme="majorEastAsia"/>
          <w:sz w:val="24"/>
          <w:szCs w:val="24"/>
        </w:rPr>
        <w:t>月</w:t>
      </w:r>
      <w:r w:rsidR="00654322">
        <w:rPr>
          <w:rFonts w:asciiTheme="majorEastAsia" w:eastAsiaTheme="majorEastAsia" w:hAnsiTheme="majorEastAsia"/>
          <w:sz w:val="24"/>
          <w:szCs w:val="24"/>
        </w:rPr>
        <w:t>17</w:t>
      </w:r>
      <w:r w:rsidR="00B64ECE">
        <w:rPr>
          <w:rFonts w:asciiTheme="majorEastAsia" w:eastAsiaTheme="majorEastAsia" w:hAnsiTheme="majorEastAsia"/>
          <w:sz w:val="24"/>
          <w:szCs w:val="24"/>
        </w:rPr>
        <w:t>日</w:t>
      </w:r>
    </w:p>
    <w:sectPr w:rsidR="00EF2442" w:rsidSect="00C27E4C">
      <w:headerReference w:type="default" r:id="rId10"/>
      <w:footerReference w:type="default" r:id="rId11"/>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3A1" w:rsidRDefault="007E53A1">
      <w:r>
        <w:separator/>
      </w:r>
    </w:p>
  </w:endnote>
  <w:endnote w:type="continuationSeparator" w:id="0">
    <w:p w:rsidR="007E53A1" w:rsidRDefault="007E5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42" w:rsidRDefault="00B64ECE">
    <w:pPr>
      <w:pStyle w:val="a6"/>
      <w:jc w:val="center"/>
    </w:pPr>
    <w:r>
      <w:rPr>
        <w:rFonts w:hint="eastAsia"/>
      </w:rPr>
      <w:t>第</w:t>
    </w:r>
    <w:r>
      <w:rPr>
        <w:rFonts w:hint="eastAsia"/>
      </w:rPr>
      <w:t xml:space="preserve"> </w:t>
    </w:r>
    <w:r w:rsidR="00C27E4C">
      <w:fldChar w:fldCharType="begin"/>
    </w:r>
    <w:r>
      <w:instrText xml:space="preserve"> PAGE   \* MERGEFORMAT </w:instrText>
    </w:r>
    <w:r w:rsidR="00C27E4C">
      <w:fldChar w:fldCharType="separate"/>
    </w:r>
    <w:r w:rsidR="00EE0B50">
      <w:rPr>
        <w:noProof/>
      </w:rPr>
      <w:t>1</w:t>
    </w:r>
    <w:r w:rsidR="00C27E4C">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EE0B50">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3A1" w:rsidRDefault="007E53A1">
      <w:r>
        <w:separator/>
      </w:r>
    </w:p>
  </w:footnote>
  <w:footnote w:type="continuationSeparator" w:id="0">
    <w:p w:rsidR="007E53A1" w:rsidRDefault="007E5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42" w:rsidRDefault="00EF2442">
    <w:pPr>
      <w:pStyle w:val="a7"/>
      <w:ind w:right="36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JjZTdiYWQyMzc2ODhkODMzMTRiN2VlNTNiMmE3NjMifQ=="/>
  </w:docVars>
  <w:rsids>
    <w:rsidRoot w:val="00172A27"/>
    <w:rsid w:val="0000414B"/>
    <w:rsid w:val="000054C3"/>
    <w:rsid w:val="00005954"/>
    <w:rsid w:val="00010C2D"/>
    <w:rsid w:val="00011E2A"/>
    <w:rsid w:val="00013B39"/>
    <w:rsid w:val="00015AD5"/>
    <w:rsid w:val="00015E5C"/>
    <w:rsid w:val="00031806"/>
    <w:rsid w:val="00036419"/>
    <w:rsid w:val="00037AAD"/>
    <w:rsid w:val="00040D19"/>
    <w:rsid w:val="000535B6"/>
    <w:rsid w:val="00066477"/>
    <w:rsid w:val="0007080B"/>
    <w:rsid w:val="0007549D"/>
    <w:rsid w:val="00075592"/>
    <w:rsid w:val="00080841"/>
    <w:rsid w:val="00085878"/>
    <w:rsid w:val="000859FE"/>
    <w:rsid w:val="0009750D"/>
    <w:rsid w:val="00097793"/>
    <w:rsid w:val="000A24DA"/>
    <w:rsid w:val="000B09AD"/>
    <w:rsid w:val="000B0CEE"/>
    <w:rsid w:val="000C3AF9"/>
    <w:rsid w:val="000C4844"/>
    <w:rsid w:val="000C5849"/>
    <w:rsid w:val="000C7C6A"/>
    <w:rsid w:val="000D1686"/>
    <w:rsid w:val="000D2DF8"/>
    <w:rsid w:val="000D7C57"/>
    <w:rsid w:val="000E0C06"/>
    <w:rsid w:val="000E0C82"/>
    <w:rsid w:val="000E3896"/>
    <w:rsid w:val="000F3DBD"/>
    <w:rsid w:val="00103E5B"/>
    <w:rsid w:val="001042C7"/>
    <w:rsid w:val="001129AE"/>
    <w:rsid w:val="00117CB7"/>
    <w:rsid w:val="00126EC5"/>
    <w:rsid w:val="00130FE0"/>
    <w:rsid w:val="00132B8E"/>
    <w:rsid w:val="001332F9"/>
    <w:rsid w:val="00140817"/>
    <w:rsid w:val="00141A4B"/>
    <w:rsid w:val="00146211"/>
    <w:rsid w:val="0014687D"/>
    <w:rsid w:val="00150D3F"/>
    <w:rsid w:val="00151304"/>
    <w:rsid w:val="00151AF0"/>
    <w:rsid w:val="0015596B"/>
    <w:rsid w:val="00156295"/>
    <w:rsid w:val="00157602"/>
    <w:rsid w:val="00157F01"/>
    <w:rsid w:val="00172A27"/>
    <w:rsid w:val="00176B5B"/>
    <w:rsid w:val="0018394D"/>
    <w:rsid w:val="00191717"/>
    <w:rsid w:val="00192762"/>
    <w:rsid w:val="00193827"/>
    <w:rsid w:val="00193E45"/>
    <w:rsid w:val="001A1DE1"/>
    <w:rsid w:val="001B1305"/>
    <w:rsid w:val="001B5F67"/>
    <w:rsid w:val="001B6D51"/>
    <w:rsid w:val="001C3994"/>
    <w:rsid w:val="001C4B74"/>
    <w:rsid w:val="001C545E"/>
    <w:rsid w:val="001D177C"/>
    <w:rsid w:val="001D46AC"/>
    <w:rsid w:val="001D4A3A"/>
    <w:rsid w:val="001D63C9"/>
    <w:rsid w:val="001E3E64"/>
    <w:rsid w:val="001E4F18"/>
    <w:rsid w:val="001F133B"/>
    <w:rsid w:val="001F7DB9"/>
    <w:rsid w:val="00201A66"/>
    <w:rsid w:val="0020407B"/>
    <w:rsid w:val="00206A8A"/>
    <w:rsid w:val="0021386A"/>
    <w:rsid w:val="00213ABD"/>
    <w:rsid w:val="002160D8"/>
    <w:rsid w:val="00220CD6"/>
    <w:rsid w:val="00227FDC"/>
    <w:rsid w:val="0023271C"/>
    <w:rsid w:val="00236E7F"/>
    <w:rsid w:val="002415DE"/>
    <w:rsid w:val="00241875"/>
    <w:rsid w:val="00243948"/>
    <w:rsid w:val="00251F6E"/>
    <w:rsid w:val="002576C7"/>
    <w:rsid w:val="00260FEE"/>
    <w:rsid w:val="002735BE"/>
    <w:rsid w:val="00273A58"/>
    <w:rsid w:val="0027591F"/>
    <w:rsid w:val="002778C3"/>
    <w:rsid w:val="00284045"/>
    <w:rsid w:val="00292BFF"/>
    <w:rsid w:val="00297F85"/>
    <w:rsid w:val="002A34F5"/>
    <w:rsid w:val="002A7161"/>
    <w:rsid w:val="002A7307"/>
    <w:rsid w:val="002C1949"/>
    <w:rsid w:val="002C4784"/>
    <w:rsid w:val="002C55AB"/>
    <w:rsid w:val="002C5FB5"/>
    <w:rsid w:val="002D117E"/>
    <w:rsid w:val="002D319E"/>
    <w:rsid w:val="002D51C8"/>
    <w:rsid w:val="002D7449"/>
    <w:rsid w:val="002E1724"/>
    <w:rsid w:val="002E2222"/>
    <w:rsid w:val="002E2EE6"/>
    <w:rsid w:val="002E3EB6"/>
    <w:rsid w:val="002F00EA"/>
    <w:rsid w:val="002F7CAA"/>
    <w:rsid w:val="0031118D"/>
    <w:rsid w:val="00312B09"/>
    <w:rsid w:val="003154FE"/>
    <w:rsid w:val="00317BA3"/>
    <w:rsid w:val="003215B4"/>
    <w:rsid w:val="003242B2"/>
    <w:rsid w:val="00347C2A"/>
    <w:rsid w:val="0035363D"/>
    <w:rsid w:val="00366A6F"/>
    <w:rsid w:val="0037071B"/>
    <w:rsid w:val="00370D32"/>
    <w:rsid w:val="00375D41"/>
    <w:rsid w:val="00375F15"/>
    <w:rsid w:val="00376846"/>
    <w:rsid w:val="00377384"/>
    <w:rsid w:val="003902DC"/>
    <w:rsid w:val="003949B0"/>
    <w:rsid w:val="00396BEE"/>
    <w:rsid w:val="003976E8"/>
    <w:rsid w:val="003A1E62"/>
    <w:rsid w:val="003B0E41"/>
    <w:rsid w:val="003B1B0A"/>
    <w:rsid w:val="003B40B1"/>
    <w:rsid w:val="003C1118"/>
    <w:rsid w:val="003D11FA"/>
    <w:rsid w:val="003D1258"/>
    <w:rsid w:val="003D2BFC"/>
    <w:rsid w:val="003E04C6"/>
    <w:rsid w:val="003E5F83"/>
    <w:rsid w:val="003F32FA"/>
    <w:rsid w:val="003F6344"/>
    <w:rsid w:val="00400C20"/>
    <w:rsid w:val="00405911"/>
    <w:rsid w:val="00415C4F"/>
    <w:rsid w:val="00426B13"/>
    <w:rsid w:val="0043100B"/>
    <w:rsid w:val="00436A34"/>
    <w:rsid w:val="00436FEC"/>
    <w:rsid w:val="00440F4D"/>
    <w:rsid w:val="00450498"/>
    <w:rsid w:val="00456CF2"/>
    <w:rsid w:val="004827D8"/>
    <w:rsid w:val="004860A5"/>
    <w:rsid w:val="00486F52"/>
    <w:rsid w:val="0049220E"/>
    <w:rsid w:val="004942F6"/>
    <w:rsid w:val="0049552E"/>
    <w:rsid w:val="00497263"/>
    <w:rsid w:val="004A3659"/>
    <w:rsid w:val="004A5A37"/>
    <w:rsid w:val="004A5F43"/>
    <w:rsid w:val="004A7B6F"/>
    <w:rsid w:val="004B00F5"/>
    <w:rsid w:val="004B228D"/>
    <w:rsid w:val="004C0584"/>
    <w:rsid w:val="004C1CD1"/>
    <w:rsid w:val="004C3259"/>
    <w:rsid w:val="004C6ED4"/>
    <w:rsid w:val="004D49B3"/>
    <w:rsid w:val="004D574A"/>
    <w:rsid w:val="004D5927"/>
    <w:rsid w:val="004D64D8"/>
    <w:rsid w:val="004D7EC8"/>
    <w:rsid w:val="004E44FC"/>
    <w:rsid w:val="004E4BDA"/>
    <w:rsid w:val="004E660B"/>
    <w:rsid w:val="004F325E"/>
    <w:rsid w:val="004F738F"/>
    <w:rsid w:val="005017F0"/>
    <w:rsid w:val="00503D72"/>
    <w:rsid w:val="00510B4D"/>
    <w:rsid w:val="00516801"/>
    <w:rsid w:val="00525F5F"/>
    <w:rsid w:val="00526DB7"/>
    <w:rsid w:val="00553AB7"/>
    <w:rsid w:val="00556151"/>
    <w:rsid w:val="00562D14"/>
    <w:rsid w:val="005946C5"/>
    <w:rsid w:val="005978A4"/>
    <w:rsid w:val="005A0E2B"/>
    <w:rsid w:val="005A1750"/>
    <w:rsid w:val="005A346D"/>
    <w:rsid w:val="005A6F7C"/>
    <w:rsid w:val="005B51B1"/>
    <w:rsid w:val="005C3AF4"/>
    <w:rsid w:val="005C7B12"/>
    <w:rsid w:val="005D09F5"/>
    <w:rsid w:val="005D0BAD"/>
    <w:rsid w:val="005F0CCB"/>
    <w:rsid w:val="005F278E"/>
    <w:rsid w:val="005F6241"/>
    <w:rsid w:val="005F657B"/>
    <w:rsid w:val="00601F47"/>
    <w:rsid w:val="00606564"/>
    <w:rsid w:val="00620523"/>
    <w:rsid w:val="00624932"/>
    <w:rsid w:val="006249E1"/>
    <w:rsid w:val="006308C7"/>
    <w:rsid w:val="00633562"/>
    <w:rsid w:val="00636038"/>
    <w:rsid w:val="00637BC5"/>
    <w:rsid w:val="006408C9"/>
    <w:rsid w:val="00645DF6"/>
    <w:rsid w:val="0065008C"/>
    <w:rsid w:val="00654322"/>
    <w:rsid w:val="00667941"/>
    <w:rsid w:val="006745BE"/>
    <w:rsid w:val="00676405"/>
    <w:rsid w:val="00685F6C"/>
    <w:rsid w:val="00686615"/>
    <w:rsid w:val="006932D6"/>
    <w:rsid w:val="006A698C"/>
    <w:rsid w:val="006B1D88"/>
    <w:rsid w:val="006B225A"/>
    <w:rsid w:val="006B2BC3"/>
    <w:rsid w:val="006B2D57"/>
    <w:rsid w:val="006B6C29"/>
    <w:rsid w:val="006B77DB"/>
    <w:rsid w:val="006C0CB6"/>
    <w:rsid w:val="006C1CBA"/>
    <w:rsid w:val="006C2CE7"/>
    <w:rsid w:val="006C3A08"/>
    <w:rsid w:val="006C559A"/>
    <w:rsid w:val="006C597C"/>
    <w:rsid w:val="006D18EE"/>
    <w:rsid w:val="006D1B82"/>
    <w:rsid w:val="006D1D47"/>
    <w:rsid w:val="006D4199"/>
    <w:rsid w:val="006D7339"/>
    <w:rsid w:val="006E5C1C"/>
    <w:rsid w:val="006F110D"/>
    <w:rsid w:val="006F25BD"/>
    <w:rsid w:val="006F25C2"/>
    <w:rsid w:val="006F4926"/>
    <w:rsid w:val="006F6046"/>
    <w:rsid w:val="007019AB"/>
    <w:rsid w:val="00705ADC"/>
    <w:rsid w:val="00717685"/>
    <w:rsid w:val="00721960"/>
    <w:rsid w:val="00726CFE"/>
    <w:rsid w:val="00736BA7"/>
    <w:rsid w:val="00737D82"/>
    <w:rsid w:val="0074640A"/>
    <w:rsid w:val="007577D8"/>
    <w:rsid w:val="007608D7"/>
    <w:rsid w:val="00762E50"/>
    <w:rsid w:val="007642AA"/>
    <w:rsid w:val="00766CE8"/>
    <w:rsid w:val="00770735"/>
    <w:rsid w:val="007914D9"/>
    <w:rsid w:val="0079229D"/>
    <w:rsid w:val="007A07C2"/>
    <w:rsid w:val="007A30BF"/>
    <w:rsid w:val="007B544C"/>
    <w:rsid w:val="007C190F"/>
    <w:rsid w:val="007C769A"/>
    <w:rsid w:val="007D4658"/>
    <w:rsid w:val="007D4B32"/>
    <w:rsid w:val="007D63BE"/>
    <w:rsid w:val="007D743E"/>
    <w:rsid w:val="007E0BC9"/>
    <w:rsid w:val="007E353B"/>
    <w:rsid w:val="007E53A1"/>
    <w:rsid w:val="007E74F7"/>
    <w:rsid w:val="007F078A"/>
    <w:rsid w:val="00800E3A"/>
    <w:rsid w:val="00806E7C"/>
    <w:rsid w:val="008121F3"/>
    <w:rsid w:val="00813D5E"/>
    <w:rsid w:val="00813E5F"/>
    <w:rsid w:val="00814336"/>
    <w:rsid w:val="00821747"/>
    <w:rsid w:val="008255CD"/>
    <w:rsid w:val="0082588D"/>
    <w:rsid w:val="00826DBA"/>
    <w:rsid w:val="00850F49"/>
    <w:rsid w:val="00853E9C"/>
    <w:rsid w:val="00854A09"/>
    <w:rsid w:val="00855F27"/>
    <w:rsid w:val="00870B92"/>
    <w:rsid w:val="00877274"/>
    <w:rsid w:val="00883209"/>
    <w:rsid w:val="00884B26"/>
    <w:rsid w:val="00887E1D"/>
    <w:rsid w:val="00890BCF"/>
    <w:rsid w:val="00895B7D"/>
    <w:rsid w:val="008A1215"/>
    <w:rsid w:val="008A1DA0"/>
    <w:rsid w:val="008A515B"/>
    <w:rsid w:val="008B1CB1"/>
    <w:rsid w:val="008E6F76"/>
    <w:rsid w:val="008F419D"/>
    <w:rsid w:val="0090083C"/>
    <w:rsid w:val="0091157E"/>
    <w:rsid w:val="00911A6C"/>
    <w:rsid w:val="009136D9"/>
    <w:rsid w:val="00913D71"/>
    <w:rsid w:val="009148B0"/>
    <w:rsid w:val="00934960"/>
    <w:rsid w:val="00944E83"/>
    <w:rsid w:val="009530AD"/>
    <w:rsid w:val="00965C0D"/>
    <w:rsid w:val="00967E39"/>
    <w:rsid w:val="00973FDB"/>
    <w:rsid w:val="00975950"/>
    <w:rsid w:val="00981433"/>
    <w:rsid w:val="00983DF5"/>
    <w:rsid w:val="00986F77"/>
    <w:rsid w:val="00986F81"/>
    <w:rsid w:val="009911C4"/>
    <w:rsid w:val="00991DAF"/>
    <w:rsid w:val="0099680C"/>
    <w:rsid w:val="009A19C2"/>
    <w:rsid w:val="009A4D36"/>
    <w:rsid w:val="009A5638"/>
    <w:rsid w:val="009A6384"/>
    <w:rsid w:val="009B3630"/>
    <w:rsid w:val="009B67BF"/>
    <w:rsid w:val="009B74D6"/>
    <w:rsid w:val="009C2C10"/>
    <w:rsid w:val="009C6664"/>
    <w:rsid w:val="009E2907"/>
    <w:rsid w:val="009F0654"/>
    <w:rsid w:val="009F345E"/>
    <w:rsid w:val="00A0066F"/>
    <w:rsid w:val="00A04489"/>
    <w:rsid w:val="00A06D35"/>
    <w:rsid w:val="00A07950"/>
    <w:rsid w:val="00A132DF"/>
    <w:rsid w:val="00A21546"/>
    <w:rsid w:val="00A24471"/>
    <w:rsid w:val="00A24738"/>
    <w:rsid w:val="00A348D4"/>
    <w:rsid w:val="00A35846"/>
    <w:rsid w:val="00A40FA6"/>
    <w:rsid w:val="00A42DE2"/>
    <w:rsid w:val="00A5032D"/>
    <w:rsid w:val="00A51D42"/>
    <w:rsid w:val="00A57223"/>
    <w:rsid w:val="00A63138"/>
    <w:rsid w:val="00A63284"/>
    <w:rsid w:val="00A6438A"/>
    <w:rsid w:val="00A64CAA"/>
    <w:rsid w:val="00A67C8B"/>
    <w:rsid w:val="00A83932"/>
    <w:rsid w:val="00A84330"/>
    <w:rsid w:val="00A87667"/>
    <w:rsid w:val="00A9040D"/>
    <w:rsid w:val="00A92C0F"/>
    <w:rsid w:val="00AA0D52"/>
    <w:rsid w:val="00AA1DC2"/>
    <w:rsid w:val="00AA55E1"/>
    <w:rsid w:val="00AB0479"/>
    <w:rsid w:val="00AB1437"/>
    <w:rsid w:val="00AB1CD1"/>
    <w:rsid w:val="00AB620F"/>
    <w:rsid w:val="00AB6B46"/>
    <w:rsid w:val="00AB7DF1"/>
    <w:rsid w:val="00AC4ABF"/>
    <w:rsid w:val="00AC5A0C"/>
    <w:rsid w:val="00AC5A18"/>
    <w:rsid w:val="00AD0982"/>
    <w:rsid w:val="00AD20FC"/>
    <w:rsid w:val="00AD70D4"/>
    <w:rsid w:val="00AE0C34"/>
    <w:rsid w:val="00AE2B9C"/>
    <w:rsid w:val="00AE718D"/>
    <w:rsid w:val="00AF69F1"/>
    <w:rsid w:val="00AF761B"/>
    <w:rsid w:val="00B00294"/>
    <w:rsid w:val="00B03D69"/>
    <w:rsid w:val="00B05FB3"/>
    <w:rsid w:val="00B06AB0"/>
    <w:rsid w:val="00B0772B"/>
    <w:rsid w:val="00B122FE"/>
    <w:rsid w:val="00B12B52"/>
    <w:rsid w:val="00B20A79"/>
    <w:rsid w:val="00B25BCF"/>
    <w:rsid w:val="00B52C98"/>
    <w:rsid w:val="00B60C6C"/>
    <w:rsid w:val="00B63813"/>
    <w:rsid w:val="00B64939"/>
    <w:rsid w:val="00B64ECE"/>
    <w:rsid w:val="00B6551B"/>
    <w:rsid w:val="00B71AE9"/>
    <w:rsid w:val="00B77268"/>
    <w:rsid w:val="00B9124B"/>
    <w:rsid w:val="00B92A85"/>
    <w:rsid w:val="00B96B9E"/>
    <w:rsid w:val="00BA07E8"/>
    <w:rsid w:val="00BB1A0F"/>
    <w:rsid w:val="00BB24DA"/>
    <w:rsid w:val="00BB7FAF"/>
    <w:rsid w:val="00BC1625"/>
    <w:rsid w:val="00BC197D"/>
    <w:rsid w:val="00BC1BC2"/>
    <w:rsid w:val="00BC281A"/>
    <w:rsid w:val="00BC45A1"/>
    <w:rsid w:val="00BC5701"/>
    <w:rsid w:val="00BD42C4"/>
    <w:rsid w:val="00BD5E06"/>
    <w:rsid w:val="00BF7A5E"/>
    <w:rsid w:val="00C01B2C"/>
    <w:rsid w:val="00C03002"/>
    <w:rsid w:val="00C21265"/>
    <w:rsid w:val="00C24482"/>
    <w:rsid w:val="00C27498"/>
    <w:rsid w:val="00C27E4C"/>
    <w:rsid w:val="00C40716"/>
    <w:rsid w:val="00C41D34"/>
    <w:rsid w:val="00C440EB"/>
    <w:rsid w:val="00C5068F"/>
    <w:rsid w:val="00C75ECC"/>
    <w:rsid w:val="00C823BA"/>
    <w:rsid w:val="00C92BBA"/>
    <w:rsid w:val="00C96791"/>
    <w:rsid w:val="00C977B2"/>
    <w:rsid w:val="00C97C41"/>
    <w:rsid w:val="00CA2BEE"/>
    <w:rsid w:val="00CA54DE"/>
    <w:rsid w:val="00CB4C49"/>
    <w:rsid w:val="00CB7B7F"/>
    <w:rsid w:val="00CB7C5C"/>
    <w:rsid w:val="00CC176C"/>
    <w:rsid w:val="00CC22F7"/>
    <w:rsid w:val="00CC44B6"/>
    <w:rsid w:val="00CC53F6"/>
    <w:rsid w:val="00CD0945"/>
    <w:rsid w:val="00CD47DD"/>
    <w:rsid w:val="00CD5FF8"/>
    <w:rsid w:val="00CE0A0B"/>
    <w:rsid w:val="00CE109E"/>
    <w:rsid w:val="00CF41E8"/>
    <w:rsid w:val="00D0162F"/>
    <w:rsid w:val="00D107F4"/>
    <w:rsid w:val="00D112C3"/>
    <w:rsid w:val="00D20A1D"/>
    <w:rsid w:val="00D25D6A"/>
    <w:rsid w:val="00D2776A"/>
    <w:rsid w:val="00D278B8"/>
    <w:rsid w:val="00D35CBE"/>
    <w:rsid w:val="00D362F5"/>
    <w:rsid w:val="00D41563"/>
    <w:rsid w:val="00D42635"/>
    <w:rsid w:val="00D438FF"/>
    <w:rsid w:val="00D46105"/>
    <w:rsid w:val="00D50C1A"/>
    <w:rsid w:val="00D67572"/>
    <w:rsid w:val="00D67FF4"/>
    <w:rsid w:val="00D752A9"/>
    <w:rsid w:val="00D84827"/>
    <w:rsid w:val="00D85D82"/>
    <w:rsid w:val="00D86D16"/>
    <w:rsid w:val="00D90BE2"/>
    <w:rsid w:val="00DA40F7"/>
    <w:rsid w:val="00DB7BFC"/>
    <w:rsid w:val="00DB7E70"/>
    <w:rsid w:val="00DC21CF"/>
    <w:rsid w:val="00DC27AE"/>
    <w:rsid w:val="00DC473B"/>
    <w:rsid w:val="00DD13DB"/>
    <w:rsid w:val="00DD1A29"/>
    <w:rsid w:val="00DD3856"/>
    <w:rsid w:val="00DE208E"/>
    <w:rsid w:val="00DE2ABB"/>
    <w:rsid w:val="00DF0FB4"/>
    <w:rsid w:val="00DF2A37"/>
    <w:rsid w:val="00E041AD"/>
    <w:rsid w:val="00E1009C"/>
    <w:rsid w:val="00E31298"/>
    <w:rsid w:val="00E34A8E"/>
    <w:rsid w:val="00E4144E"/>
    <w:rsid w:val="00E4639C"/>
    <w:rsid w:val="00E52558"/>
    <w:rsid w:val="00E560E2"/>
    <w:rsid w:val="00E6644D"/>
    <w:rsid w:val="00E677C2"/>
    <w:rsid w:val="00E71387"/>
    <w:rsid w:val="00E71CEF"/>
    <w:rsid w:val="00E74B47"/>
    <w:rsid w:val="00E75B36"/>
    <w:rsid w:val="00E768D1"/>
    <w:rsid w:val="00E76F54"/>
    <w:rsid w:val="00E77E48"/>
    <w:rsid w:val="00E82B4B"/>
    <w:rsid w:val="00E92600"/>
    <w:rsid w:val="00EA26D5"/>
    <w:rsid w:val="00EA50E7"/>
    <w:rsid w:val="00EB56D5"/>
    <w:rsid w:val="00EC2E33"/>
    <w:rsid w:val="00EC7957"/>
    <w:rsid w:val="00ED506A"/>
    <w:rsid w:val="00ED5994"/>
    <w:rsid w:val="00EE0B50"/>
    <w:rsid w:val="00EE12A1"/>
    <w:rsid w:val="00EE236A"/>
    <w:rsid w:val="00EE4F27"/>
    <w:rsid w:val="00EE5012"/>
    <w:rsid w:val="00EE7349"/>
    <w:rsid w:val="00EF157B"/>
    <w:rsid w:val="00EF2442"/>
    <w:rsid w:val="00EF5F05"/>
    <w:rsid w:val="00EF6F1E"/>
    <w:rsid w:val="00EF7078"/>
    <w:rsid w:val="00F10128"/>
    <w:rsid w:val="00F2328A"/>
    <w:rsid w:val="00F23F76"/>
    <w:rsid w:val="00F308AE"/>
    <w:rsid w:val="00F36082"/>
    <w:rsid w:val="00F41595"/>
    <w:rsid w:val="00F43AC4"/>
    <w:rsid w:val="00F4570B"/>
    <w:rsid w:val="00F517D1"/>
    <w:rsid w:val="00F66EE3"/>
    <w:rsid w:val="00F7171A"/>
    <w:rsid w:val="00F72717"/>
    <w:rsid w:val="00F87BEA"/>
    <w:rsid w:val="00FA240D"/>
    <w:rsid w:val="00FA29D2"/>
    <w:rsid w:val="00FA5BF7"/>
    <w:rsid w:val="00FB1E69"/>
    <w:rsid w:val="00FB465C"/>
    <w:rsid w:val="00FC2576"/>
    <w:rsid w:val="00FD1182"/>
    <w:rsid w:val="00FE07C5"/>
    <w:rsid w:val="00FF2703"/>
    <w:rsid w:val="02851251"/>
    <w:rsid w:val="02E87E0F"/>
    <w:rsid w:val="031E3253"/>
    <w:rsid w:val="050375AB"/>
    <w:rsid w:val="07576B4C"/>
    <w:rsid w:val="08635125"/>
    <w:rsid w:val="0B1B6537"/>
    <w:rsid w:val="0F1B6366"/>
    <w:rsid w:val="10421F10"/>
    <w:rsid w:val="10D9597E"/>
    <w:rsid w:val="18CF456E"/>
    <w:rsid w:val="19D06B27"/>
    <w:rsid w:val="1D566F8F"/>
    <w:rsid w:val="1DC064A5"/>
    <w:rsid w:val="1E0C57AE"/>
    <w:rsid w:val="200119B5"/>
    <w:rsid w:val="208D6675"/>
    <w:rsid w:val="2BF13F6F"/>
    <w:rsid w:val="319C69B3"/>
    <w:rsid w:val="36614B46"/>
    <w:rsid w:val="377D7C40"/>
    <w:rsid w:val="3AB0390D"/>
    <w:rsid w:val="3F7927BD"/>
    <w:rsid w:val="414F2F1A"/>
    <w:rsid w:val="41E95912"/>
    <w:rsid w:val="4288210C"/>
    <w:rsid w:val="430E28D6"/>
    <w:rsid w:val="460E1EF8"/>
    <w:rsid w:val="4BC9390A"/>
    <w:rsid w:val="4E0B178C"/>
    <w:rsid w:val="50417719"/>
    <w:rsid w:val="5580364B"/>
    <w:rsid w:val="591738A7"/>
    <w:rsid w:val="627D5271"/>
    <w:rsid w:val="650A131A"/>
    <w:rsid w:val="690420E6"/>
    <w:rsid w:val="6A9C5680"/>
    <w:rsid w:val="6F79782E"/>
    <w:rsid w:val="6FAD7B59"/>
    <w:rsid w:val="700B4F22"/>
    <w:rsid w:val="75057E42"/>
    <w:rsid w:val="7E0B1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footnote reference" w:semiHidden="0" w:unhideWhenUsed="0"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4C"/>
    <w:pPr>
      <w:widowControl w:val="0"/>
      <w:jc w:val="both"/>
    </w:pPr>
    <w:rPr>
      <w:rFonts w:ascii="Calibri" w:eastAsia="宋体" w:hAnsi="Calibri"/>
      <w:kern w:val="2"/>
      <w:sz w:val="21"/>
      <w:szCs w:val="22"/>
    </w:rPr>
  </w:style>
  <w:style w:type="paragraph" w:styleId="2">
    <w:name w:val="heading 2"/>
    <w:basedOn w:val="a"/>
    <w:next w:val="a"/>
    <w:link w:val="2Char"/>
    <w:qFormat/>
    <w:rsid w:val="00C27E4C"/>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C27E4C"/>
    <w:pPr>
      <w:shd w:val="clear" w:color="auto" w:fill="000080"/>
    </w:pPr>
  </w:style>
  <w:style w:type="paragraph" w:styleId="a4">
    <w:name w:val="annotation text"/>
    <w:basedOn w:val="a"/>
    <w:link w:val="Char"/>
    <w:qFormat/>
    <w:rsid w:val="00C27E4C"/>
    <w:pPr>
      <w:jc w:val="left"/>
    </w:pPr>
  </w:style>
  <w:style w:type="paragraph" w:styleId="a5">
    <w:name w:val="Balloon Text"/>
    <w:basedOn w:val="a"/>
    <w:link w:val="Char0"/>
    <w:qFormat/>
    <w:rsid w:val="00C27E4C"/>
    <w:rPr>
      <w:sz w:val="18"/>
      <w:szCs w:val="18"/>
    </w:rPr>
  </w:style>
  <w:style w:type="paragraph" w:styleId="a6">
    <w:name w:val="footer"/>
    <w:basedOn w:val="a"/>
    <w:link w:val="Char1"/>
    <w:qFormat/>
    <w:rsid w:val="00C27E4C"/>
    <w:pPr>
      <w:tabs>
        <w:tab w:val="center" w:pos="4153"/>
        <w:tab w:val="right" w:pos="8306"/>
      </w:tabs>
      <w:snapToGrid w:val="0"/>
      <w:jc w:val="left"/>
    </w:pPr>
    <w:rPr>
      <w:sz w:val="18"/>
      <w:szCs w:val="18"/>
    </w:rPr>
  </w:style>
  <w:style w:type="paragraph" w:styleId="a7">
    <w:name w:val="header"/>
    <w:basedOn w:val="a"/>
    <w:link w:val="Char2"/>
    <w:qFormat/>
    <w:rsid w:val="00C27E4C"/>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qFormat/>
    <w:rsid w:val="00C27E4C"/>
    <w:pPr>
      <w:snapToGrid w:val="0"/>
      <w:jc w:val="left"/>
    </w:pPr>
    <w:rPr>
      <w:rFonts w:ascii="Times New Roman" w:hAnsi="Times New Roman"/>
      <w:sz w:val="18"/>
      <w:szCs w:val="20"/>
    </w:rPr>
  </w:style>
  <w:style w:type="paragraph" w:styleId="a9">
    <w:name w:val="Normal (Web)"/>
    <w:basedOn w:val="a"/>
    <w:uiPriority w:val="99"/>
    <w:unhideWhenUsed/>
    <w:qFormat/>
    <w:rsid w:val="00C27E4C"/>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4"/>
    <w:qFormat/>
    <w:rsid w:val="00C27E4C"/>
    <w:rPr>
      <w:b/>
      <w:bCs/>
    </w:rPr>
  </w:style>
  <w:style w:type="character" w:styleId="ab">
    <w:name w:val="Hyperlink"/>
    <w:basedOn w:val="a0"/>
    <w:qFormat/>
    <w:rsid w:val="00C27E4C"/>
    <w:rPr>
      <w:color w:val="0000FF"/>
      <w:u w:val="single"/>
    </w:rPr>
  </w:style>
  <w:style w:type="character" w:styleId="ac">
    <w:name w:val="annotation reference"/>
    <w:basedOn w:val="a0"/>
    <w:qFormat/>
    <w:rsid w:val="00C27E4C"/>
    <w:rPr>
      <w:sz w:val="21"/>
      <w:szCs w:val="21"/>
    </w:rPr>
  </w:style>
  <w:style w:type="character" w:styleId="ad">
    <w:name w:val="footnote reference"/>
    <w:qFormat/>
    <w:rsid w:val="00C27E4C"/>
    <w:rPr>
      <w:vertAlign w:val="superscript"/>
    </w:rPr>
  </w:style>
  <w:style w:type="character" w:customStyle="1" w:styleId="Char2">
    <w:name w:val="页眉 Char"/>
    <w:link w:val="a7"/>
    <w:qFormat/>
    <w:rsid w:val="00C27E4C"/>
    <w:rPr>
      <w:kern w:val="2"/>
      <w:sz w:val="18"/>
      <w:szCs w:val="18"/>
    </w:rPr>
  </w:style>
  <w:style w:type="character" w:customStyle="1" w:styleId="Char3">
    <w:name w:val="脚注文本 Char"/>
    <w:link w:val="a8"/>
    <w:qFormat/>
    <w:rsid w:val="00C27E4C"/>
    <w:rPr>
      <w:rFonts w:ascii="Times New Roman" w:hAnsi="Times New Roman"/>
      <w:kern w:val="2"/>
      <w:sz w:val="18"/>
    </w:rPr>
  </w:style>
  <w:style w:type="character" w:customStyle="1" w:styleId="Char1">
    <w:name w:val="页脚 Char"/>
    <w:link w:val="a6"/>
    <w:qFormat/>
    <w:rsid w:val="00C27E4C"/>
    <w:rPr>
      <w:kern w:val="2"/>
      <w:sz w:val="18"/>
      <w:szCs w:val="18"/>
    </w:rPr>
  </w:style>
  <w:style w:type="character" w:customStyle="1" w:styleId="2Char">
    <w:name w:val="标题 2 Char"/>
    <w:link w:val="2"/>
    <w:qFormat/>
    <w:rsid w:val="00C27E4C"/>
    <w:rPr>
      <w:rFonts w:ascii="Arial" w:eastAsia="黑体" w:hAnsi="Arial"/>
      <w:b/>
      <w:kern w:val="2"/>
      <w:sz w:val="32"/>
    </w:rPr>
  </w:style>
  <w:style w:type="paragraph" w:customStyle="1" w:styleId="Char5">
    <w:name w:val="Char"/>
    <w:basedOn w:val="a"/>
    <w:qFormat/>
    <w:rsid w:val="00C27E4C"/>
    <w:rPr>
      <w:rFonts w:ascii="Times New Roman" w:hAnsi="Times New Roman"/>
      <w:szCs w:val="24"/>
    </w:rPr>
  </w:style>
  <w:style w:type="character" w:customStyle="1" w:styleId="Char0">
    <w:name w:val="批注框文本 Char"/>
    <w:basedOn w:val="a0"/>
    <w:link w:val="a5"/>
    <w:qFormat/>
    <w:rsid w:val="00C27E4C"/>
    <w:rPr>
      <w:kern w:val="2"/>
      <w:sz w:val="18"/>
      <w:szCs w:val="18"/>
    </w:rPr>
  </w:style>
  <w:style w:type="character" w:customStyle="1" w:styleId="Char">
    <w:name w:val="批注文字 Char"/>
    <w:basedOn w:val="a0"/>
    <w:link w:val="a4"/>
    <w:qFormat/>
    <w:rsid w:val="00C27E4C"/>
    <w:rPr>
      <w:kern w:val="2"/>
      <w:sz w:val="21"/>
      <w:szCs w:val="22"/>
    </w:rPr>
  </w:style>
  <w:style w:type="character" w:customStyle="1" w:styleId="Char4">
    <w:name w:val="批注主题 Char"/>
    <w:basedOn w:val="Char"/>
    <w:link w:val="aa"/>
    <w:qFormat/>
    <w:rsid w:val="00C27E4C"/>
    <w:rPr>
      <w:b/>
      <w:bCs/>
      <w:kern w:val="2"/>
      <w:sz w:val="21"/>
      <w:szCs w:val="22"/>
    </w:rPr>
  </w:style>
  <w:style w:type="paragraph" w:customStyle="1" w:styleId="Default">
    <w:name w:val="Default"/>
    <w:qFormat/>
    <w:rsid w:val="00C27E4C"/>
    <w:pPr>
      <w:widowControl w:val="0"/>
      <w:autoSpaceDE w:val="0"/>
      <w:autoSpaceDN w:val="0"/>
      <w:adjustRightInd w:val="0"/>
    </w:pPr>
    <w:rPr>
      <w:rFonts w:ascii="宋体" w:eastAsia="宋体" w:hAnsi="Calibri" w:cs="宋体"/>
      <w:color w:val="000000"/>
      <w:sz w:val="24"/>
      <w:szCs w:val="24"/>
    </w:rPr>
  </w:style>
  <w:style w:type="paragraph" w:styleId="ae">
    <w:name w:val="List Paragraph"/>
    <w:basedOn w:val="a"/>
    <w:uiPriority w:val="34"/>
    <w:qFormat/>
    <w:rsid w:val="00C27E4C"/>
    <w:pPr>
      <w:ind w:firstLineChars="200" w:firstLine="420"/>
    </w:pPr>
  </w:style>
</w:styles>
</file>

<file path=word/webSettings.xml><?xml version="1.0" encoding="utf-8"?>
<w:webSettings xmlns:r="http://schemas.openxmlformats.org/officeDocument/2006/relationships" xmlns:w="http://schemas.openxmlformats.org/wordprocessingml/2006/main">
  <w:divs>
    <w:div w:id="653340815">
      <w:bodyDiv w:val="1"/>
      <w:marLeft w:val="0"/>
      <w:marRight w:val="0"/>
      <w:marTop w:val="0"/>
      <w:marBottom w:val="0"/>
      <w:divBdr>
        <w:top w:val="none" w:sz="0" w:space="0" w:color="auto"/>
        <w:left w:val="none" w:sz="0" w:space="0" w:color="auto"/>
        <w:bottom w:val="none" w:sz="0" w:space="0" w:color="auto"/>
        <w:right w:val="none" w:sz="0" w:space="0" w:color="auto"/>
      </w:divBdr>
    </w:div>
    <w:div w:id="1512645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cib-fund.com.cn/etra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ttp://www.cib-fund.com.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b-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5451-EB56-4920-9261-ABA7F138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5388</Characters>
  <Application>Microsoft Office Word</Application>
  <DocSecurity>4</DocSecurity>
  <Lines>44</Lines>
  <Paragraphs>12</Paragraphs>
  <ScaleCrop>false</ScaleCrop>
  <Company>Microsoft</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2014-10-20T06:31:00Z</cp:lastPrinted>
  <dcterms:created xsi:type="dcterms:W3CDTF">2024-07-16T16:01:00Z</dcterms:created>
  <dcterms:modified xsi:type="dcterms:W3CDTF">2024-07-16T16:01:00Z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9FC17300C35A48989216BECC19C8ED2B</vt:lpwstr>
  </property>
</Properties>
</file>