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99" w:rsidRDefault="00D73E62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关于华泰紫金月月购</w:t>
      </w:r>
      <w:r>
        <w:rPr>
          <w:rFonts w:ascii="宋体" w:hAnsi="宋体" w:hint="eastAsia"/>
          <w:b/>
          <w:sz w:val="32"/>
        </w:rPr>
        <w:t>3</w:t>
      </w:r>
      <w:r>
        <w:rPr>
          <w:rFonts w:ascii="宋体" w:hAnsi="宋体" w:hint="eastAsia"/>
          <w:b/>
          <w:sz w:val="32"/>
        </w:rPr>
        <w:t>个月滚动持有债券型证券投资基金</w:t>
      </w:r>
      <w:r>
        <w:rPr>
          <w:rFonts w:ascii="宋体" w:hAnsi="宋体"/>
          <w:b/>
          <w:sz w:val="32"/>
        </w:rPr>
        <w:t>基金资产净值低于</w:t>
      </w:r>
      <w:r>
        <w:rPr>
          <w:rFonts w:ascii="宋体" w:hAnsi="宋体"/>
          <w:b/>
          <w:sz w:val="32"/>
        </w:rPr>
        <w:t>5000</w:t>
      </w:r>
      <w:r>
        <w:rPr>
          <w:rFonts w:ascii="宋体" w:hAnsi="宋体"/>
          <w:b/>
          <w:sz w:val="32"/>
        </w:rPr>
        <w:t>万元的提示性公告</w:t>
      </w:r>
    </w:p>
    <w:p w:rsidR="001E5A99" w:rsidRDefault="001E5A99">
      <w:pPr>
        <w:rPr>
          <w:rFonts w:ascii="宋体" w:hAnsi="宋体"/>
        </w:rPr>
      </w:pPr>
    </w:p>
    <w:p w:rsidR="001E5A99" w:rsidRDefault="00D73E6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根据《中华人民共和国证券投资基金法》《公开募集证券投资基金运作管理办法》《华泰紫金月月购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个月滚动持有债券型证券投资基金</w:t>
      </w:r>
      <w:r>
        <w:rPr>
          <w:rFonts w:ascii="宋体" w:hAnsi="宋体"/>
          <w:sz w:val="24"/>
          <w:szCs w:val="24"/>
        </w:rPr>
        <w:t>基金合同》（以下简称《基金合同》）的相关规定，华泰证券（上海）资产管理有限公司（以下简称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本公司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）现就华泰紫金月月购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个月滚动持有债券型证券投资基金（以下简称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本基金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）连续</w:t>
      </w:r>
      <w:r>
        <w:rPr>
          <w:rFonts w:ascii="宋体" w:hAnsi="宋体"/>
          <w:sz w:val="24"/>
          <w:szCs w:val="24"/>
        </w:rPr>
        <w:t>40</w:t>
      </w:r>
      <w:r>
        <w:rPr>
          <w:rFonts w:ascii="宋体" w:hAnsi="宋体"/>
          <w:sz w:val="24"/>
          <w:szCs w:val="24"/>
        </w:rPr>
        <w:t>个工作日基金资产净</w:t>
      </w:r>
      <w:bookmarkStart w:id="0" w:name="_GoBack"/>
      <w:bookmarkEnd w:id="0"/>
      <w:r>
        <w:rPr>
          <w:rFonts w:ascii="宋体" w:hAnsi="宋体"/>
          <w:sz w:val="24"/>
          <w:szCs w:val="24"/>
        </w:rPr>
        <w:t>值低于</w:t>
      </w:r>
      <w:r>
        <w:rPr>
          <w:rFonts w:ascii="宋体" w:hAnsi="宋体"/>
          <w:sz w:val="24"/>
          <w:szCs w:val="24"/>
        </w:rPr>
        <w:t>5000</w:t>
      </w:r>
      <w:r>
        <w:rPr>
          <w:rFonts w:ascii="宋体" w:hAnsi="宋体"/>
          <w:sz w:val="24"/>
          <w:szCs w:val="24"/>
        </w:rPr>
        <w:t>万元的相关事项提示如下：</w:t>
      </w:r>
    </w:p>
    <w:p w:rsidR="001E5A99" w:rsidRDefault="00D73E62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一、本基金基本信息</w:t>
      </w:r>
    </w:p>
    <w:p w:rsidR="001E5A99" w:rsidRDefault="00D73E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基金名称：</w:t>
      </w:r>
      <w:r>
        <w:rPr>
          <w:rFonts w:ascii="宋体" w:hAnsi="宋体" w:hint="eastAsia"/>
          <w:sz w:val="24"/>
          <w:szCs w:val="24"/>
        </w:rPr>
        <w:t>华泰紫金月月购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个月滚动持有债券型证券投资基金</w:t>
      </w:r>
    </w:p>
    <w:p w:rsidR="001E5A99" w:rsidRDefault="00D73E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基金简称：华泰紫金月月购</w:t>
      </w:r>
      <w:r>
        <w:rPr>
          <w:rFonts w:ascii="宋体" w:hAnsi="宋体"/>
          <w:sz w:val="24"/>
          <w:szCs w:val="24"/>
        </w:rPr>
        <w:t xml:space="preserve"> 3 </w:t>
      </w:r>
      <w:r>
        <w:rPr>
          <w:rFonts w:ascii="宋体" w:hAnsi="宋体"/>
          <w:sz w:val="24"/>
          <w:szCs w:val="24"/>
        </w:rPr>
        <w:t>月滚</w:t>
      </w:r>
      <w:r>
        <w:rPr>
          <w:rFonts w:ascii="宋体" w:hAnsi="宋体" w:hint="eastAsia"/>
          <w:sz w:val="24"/>
          <w:szCs w:val="24"/>
        </w:rPr>
        <w:t>动债</w:t>
      </w:r>
    </w:p>
    <w:p w:rsidR="001E5A99" w:rsidRDefault="00D73E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基金主代码：</w:t>
      </w:r>
      <w:r>
        <w:rPr>
          <w:rFonts w:ascii="宋体" w:hAnsi="宋体"/>
          <w:sz w:val="24"/>
          <w:szCs w:val="24"/>
        </w:rPr>
        <w:t>008939</w:t>
      </w:r>
    </w:p>
    <w:p w:rsidR="001E5A99" w:rsidRDefault="00D73E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基金运作方式：契约型开放式</w:t>
      </w:r>
    </w:p>
    <w:p w:rsidR="001E5A99" w:rsidRDefault="00D73E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基金合同生效日：</w:t>
      </w:r>
      <w:r>
        <w:rPr>
          <w:rFonts w:ascii="宋体" w:hAnsi="宋体"/>
          <w:sz w:val="24"/>
          <w:szCs w:val="24"/>
        </w:rPr>
        <w:t>2020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15</w:t>
      </w:r>
      <w:r>
        <w:rPr>
          <w:rFonts w:ascii="宋体" w:hAnsi="宋体"/>
          <w:sz w:val="24"/>
          <w:szCs w:val="24"/>
        </w:rPr>
        <w:t>日</w:t>
      </w:r>
    </w:p>
    <w:p w:rsidR="001E5A99" w:rsidRDefault="00D73E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基金托管人：中国银行股份有限公司</w:t>
      </w:r>
    </w:p>
    <w:p w:rsidR="001E5A99" w:rsidRDefault="00D73E62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二、临时报告的情形说明</w:t>
      </w:r>
    </w:p>
    <w:p w:rsidR="001E5A99" w:rsidRDefault="00D73E6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根据《基金合同》第十八部分“基金的信息披露”第五条“公开披露的基金信息”之（七）“临时报告”约定：“本基金发生重大事件，有关信息披露义务人应当在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日内编制临时报告书，并登载在规定报刊和规定网站上。前款所称重大事件，是指可能对基金份额持有人权益或者基金份</w:t>
      </w:r>
      <w:r>
        <w:rPr>
          <w:rFonts w:ascii="宋体" w:hAnsi="宋体"/>
          <w:sz w:val="24"/>
          <w:szCs w:val="24"/>
        </w:rPr>
        <w:t>额的价格产生重大影响的下列事件，包括：</w:t>
      </w:r>
      <w:r>
        <w:rPr>
          <w:rFonts w:ascii="宋体" w:hAnsi="宋体" w:hint="eastAsia"/>
          <w:sz w:val="24"/>
          <w:szCs w:val="24"/>
        </w:rPr>
        <w:t>本基金</w:t>
      </w:r>
      <w:r>
        <w:rPr>
          <w:rFonts w:ascii="宋体" w:hAnsi="宋体"/>
          <w:sz w:val="24"/>
          <w:szCs w:val="24"/>
        </w:rPr>
        <w:t>连续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个工作日、</w:t>
      </w:r>
      <w:r>
        <w:rPr>
          <w:rFonts w:ascii="宋体" w:hAnsi="宋体"/>
          <w:sz w:val="24"/>
          <w:szCs w:val="24"/>
        </w:rPr>
        <w:t>40</w:t>
      </w:r>
      <w:r>
        <w:rPr>
          <w:rFonts w:ascii="宋体" w:hAnsi="宋体"/>
          <w:sz w:val="24"/>
          <w:szCs w:val="24"/>
        </w:rPr>
        <w:t>个工作日、</w:t>
      </w:r>
      <w:r>
        <w:rPr>
          <w:rFonts w:ascii="宋体" w:hAnsi="宋体"/>
          <w:sz w:val="24"/>
          <w:szCs w:val="24"/>
        </w:rPr>
        <w:t>45</w:t>
      </w:r>
      <w:r>
        <w:rPr>
          <w:rFonts w:ascii="宋体" w:hAnsi="宋体"/>
          <w:sz w:val="24"/>
          <w:szCs w:val="24"/>
        </w:rPr>
        <w:t>个工作日出现基金份额持有人数量不满</w:t>
      </w:r>
      <w:r>
        <w:rPr>
          <w:rFonts w:ascii="宋体" w:hAnsi="宋体"/>
          <w:sz w:val="24"/>
          <w:szCs w:val="24"/>
        </w:rPr>
        <w:t>200</w:t>
      </w:r>
      <w:r>
        <w:rPr>
          <w:rFonts w:ascii="宋体" w:hAnsi="宋体"/>
          <w:sz w:val="24"/>
          <w:szCs w:val="24"/>
        </w:rPr>
        <w:t>人或者基金资产净值低于</w:t>
      </w:r>
      <w:r>
        <w:rPr>
          <w:rFonts w:ascii="宋体" w:hAnsi="宋体"/>
          <w:sz w:val="24"/>
          <w:szCs w:val="24"/>
        </w:rPr>
        <w:t>5000</w:t>
      </w:r>
      <w:r>
        <w:rPr>
          <w:rFonts w:ascii="宋体" w:hAnsi="宋体"/>
          <w:sz w:val="24"/>
          <w:szCs w:val="24"/>
        </w:rPr>
        <w:t>万元情形的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。</w:t>
      </w:r>
    </w:p>
    <w:p w:rsidR="001E5A99" w:rsidRDefault="00D73E6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截至</w:t>
      </w:r>
      <w:r>
        <w:rPr>
          <w:rFonts w:ascii="宋体" w:hAnsi="宋体"/>
          <w:sz w:val="24"/>
          <w:szCs w:val="24"/>
        </w:rPr>
        <w:t>2024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15</w:t>
      </w:r>
      <w:r>
        <w:rPr>
          <w:rFonts w:ascii="宋体" w:hAnsi="宋体"/>
          <w:sz w:val="24"/>
          <w:szCs w:val="24"/>
        </w:rPr>
        <w:t>日日终，本基金的资产净值已连续</w:t>
      </w:r>
      <w:r>
        <w:rPr>
          <w:rFonts w:ascii="宋体" w:hAnsi="宋体"/>
          <w:sz w:val="24"/>
          <w:szCs w:val="24"/>
        </w:rPr>
        <w:t>40</w:t>
      </w:r>
      <w:r>
        <w:rPr>
          <w:rFonts w:ascii="宋体" w:hAnsi="宋体" w:hint="eastAsia"/>
          <w:sz w:val="24"/>
          <w:szCs w:val="24"/>
        </w:rPr>
        <w:t>个</w:t>
      </w:r>
      <w:r>
        <w:rPr>
          <w:rFonts w:ascii="宋体" w:hAnsi="宋体"/>
          <w:sz w:val="24"/>
          <w:szCs w:val="24"/>
        </w:rPr>
        <w:t>工作日低于</w:t>
      </w:r>
      <w:r>
        <w:rPr>
          <w:rFonts w:ascii="宋体" w:hAnsi="宋体"/>
          <w:sz w:val="24"/>
          <w:szCs w:val="24"/>
        </w:rPr>
        <w:t>5000</w:t>
      </w:r>
      <w:r>
        <w:rPr>
          <w:rFonts w:ascii="宋体" w:hAnsi="宋体"/>
          <w:sz w:val="24"/>
          <w:szCs w:val="24"/>
        </w:rPr>
        <w:t>万元，特此提示。</w:t>
      </w:r>
    </w:p>
    <w:p w:rsidR="001E5A99" w:rsidRDefault="00D73E62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三、其他提示的事项</w:t>
      </w:r>
    </w:p>
    <w:p w:rsidR="001E5A99" w:rsidRDefault="00D73E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、投资者欲了解本基金的详细情况，请认真阅读《基金合同》等法律文件及相关公告。投资者可通过访问本公司网站（</w:t>
      </w:r>
      <w:r>
        <w:rPr>
          <w:rFonts w:ascii="宋体" w:hAnsi="宋体"/>
          <w:sz w:val="24"/>
          <w:szCs w:val="24"/>
        </w:rPr>
        <w:t>https://htamc.htsc.com.cn/</w:t>
      </w:r>
      <w:r>
        <w:rPr>
          <w:rFonts w:ascii="宋体" w:hAnsi="宋体"/>
          <w:sz w:val="24"/>
          <w:szCs w:val="24"/>
        </w:rPr>
        <w:t>），或拨打全国免长途费的客户服务电话（</w:t>
      </w:r>
      <w:r>
        <w:rPr>
          <w:rFonts w:ascii="宋体" w:hAnsi="宋体"/>
          <w:sz w:val="24"/>
          <w:szCs w:val="24"/>
        </w:rPr>
        <w:t>4008895597</w:t>
      </w:r>
      <w:r>
        <w:rPr>
          <w:rFonts w:ascii="宋体" w:hAnsi="宋体"/>
          <w:sz w:val="24"/>
          <w:szCs w:val="24"/>
        </w:rPr>
        <w:t>）咨询相关情</w:t>
      </w:r>
      <w:r>
        <w:rPr>
          <w:rFonts w:ascii="宋体" w:hAnsi="宋体"/>
          <w:sz w:val="24"/>
          <w:szCs w:val="24"/>
        </w:rPr>
        <w:t>况。</w:t>
      </w:r>
    </w:p>
    <w:p w:rsidR="001E5A99" w:rsidRDefault="00D73E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2</w:t>
      </w:r>
      <w:r>
        <w:rPr>
          <w:rFonts w:ascii="宋体" w:hAnsi="宋体"/>
          <w:sz w:val="24"/>
          <w:szCs w:val="24"/>
        </w:rPr>
        <w:t>、风险提示：本公司承诺以诚实信用、勤勉尽责的原则管理和运用基金资产，但不保证基金一定盈利，也不保证最低收益。敬请投资人注意投资风险。投资人投资于本基金前应认真阅读本基金的基金合同、招募说明书等文件。</w:t>
      </w:r>
    </w:p>
    <w:p w:rsidR="001E5A99" w:rsidRDefault="001E5A99">
      <w:pPr>
        <w:spacing w:line="360" w:lineRule="auto"/>
        <w:rPr>
          <w:rFonts w:ascii="宋体" w:hAnsi="宋体"/>
          <w:sz w:val="24"/>
          <w:szCs w:val="24"/>
        </w:rPr>
      </w:pPr>
    </w:p>
    <w:p w:rsidR="001E5A99" w:rsidRDefault="00D73E6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:rsidR="001E5A99" w:rsidRDefault="001E5A99">
      <w:pPr>
        <w:spacing w:line="360" w:lineRule="auto"/>
        <w:rPr>
          <w:rFonts w:ascii="宋体" w:hAnsi="宋体"/>
        </w:rPr>
      </w:pPr>
    </w:p>
    <w:p w:rsidR="001E5A99" w:rsidRDefault="001E5A99">
      <w:pPr>
        <w:spacing w:line="360" w:lineRule="auto"/>
        <w:rPr>
          <w:rFonts w:ascii="宋体" w:hAnsi="宋体"/>
        </w:rPr>
      </w:pPr>
    </w:p>
    <w:p w:rsidR="001E5A99" w:rsidRDefault="001E5A99">
      <w:pPr>
        <w:spacing w:line="360" w:lineRule="auto"/>
        <w:jc w:val="right"/>
        <w:rPr>
          <w:rFonts w:ascii="宋体" w:hAnsi="宋体"/>
        </w:rPr>
      </w:pPr>
    </w:p>
    <w:p w:rsidR="001E5A99" w:rsidRDefault="00D73E62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华泰证券（上海）资产管理有限公司</w:t>
      </w:r>
    </w:p>
    <w:p w:rsidR="001E5A99" w:rsidRDefault="00D73E62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2024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16</w:t>
      </w:r>
      <w:r>
        <w:rPr>
          <w:rFonts w:ascii="宋体" w:hAnsi="宋体"/>
          <w:sz w:val="24"/>
          <w:szCs w:val="24"/>
        </w:rPr>
        <w:t>日</w:t>
      </w:r>
    </w:p>
    <w:p w:rsidR="001E5A99" w:rsidRDefault="001E5A99">
      <w:pPr>
        <w:spacing w:line="360" w:lineRule="auto"/>
        <w:rPr>
          <w:rFonts w:ascii="宋体" w:hAnsi="宋体"/>
          <w:sz w:val="24"/>
          <w:szCs w:val="24"/>
        </w:rPr>
      </w:pPr>
    </w:p>
    <w:p w:rsidR="001E5A99" w:rsidRDefault="001E5A99">
      <w:pPr>
        <w:rPr>
          <w:rFonts w:ascii="宋体" w:hAnsi="宋体"/>
        </w:rPr>
      </w:pPr>
    </w:p>
    <w:p w:rsidR="001E5A99" w:rsidRDefault="001E5A99">
      <w:pPr>
        <w:rPr>
          <w:rFonts w:ascii="宋体" w:hAnsi="宋体"/>
        </w:rPr>
      </w:pPr>
    </w:p>
    <w:p w:rsidR="001E5A99" w:rsidRDefault="001E5A99">
      <w:pPr>
        <w:rPr>
          <w:rFonts w:ascii="宋体" w:hAnsi="宋体"/>
        </w:rPr>
      </w:pPr>
    </w:p>
    <w:sectPr w:rsidR="001E5A99" w:rsidSect="001E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A99" w:rsidRDefault="00D73E62">
      <w:pPr>
        <w:rPr>
          <w:rFonts w:hint="eastAsia"/>
        </w:rPr>
      </w:pPr>
      <w:r>
        <w:separator/>
      </w:r>
    </w:p>
  </w:endnote>
  <w:endnote w:type="continuationSeparator" w:id="0">
    <w:p w:rsidR="001E5A99" w:rsidRDefault="00D73E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A99" w:rsidRDefault="00D73E62">
      <w:pPr>
        <w:rPr>
          <w:rFonts w:hint="eastAsia"/>
        </w:rPr>
      </w:pPr>
      <w:r>
        <w:separator/>
      </w:r>
    </w:p>
  </w:footnote>
  <w:footnote w:type="continuationSeparator" w:id="0">
    <w:p w:rsidR="001E5A99" w:rsidRDefault="00D73E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</w:compat>
  <w:rsids>
    <w:rsidRoot w:val="001E5A99"/>
    <w:rsid w:val="001E5A99"/>
    <w:rsid w:val="00D7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宋体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9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E5A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E5A9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E5A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E5A9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E5A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E5A9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E5A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E5A9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E5A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E5A9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E5A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1E5A9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E5A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1E5A9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E5A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1E5A9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E5A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customStyle="1" w:styleId="Heading9Char">
    <w:name w:val="Heading 9 Char"/>
    <w:basedOn w:val="a0"/>
    <w:link w:val="Heading9"/>
    <w:uiPriority w:val="9"/>
    <w:rsid w:val="001E5A9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E5A99"/>
    <w:pPr>
      <w:ind w:left="720"/>
      <w:contextualSpacing/>
    </w:pPr>
  </w:style>
  <w:style w:type="paragraph" w:styleId="a4">
    <w:name w:val="No Spacing"/>
    <w:uiPriority w:val="1"/>
    <w:qFormat/>
    <w:rsid w:val="001E5A99"/>
  </w:style>
  <w:style w:type="paragraph" w:styleId="a5">
    <w:name w:val="Title"/>
    <w:basedOn w:val="a"/>
    <w:next w:val="a"/>
    <w:link w:val="Char"/>
    <w:uiPriority w:val="10"/>
    <w:qFormat/>
    <w:rsid w:val="001E5A99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5"/>
    <w:uiPriority w:val="10"/>
    <w:rsid w:val="001E5A99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rsid w:val="001E5A99"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6"/>
    <w:uiPriority w:val="11"/>
    <w:rsid w:val="001E5A99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rsid w:val="001E5A99"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sid w:val="001E5A99"/>
    <w:rPr>
      <w:i/>
    </w:rPr>
  </w:style>
  <w:style w:type="paragraph" w:styleId="a8">
    <w:name w:val="Intense Quote"/>
    <w:basedOn w:val="a"/>
    <w:next w:val="a"/>
    <w:link w:val="Char2"/>
    <w:uiPriority w:val="30"/>
    <w:qFormat/>
    <w:rsid w:val="001E5A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sid w:val="001E5A99"/>
    <w:rPr>
      <w:i/>
    </w:rPr>
  </w:style>
  <w:style w:type="character" w:customStyle="1" w:styleId="HeaderChar">
    <w:name w:val="Header Char"/>
    <w:basedOn w:val="a0"/>
    <w:link w:val="Header"/>
    <w:uiPriority w:val="99"/>
    <w:rsid w:val="001E5A99"/>
  </w:style>
  <w:style w:type="character" w:customStyle="1" w:styleId="FooterChar">
    <w:name w:val="Footer Char"/>
    <w:basedOn w:val="a0"/>
    <w:link w:val="Footer"/>
    <w:uiPriority w:val="99"/>
    <w:rsid w:val="001E5A9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E5A9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E5A99"/>
  </w:style>
  <w:style w:type="table" w:styleId="a9">
    <w:name w:val="Table Grid"/>
    <w:basedOn w:val="a1"/>
    <w:uiPriority w:val="59"/>
    <w:rsid w:val="001E5A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TableGridLight">
    <w:name w:val="Table Grid Light"/>
    <w:basedOn w:val="a1"/>
    <w:uiPriority w:val="59"/>
    <w:rsid w:val="001E5A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1E5A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1E5A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1E5A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1E5A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1E5A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1E5A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1E5A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1E5A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rsid w:val="001E5A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1E5A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rsid w:val="001E5A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1E5A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pPr>
        <w:snapToGrid/>
      </w:pPr>
      <w:tblPr/>
      <w:tcPr>
        <w:shd w:val="clear" w:color="FFFFFF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pPr>
        <w:snapToGrid/>
      </w:pPr>
      <w:tblPr/>
      <w:tcPr>
        <w:shd w:val="clear" w:color="FFFFFF" w:fill="B3D0EB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3D0EB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pPr>
        <w:snapToGrid/>
      </w:pPr>
      <w:tblPr/>
      <w:tcPr>
        <w:shd w:val="clear" w:color="FFFFFF" w:fill="F6C3A0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6C3A0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pPr>
        <w:snapToGrid/>
      </w:pPr>
      <w:tblPr/>
      <w:tcPr>
        <w:shd w:val="clear" w:color="FFFFFF" w:fill="D5D5D5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5D5D5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pPr>
        <w:snapToGrid/>
      </w:pPr>
      <w:tblPr/>
      <w:tcPr>
        <w:shd w:val="clear" w:color="FFFFFF" w:fill="FFE28A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E28A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pPr>
        <w:snapToGrid/>
      </w:pPr>
      <w:tblPr/>
      <w:tcPr>
        <w:shd w:val="clear" w:color="FFFFFF" w:fill="A9BE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9BE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pPr>
        <w:snapToGrid/>
      </w:pPr>
      <w:tblPr/>
      <w:tcPr>
        <w:shd w:val="clear" w:color="FFFFFF" w:fill="BCDBA8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CDBA8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pPr>
        <w:snapToGrid/>
      </w:pPr>
      <w:rPr>
        <w:b/>
        <w:color w:val="ACCCEA" w:themeColor="accent1" w:themeTint="80" w:themeShade="95"/>
      </w:rPr>
    </w:tblStylePr>
    <w:tblStylePr w:type="firstCol">
      <w:pPr>
        <w:snapToGrid/>
      </w:pPr>
      <w:rPr>
        <w:b/>
        <w:color w:val="ACCCEA" w:themeColor="accent1" w:themeTint="80" w:themeShade="95"/>
      </w:rPr>
    </w:tblStylePr>
    <w:tblStylePr w:type="lastCol">
      <w:pPr>
        <w:snapToGrid/>
      </w:pPr>
      <w:rPr>
        <w:b/>
        <w:color w:val="ACCCEA" w:themeColor="accent1" w:themeTint="80" w:themeShade="95"/>
      </w:rPr>
    </w:tblStylePr>
    <w:tblStylePr w:type="band1Vert">
      <w:pPr>
        <w:snapToGrid/>
      </w:pPr>
      <w:tblPr/>
      <w:tcPr>
        <w:shd w:val="clear" w:color="FFFFFF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b/>
        <w:color w:val="F4B184" w:themeColor="accent2" w:themeTint="97" w:themeShade="95"/>
      </w:rPr>
    </w:tblStylePr>
    <w:tblStylePr w:type="firstCol">
      <w:pPr>
        <w:snapToGrid/>
      </w:pPr>
      <w:rPr>
        <w:b/>
        <w:color w:val="F4B184" w:themeColor="accent2" w:themeTint="97" w:themeShade="95"/>
      </w:rPr>
    </w:tblStylePr>
    <w:tblStylePr w:type="lastCol">
      <w:pPr>
        <w:snapToGrid/>
      </w:pPr>
      <w:rPr>
        <w:b/>
        <w:color w:val="F4B184" w:themeColor="accent2" w:themeTint="97" w:themeShade="95"/>
      </w:rPr>
    </w:tblStylePr>
    <w:tblStylePr w:type="band1Vert">
      <w:pPr>
        <w:snapToGrid/>
      </w:pPr>
      <w:tblPr/>
      <w:tcPr>
        <w:shd w:val="clear" w:color="FFFFFF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pPr>
        <w:snapToGrid/>
      </w:pPr>
      <w:rPr>
        <w:b/>
        <w:color w:val="A5A5A5" w:themeColor="accent3" w:themeTint="FE" w:themeShade="95"/>
      </w:rPr>
    </w:tblStylePr>
    <w:tblStylePr w:type="firstCol">
      <w:pPr>
        <w:snapToGrid/>
      </w:pPr>
      <w:rPr>
        <w:b/>
        <w:color w:val="A5A5A5" w:themeColor="accent3" w:themeTint="FE" w:themeShade="95"/>
      </w:rPr>
    </w:tblStylePr>
    <w:tblStylePr w:type="lastCol">
      <w:pPr>
        <w:snapToGrid/>
      </w:pPr>
      <w:rPr>
        <w:b/>
        <w:color w:val="A5A5A5" w:themeColor="accent3" w:themeTint="FE" w:themeShade="95"/>
      </w:rPr>
    </w:tblStylePr>
    <w:tblStylePr w:type="band1Vert">
      <w:pPr>
        <w:snapToGrid/>
      </w:pPr>
      <w:tblPr/>
      <w:tcPr>
        <w:shd w:val="clear" w:color="FFFFFF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b/>
        <w:color w:val="FFD865" w:themeColor="accent4" w:themeTint="9A" w:themeShade="95"/>
      </w:rPr>
    </w:tblStylePr>
    <w:tblStylePr w:type="firstCol">
      <w:pPr>
        <w:snapToGrid/>
      </w:pPr>
      <w:rPr>
        <w:b/>
        <w:color w:val="FFD865" w:themeColor="accent4" w:themeTint="9A" w:themeShade="95"/>
      </w:rPr>
    </w:tblStylePr>
    <w:tblStylePr w:type="lastCol">
      <w:pPr>
        <w:snapToGrid/>
      </w:pPr>
      <w:rPr>
        <w:b/>
        <w:color w:val="FFD865" w:themeColor="accent4" w:themeTint="9A" w:themeShade="95"/>
      </w:rPr>
    </w:tblStylePr>
    <w:tblStylePr w:type="band1Vert">
      <w:pPr>
        <w:snapToGrid/>
      </w:pPr>
      <w:tblPr/>
      <w:tcPr>
        <w:shd w:val="clear" w:color="FFFFFF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pPr>
        <w:snapToGrid/>
      </w:pPr>
      <w:rPr>
        <w:b/>
        <w:color w:val="254175" w:themeColor="accent5" w:themeShade="95"/>
      </w:rPr>
    </w:tblStylePr>
    <w:tblStylePr w:type="firstCol">
      <w:pPr>
        <w:snapToGrid/>
      </w:pPr>
      <w:rPr>
        <w:b/>
        <w:color w:val="254175" w:themeColor="accent5" w:themeShade="95"/>
      </w:rPr>
    </w:tblStylePr>
    <w:tblStylePr w:type="lastCol">
      <w:pPr>
        <w:snapToGrid/>
      </w:pPr>
      <w:rPr>
        <w:b/>
        <w:color w:val="254175" w:themeColor="accent5" w:themeShade="95"/>
      </w:rPr>
    </w:tblStylePr>
    <w:tblStylePr w:type="band1Vert">
      <w:pPr>
        <w:snapToGrid/>
      </w:pPr>
      <w:tblPr/>
      <w:tcPr>
        <w:shd w:val="clear" w:color="FFFFFF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pPr>
        <w:snapToGrid/>
      </w:pPr>
      <w:rPr>
        <w:b/>
        <w:color w:val="254175" w:themeColor="accent5" w:themeShade="95"/>
      </w:rPr>
    </w:tblStylePr>
    <w:tblStylePr w:type="firstCol">
      <w:pPr>
        <w:snapToGrid/>
      </w:pPr>
      <w:rPr>
        <w:b/>
        <w:color w:val="254175" w:themeColor="accent5" w:themeShade="95"/>
      </w:rPr>
    </w:tblStylePr>
    <w:tblStylePr w:type="lastCol">
      <w:pPr>
        <w:snapToGrid/>
      </w:pPr>
      <w:rPr>
        <w:b/>
        <w:color w:val="254175" w:themeColor="accent5" w:themeShade="95"/>
      </w:rPr>
    </w:tblStylePr>
    <w:tblStylePr w:type="band1Vert">
      <w:pPr>
        <w:snapToGrid/>
      </w:pPr>
      <w:tblPr/>
      <w:tcPr>
        <w:shd w:val="clear" w:color="FFFFFF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1E5A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416429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1E5A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1E5A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1E5A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rsid w:val="001E5A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1E5A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1E5A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rsid w:val="001E5A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pPr>
        <w:snapToGrid/>
      </w:pPr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pPr>
        <w:snapToGrid/>
      </w:pPr>
      <w:rPr>
        <w:b/>
        <w:color w:val="245A8D" w:themeColor="accent1" w:themeShade="95"/>
      </w:rPr>
    </w:tblStylePr>
    <w:tblStylePr w:type="lastCol">
      <w:pPr>
        <w:snapToGrid/>
      </w:pPr>
      <w:rPr>
        <w:b/>
        <w:color w:val="245A8D" w:themeColor="accent1" w:themeShade="95"/>
      </w:rPr>
    </w:tblStylePr>
    <w:tblStylePr w:type="band1Vert">
      <w:pPr>
        <w:snapToGrid/>
      </w:pPr>
      <w:tblPr/>
      <w:tcPr>
        <w:shd w:val="clear" w:color="FFFFFF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D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pPr>
        <w:snapToGrid/>
      </w:pPr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F4B184" w:themeColor="accent2" w:themeTint="97" w:themeShade="95"/>
      </w:rPr>
    </w:tblStylePr>
    <w:tblStylePr w:type="lastCol">
      <w:pPr>
        <w:snapToGrid/>
      </w:pPr>
      <w:rPr>
        <w:b/>
        <w:color w:val="F4B184" w:themeColor="accent2" w:themeTint="97" w:themeShade="95"/>
      </w:rPr>
    </w:tblStylePr>
    <w:tblStylePr w:type="band1Vert">
      <w:pPr>
        <w:snapToGrid/>
      </w:pPr>
      <w:tblPr/>
      <w:tcPr>
        <w:shd w:val="clear" w:color="FFFFFF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pPr>
        <w:snapToGrid/>
      </w:pPr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pPr>
        <w:snapToGrid/>
      </w:pPr>
      <w:rPr>
        <w:b/>
        <w:color w:val="C9C9C9" w:themeColor="accent3" w:themeTint="98" w:themeShade="95"/>
      </w:rPr>
    </w:tblStylePr>
    <w:tblStylePr w:type="lastCol">
      <w:pPr>
        <w:snapToGrid/>
      </w:pPr>
      <w:rPr>
        <w:b/>
        <w:color w:val="C9C9C9" w:themeColor="accent3" w:themeTint="98" w:themeShade="95"/>
      </w:rPr>
    </w:tblStylePr>
    <w:tblStylePr w:type="band1Vert">
      <w:pPr>
        <w:snapToGrid/>
      </w:pPr>
      <w:tblPr/>
      <w:tcPr>
        <w:shd w:val="clear" w:color="FFFFFF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pPr>
        <w:snapToGrid/>
      </w:pPr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FFD865" w:themeColor="accent4" w:themeTint="9A" w:themeShade="95"/>
      </w:rPr>
    </w:tblStylePr>
    <w:tblStylePr w:type="lastCol">
      <w:pPr>
        <w:snapToGrid/>
      </w:pPr>
      <w:rPr>
        <w:b/>
        <w:color w:val="FFD865" w:themeColor="accent4" w:themeTint="9A" w:themeShade="95"/>
      </w:rPr>
    </w:tblStylePr>
    <w:tblStylePr w:type="band1Vert">
      <w:pPr>
        <w:snapToGrid/>
      </w:pPr>
      <w:tblPr/>
      <w:tcPr>
        <w:shd w:val="clear" w:color="FFFFFF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pPr>
        <w:snapToGrid/>
      </w:pPr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pPr>
        <w:snapToGrid/>
      </w:pPr>
      <w:rPr>
        <w:b/>
        <w:color w:val="8DA9DB" w:themeColor="accent5" w:themeTint="9A" w:themeShade="95"/>
      </w:rPr>
    </w:tblStylePr>
    <w:tblStylePr w:type="lastCol">
      <w:pPr>
        <w:snapToGrid/>
      </w:pPr>
      <w:rPr>
        <w:b/>
        <w:color w:val="8DA9DB" w:themeColor="accent5" w:themeTint="9A" w:themeShade="95"/>
      </w:rPr>
    </w:tblStylePr>
    <w:tblStylePr w:type="band1Vert">
      <w:pPr>
        <w:snapToGrid/>
      </w:pPr>
      <w:tblPr/>
      <w:tcPr>
        <w:shd w:val="clear" w:color="FFFFFF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DA9DB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pPr>
        <w:snapToGrid/>
      </w:pPr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pPr>
        <w:snapToGrid/>
      </w:pPr>
      <w:rPr>
        <w:b/>
        <w:color w:val="A9D08E" w:themeColor="accent6" w:themeTint="98" w:themeShade="95"/>
      </w:rPr>
    </w:tblStylePr>
    <w:tblStylePr w:type="lastCol">
      <w:pPr>
        <w:snapToGrid/>
      </w:pPr>
      <w:rPr>
        <w:b/>
        <w:color w:val="A9D08E" w:themeColor="accent6" w:themeTint="98" w:themeShade="95"/>
      </w:rPr>
    </w:tblStylePr>
    <w:tblStylePr w:type="band1Vert">
      <w:pPr>
        <w:snapToGrid/>
      </w:pPr>
      <w:tblPr/>
      <w:tcPr>
        <w:shd w:val="clear" w:color="FFFFF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9D08E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rsid w:val="001E5A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rsid w:val="001E5A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D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rsid w:val="001E5A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rsid w:val="001E5A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rsid w:val="001E5A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rsid w:val="001E5A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DA9DB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rsid w:val="001E5A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9D08E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sid w:val="001E5A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rsid w:val="001E5A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a">
    <w:name w:val="Hyperlink"/>
    <w:uiPriority w:val="99"/>
    <w:unhideWhenUsed/>
    <w:rsid w:val="001E5A99"/>
    <w:rPr>
      <w:color w:val="0563C1" w:themeColor="hyperlink"/>
      <w:u w:val="single"/>
    </w:rPr>
  </w:style>
  <w:style w:type="paragraph" w:styleId="ab">
    <w:name w:val="footnote text"/>
    <w:basedOn w:val="a"/>
    <w:link w:val="Char3"/>
    <w:uiPriority w:val="99"/>
    <w:semiHidden/>
    <w:unhideWhenUsed/>
    <w:rsid w:val="001E5A99"/>
    <w:pPr>
      <w:spacing w:after="40"/>
    </w:pPr>
    <w:rPr>
      <w:sz w:val="18"/>
    </w:rPr>
  </w:style>
  <w:style w:type="character" w:customStyle="1" w:styleId="Char3">
    <w:name w:val="脚注文本 Char"/>
    <w:link w:val="ab"/>
    <w:uiPriority w:val="99"/>
    <w:rsid w:val="001E5A99"/>
    <w:rPr>
      <w:sz w:val="18"/>
    </w:rPr>
  </w:style>
  <w:style w:type="character" w:styleId="ac">
    <w:name w:val="footnote reference"/>
    <w:basedOn w:val="a0"/>
    <w:uiPriority w:val="99"/>
    <w:unhideWhenUsed/>
    <w:rsid w:val="001E5A99"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sid w:val="001E5A99"/>
    <w:rPr>
      <w:sz w:val="20"/>
    </w:rPr>
  </w:style>
  <w:style w:type="character" w:customStyle="1" w:styleId="Char4">
    <w:name w:val="尾注文本 Char"/>
    <w:link w:val="ad"/>
    <w:uiPriority w:val="99"/>
    <w:rsid w:val="001E5A99"/>
    <w:rPr>
      <w:sz w:val="20"/>
    </w:rPr>
  </w:style>
  <w:style w:type="character" w:styleId="ae">
    <w:name w:val="endnote reference"/>
    <w:basedOn w:val="a0"/>
    <w:uiPriority w:val="99"/>
    <w:semiHidden/>
    <w:unhideWhenUsed/>
    <w:rsid w:val="001E5A9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E5A99"/>
    <w:pPr>
      <w:spacing w:after="57"/>
    </w:pPr>
  </w:style>
  <w:style w:type="paragraph" w:styleId="2">
    <w:name w:val="toc 2"/>
    <w:basedOn w:val="a"/>
    <w:next w:val="a"/>
    <w:uiPriority w:val="39"/>
    <w:unhideWhenUsed/>
    <w:rsid w:val="001E5A9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E5A9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E5A9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E5A9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E5A9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E5A9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E5A9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E5A99"/>
    <w:pPr>
      <w:spacing w:after="57"/>
      <w:ind w:left="2268"/>
    </w:pPr>
  </w:style>
  <w:style w:type="paragraph" w:styleId="TOC">
    <w:name w:val="TOC Heading"/>
    <w:uiPriority w:val="39"/>
    <w:unhideWhenUsed/>
    <w:rsid w:val="001E5A99"/>
  </w:style>
  <w:style w:type="paragraph" w:styleId="af">
    <w:name w:val="table of figures"/>
    <w:basedOn w:val="a"/>
    <w:next w:val="a"/>
    <w:uiPriority w:val="99"/>
    <w:unhideWhenUsed/>
    <w:rsid w:val="001E5A99"/>
  </w:style>
  <w:style w:type="paragraph" w:styleId="af0">
    <w:name w:val="annotation text"/>
    <w:basedOn w:val="a"/>
    <w:uiPriority w:val="99"/>
    <w:semiHidden/>
    <w:unhideWhenUsed/>
    <w:rsid w:val="001E5A99"/>
    <w:pPr>
      <w:jc w:val="left"/>
    </w:pPr>
  </w:style>
  <w:style w:type="character" w:styleId="af1">
    <w:name w:val="annotation reference"/>
    <w:basedOn w:val="a0"/>
    <w:uiPriority w:val="99"/>
    <w:semiHidden/>
    <w:unhideWhenUsed/>
    <w:rsid w:val="001E5A99"/>
    <w:rPr>
      <w:sz w:val="21"/>
      <w:szCs w:val="21"/>
    </w:rPr>
  </w:style>
  <w:style w:type="paragraph" w:styleId="af2">
    <w:name w:val="Balloon Text"/>
    <w:basedOn w:val="a"/>
    <w:link w:val="Char5"/>
    <w:uiPriority w:val="99"/>
    <w:semiHidden/>
    <w:unhideWhenUsed/>
    <w:rsid w:val="001E5A99"/>
    <w:rPr>
      <w:sz w:val="18"/>
      <w:szCs w:val="18"/>
    </w:rPr>
  </w:style>
  <w:style w:type="character" w:customStyle="1" w:styleId="Char5">
    <w:name w:val="批注框文本 Char"/>
    <w:basedOn w:val="a0"/>
    <w:link w:val="af2"/>
    <w:uiPriority w:val="99"/>
    <w:semiHidden/>
    <w:rsid w:val="001E5A99"/>
    <w:rPr>
      <w:sz w:val="18"/>
      <w:szCs w:val="18"/>
    </w:rPr>
  </w:style>
  <w:style w:type="paragraph" w:customStyle="1" w:styleId="Header">
    <w:name w:val="Header"/>
    <w:basedOn w:val="a"/>
    <w:link w:val="af3"/>
    <w:uiPriority w:val="99"/>
    <w:unhideWhenUsed/>
    <w:rsid w:val="001E5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Header"/>
    <w:uiPriority w:val="99"/>
    <w:rsid w:val="001E5A99"/>
    <w:rPr>
      <w:sz w:val="18"/>
      <w:szCs w:val="18"/>
    </w:rPr>
  </w:style>
  <w:style w:type="paragraph" w:customStyle="1" w:styleId="Footer">
    <w:name w:val="Footer"/>
    <w:basedOn w:val="a"/>
    <w:link w:val="af4"/>
    <w:uiPriority w:val="99"/>
    <w:unhideWhenUsed/>
    <w:rsid w:val="001E5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Footer"/>
    <w:uiPriority w:val="99"/>
    <w:rsid w:val="001E5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4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郑梦颖</dc:creator>
  <cp:lastModifiedBy>ZHONGM</cp:lastModifiedBy>
  <cp:revision>2</cp:revision>
  <dcterms:created xsi:type="dcterms:W3CDTF">2024-07-15T16:00:00Z</dcterms:created>
  <dcterms:modified xsi:type="dcterms:W3CDTF">2024-07-15T16:00:00Z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7E37F3229AEB47FB976549D5C0CC4303</vt:lpwstr>
  </property>
</Properties>
</file>