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5" w:rsidRDefault="00360495" w:rsidP="00360495">
      <w:pPr>
        <w:jc w:val="center"/>
        <w:rPr>
          <w:rFonts w:ascii="黑体" w:eastAsia="黑体" w:hAnsi="黑体" w:cstheme="minorBidi"/>
          <w:b/>
          <w:sz w:val="30"/>
          <w:szCs w:val="30"/>
        </w:rPr>
      </w:pPr>
      <w:r>
        <w:rPr>
          <w:rFonts w:ascii="黑体" w:eastAsia="黑体" w:hAnsi="黑体" w:cstheme="minorBidi" w:hint="eastAsia"/>
          <w:b/>
          <w:sz w:val="30"/>
          <w:szCs w:val="30"/>
        </w:rPr>
        <w:t>天弘基金管理有限公司关于</w:t>
      </w:r>
      <w:r w:rsidR="00731002">
        <w:rPr>
          <w:rFonts w:ascii="黑体" w:eastAsia="黑体" w:hAnsi="黑体" w:cstheme="minorBidi" w:hint="eastAsia"/>
          <w:b/>
          <w:sz w:val="30"/>
          <w:szCs w:val="30"/>
        </w:rPr>
        <w:t>天弘纳斯达克</w:t>
      </w:r>
      <w:r w:rsidR="00731002">
        <w:rPr>
          <w:rFonts w:ascii="黑体" w:eastAsia="黑体" w:hAnsi="黑体" w:cstheme="minorBidi"/>
          <w:b/>
          <w:sz w:val="30"/>
          <w:szCs w:val="30"/>
        </w:rPr>
        <w:t>100指数型发起式证券投资基金（QDII）</w:t>
      </w:r>
      <w:r>
        <w:rPr>
          <w:rFonts w:ascii="黑体" w:eastAsia="黑体" w:hAnsi="黑体" w:cstheme="minorBidi" w:hint="eastAsia"/>
          <w:b/>
          <w:sz w:val="30"/>
          <w:szCs w:val="30"/>
        </w:rPr>
        <w:t>调整大额</w:t>
      </w:r>
      <w:r w:rsidR="00731002">
        <w:rPr>
          <w:rFonts w:ascii="黑体" w:eastAsia="黑体" w:hAnsi="黑体" w:cstheme="minorBidi" w:hint="eastAsia"/>
          <w:b/>
          <w:sz w:val="30"/>
          <w:szCs w:val="30"/>
        </w:rPr>
        <w:t>申购、定期定额投资</w:t>
      </w:r>
      <w:r>
        <w:rPr>
          <w:rFonts w:ascii="黑体" w:eastAsia="黑体" w:hAnsi="黑体" w:cstheme="minorBidi" w:hint="eastAsia"/>
          <w:b/>
          <w:sz w:val="30"/>
          <w:szCs w:val="30"/>
        </w:rPr>
        <w:t>业务的公告</w:t>
      </w:r>
    </w:p>
    <w:p w:rsidR="00360495" w:rsidRDefault="00360495" w:rsidP="00360495">
      <w:pPr>
        <w:widowControl/>
        <w:wordWrap w:val="0"/>
        <w:spacing w:line="560" w:lineRule="atLeast"/>
        <w:jc w:val="center"/>
        <w:rPr>
          <w:rFonts w:ascii="仿宋_GB2312" w:hAnsi="inherit" w:cs="宋体"/>
          <w:b/>
          <w:kern w:val="0"/>
          <w:sz w:val="24"/>
        </w:rPr>
      </w:pPr>
      <w:r>
        <w:rPr>
          <w:rFonts w:ascii="仿宋_GB2312" w:hAnsi="inherit" w:cs="宋体" w:hint="eastAsia"/>
          <w:b/>
          <w:kern w:val="0"/>
          <w:sz w:val="24"/>
        </w:rPr>
        <w:t>公告送出日期：</w:t>
      </w:r>
      <w:bookmarkStart w:id="0" w:name="PO_inscribe_date_head"/>
      <w:r w:rsidR="00731002">
        <w:rPr>
          <w:rFonts w:ascii="仿宋_GB2312" w:hAnsi="inherit" w:cs="宋体" w:hint="eastAsia"/>
          <w:b/>
          <w:kern w:val="0"/>
          <w:sz w:val="24"/>
        </w:rPr>
        <w:t>2024年07月15日</w:t>
      </w:r>
      <w:bookmarkEnd w:id="0"/>
    </w:p>
    <w:p w:rsidR="00360495" w:rsidRDefault="00360495" w:rsidP="00360495">
      <w:pPr>
        <w:widowControl/>
        <w:wordWrap w:val="0"/>
        <w:spacing w:line="560" w:lineRule="atLeast"/>
        <w:jc w:val="center"/>
        <w:rPr>
          <w:rFonts w:ascii="仿宋_GB2312" w:hAnsi="inherit" w:cs="宋体"/>
          <w:b/>
          <w:kern w:val="0"/>
          <w:sz w:val="24"/>
        </w:rPr>
      </w:pPr>
    </w:p>
    <w:p w:rsidR="00360495" w:rsidRDefault="00360495" w:rsidP="00360495">
      <w:pPr>
        <w:pStyle w:val="3"/>
        <w:ind w:firstLine="482"/>
        <w:rPr>
          <w:color w:val="333333"/>
        </w:rPr>
      </w:pPr>
      <w:bookmarkStart w:id="1" w:name="_Toc517881249"/>
      <w:r>
        <w:rPr>
          <w:bdr w:val="none" w:sz="0" w:space="0" w:color="auto" w:frame="1"/>
        </w:rPr>
        <w:t>1</w:t>
      </w:r>
      <w:r>
        <w:rPr>
          <w:rFonts w:hint="eastAsia"/>
          <w:bdr w:val="none" w:sz="0" w:space="0" w:color="auto" w:frame="1"/>
        </w:rPr>
        <w:t>、</w:t>
      </w:r>
      <w:r>
        <w:rPr>
          <w:rFonts w:hint="eastAsia"/>
        </w:rPr>
        <w:t>公告基本信息</w:t>
      </w:r>
      <w:bookmarkEnd w:id="1"/>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8"/>
        <w:gridCol w:w="2556"/>
        <w:gridCol w:w="2675"/>
        <w:gridCol w:w="2675"/>
      </w:tblGrid>
      <w:tr w:rsidR="00360495" w:rsidTr="0073100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spacing w:line="276" w:lineRule="auto"/>
              <w:jc w:val="left"/>
              <w:rPr>
                <w:rFonts w:ascii="仿宋_GB2312" w:hAnsi="inherit" w:cs="宋体"/>
                <w:color w:val="333333"/>
                <w:kern w:val="0"/>
                <w:sz w:val="24"/>
              </w:rPr>
            </w:pPr>
            <w:bookmarkStart w:id="2" w:name="PO_base_info_table"/>
            <w:r>
              <w:rPr>
                <w:rFonts w:ascii="仿宋_GB2312" w:hAnsi="inherit" w:cs="宋体" w:hint="eastAsia"/>
                <w:color w:val="000000"/>
                <w:kern w:val="0"/>
                <w:sz w:val="24"/>
              </w:rPr>
              <w:t>基金名称</w:t>
            </w:r>
          </w:p>
        </w:tc>
        <w:tc>
          <w:tcPr>
            <w:tcW w:w="5350" w:type="dxa"/>
            <w:gridSpan w:val="2"/>
            <w:shd w:val="clear" w:color="auto" w:fill="auto"/>
            <w:tcMar>
              <w:top w:w="0" w:type="dxa"/>
              <w:left w:w="108" w:type="dxa"/>
              <w:bottom w:w="0" w:type="dxa"/>
              <w:right w:w="108" w:type="dxa"/>
            </w:tcMar>
            <w:hideMark/>
          </w:tcPr>
          <w:p w:rsidR="00360495" w:rsidRDefault="00731002">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天弘纳斯达克100指数型发起式证券投资基金（QDII）</w:t>
            </w:r>
          </w:p>
        </w:tc>
      </w:tr>
      <w:tr w:rsidR="00360495" w:rsidTr="0073100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基金简称</w:t>
            </w:r>
          </w:p>
        </w:tc>
        <w:tc>
          <w:tcPr>
            <w:tcW w:w="5350" w:type="dxa"/>
            <w:gridSpan w:val="2"/>
            <w:shd w:val="clear" w:color="auto" w:fill="auto"/>
            <w:tcMar>
              <w:top w:w="0" w:type="dxa"/>
              <w:left w:w="108" w:type="dxa"/>
              <w:bottom w:w="0" w:type="dxa"/>
              <w:right w:w="108" w:type="dxa"/>
            </w:tcMar>
          </w:tcPr>
          <w:p w:rsidR="00360495" w:rsidRDefault="00731002">
            <w:pPr>
              <w:widowControl/>
              <w:spacing w:line="360" w:lineRule="auto"/>
              <w:jc w:val="left"/>
              <w:rPr>
                <w:rFonts w:ascii="仿宋_GB2312" w:hAnsi="inherit" w:cs="宋体"/>
                <w:color w:val="000000"/>
                <w:kern w:val="0"/>
                <w:sz w:val="24"/>
              </w:rPr>
            </w:pPr>
            <w:r>
              <w:rPr>
                <w:rFonts w:ascii="仿宋_GB2312" w:hAnsi="inherit" w:cs="宋体" w:hint="eastAsia"/>
                <w:color w:val="000000"/>
                <w:kern w:val="0"/>
                <w:sz w:val="24"/>
              </w:rPr>
              <w:t>天弘纳斯达克100指数发起（QDII）</w:t>
            </w:r>
          </w:p>
        </w:tc>
      </w:tr>
      <w:tr w:rsidR="00360495" w:rsidTr="0073100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基金主代码</w:t>
            </w:r>
          </w:p>
        </w:tc>
        <w:tc>
          <w:tcPr>
            <w:tcW w:w="5350" w:type="dxa"/>
            <w:gridSpan w:val="2"/>
            <w:shd w:val="clear" w:color="auto" w:fill="auto"/>
            <w:tcMar>
              <w:top w:w="0" w:type="dxa"/>
              <w:left w:w="108" w:type="dxa"/>
              <w:bottom w:w="0" w:type="dxa"/>
              <w:right w:w="108" w:type="dxa"/>
            </w:tcMar>
          </w:tcPr>
          <w:p w:rsidR="00360495" w:rsidRDefault="00731002">
            <w:pPr>
              <w:widowControl/>
              <w:spacing w:line="360" w:lineRule="auto"/>
              <w:jc w:val="left"/>
              <w:rPr>
                <w:rFonts w:ascii="仿宋_GB2312" w:hAnsi="inherit" w:cs="宋体"/>
                <w:color w:val="000000"/>
                <w:kern w:val="0"/>
                <w:sz w:val="24"/>
              </w:rPr>
            </w:pPr>
            <w:r>
              <w:rPr>
                <w:rFonts w:ascii="仿宋_GB2312" w:hAnsi="inherit" w:cs="宋体"/>
                <w:color w:val="000000"/>
                <w:kern w:val="0"/>
                <w:sz w:val="24"/>
              </w:rPr>
              <w:t>018043</w:t>
            </w:r>
          </w:p>
        </w:tc>
      </w:tr>
      <w:tr w:rsidR="00360495" w:rsidTr="00731002">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基金管理人名称</w:t>
            </w:r>
          </w:p>
        </w:tc>
        <w:tc>
          <w:tcPr>
            <w:tcW w:w="5350"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天弘基金管理有限公司</w:t>
            </w:r>
          </w:p>
        </w:tc>
      </w:tr>
      <w:tr w:rsidR="00360495" w:rsidTr="00731002">
        <w:trPr>
          <w:jc w:val="center"/>
        </w:trPr>
        <w:tc>
          <w:tcPr>
            <w:tcW w:w="3544" w:type="dxa"/>
            <w:gridSpan w:val="2"/>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公告依据</w:t>
            </w:r>
          </w:p>
        </w:tc>
        <w:tc>
          <w:tcPr>
            <w:tcW w:w="5350"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根据法律法规及《</w:t>
            </w:r>
            <w:r w:rsidR="00731002">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基金合同》、《</w:t>
            </w:r>
            <w:r w:rsidR="00731002">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招募说明书》等相关规定</w:t>
            </w:r>
          </w:p>
        </w:tc>
      </w:tr>
      <w:tr w:rsidR="00360495" w:rsidTr="00731002">
        <w:trPr>
          <w:jc w:val="center"/>
        </w:trPr>
        <w:tc>
          <w:tcPr>
            <w:tcW w:w="988" w:type="dxa"/>
            <w:vMerge w:val="restart"/>
            <w:shd w:val="clear" w:color="auto" w:fill="auto"/>
            <w:tcMar>
              <w:top w:w="0" w:type="dxa"/>
              <w:left w:w="108" w:type="dxa"/>
              <w:bottom w:w="0" w:type="dxa"/>
              <w:right w:w="108" w:type="dxa"/>
            </w:tcMar>
            <w:vAlign w:val="cente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暂停大额申购起始日</w:t>
            </w:r>
          </w:p>
        </w:tc>
        <w:tc>
          <w:tcPr>
            <w:tcW w:w="5350" w:type="dxa"/>
            <w:gridSpan w:val="2"/>
            <w:shd w:val="clear" w:color="auto" w:fill="auto"/>
            <w:tcMar>
              <w:top w:w="0" w:type="dxa"/>
              <w:left w:w="108" w:type="dxa"/>
              <w:bottom w:w="0" w:type="dxa"/>
              <w:right w:w="108" w:type="dxa"/>
            </w:tcMar>
            <w:hideMark/>
          </w:tcPr>
          <w:p w:rsidR="00360495" w:rsidRDefault="00731002">
            <w:pPr>
              <w:widowControl/>
              <w:wordWrap w:val="0"/>
              <w:spacing w:line="276" w:lineRule="auto"/>
              <w:jc w:val="left"/>
              <w:rPr>
                <w:rFonts w:ascii="仿宋_GB2312" w:hAnsi="inherit" w:cs="宋体"/>
                <w:color w:val="000000"/>
                <w:kern w:val="0"/>
                <w:sz w:val="24"/>
              </w:rPr>
            </w:pPr>
            <w:r>
              <w:rPr>
                <w:rFonts w:ascii="仿宋_GB2312" w:hAnsi="inherit" w:cs="宋体" w:hint="eastAsia"/>
                <w:kern w:val="0"/>
                <w:sz w:val="24"/>
              </w:rPr>
              <w:t>2024年07月16日</w:t>
            </w:r>
          </w:p>
        </w:tc>
      </w:tr>
      <w:tr w:rsidR="00360495" w:rsidTr="0073100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暂停大额定期定额投资起始日</w:t>
            </w:r>
          </w:p>
        </w:tc>
        <w:tc>
          <w:tcPr>
            <w:tcW w:w="5350" w:type="dxa"/>
            <w:gridSpan w:val="2"/>
            <w:shd w:val="clear" w:color="auto" w:fill="auto"/>
            <w:tcMar>
              <w:top w:w="0" w:type="dxa"/>
              <w:left w:w="108" w:type="dxa"/>
              <w:bottom w:w="0" w:type="dxa"/>
              <w:right w:w="108" w:type="dxa"/>
            </w:tcMar>
            <w:vAlign w:val="center"/>
            <w:hideMark/>
          </w:tcPr>
          <w:p w:rsidR="00360495" w:rsidRDefault="00731002">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2024年07月16日</w:t>
            </w:r>
          </w:p>
        </w:tc>
      </w:tr>
      <w:tr w:rsidR="00360495" w:rsidTr="0073100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限制申购金额（单位：人民币元）</w:t>
            </w:r>
          </w:p>
        </w:tc>
        <w:tc>
          <w:tcPr>
            <w:tcW w:w="5350" w:type="dxa"/>
            <w:gridSpan w:val="2"/>
            <w:shd w:val="clear" w:color="auto" w:fill="auto"/>
            <w:tcMar>
              <w:top w:w="0" w:type="dxa"/>
              <w:left w:w="108" w:type="dxa"/>
              <w:bottom w:w="0" w:type="dxa"/>
              <w:right w:w="108" w:type="dxa"/>
            </w:tcMar>
            <w:vAlign w:val="center"/>
            <w:hideMark/>
          </w:tcPr>
          <w:p w:rsidR="00360495" w:rsidRDefault="00731002">
            <w:pPr>
              <w:tabs>
                <w:tab w:val="left" w:pos="708"/>
              </w:tabs>
              <w:spacing w:line="276" w:lineRule="auto"/>
              <w:rPr>
                <w:rFonts w:ascii="仿宋_GB2312" w:hAnsi="inherit" w:cs="宋体"/>
                <w:color w:val="000000"/>
                <w:kern w:val="0"/>
                <w:sz w:val="24"/>
              </w:rPr>
            </w:pPr>
            <w:r>
              <w:rPr>
                <w:rFonts w:ascii="仿宋_GB2312" w:hAnsi="inherit" w:cs="宋体"/>
                <w:kern w:val="0"/>
                <w:sz w:val="24"/>
              </w:rPr>
              <w:t>1</w:t>
            </w:r>
            <w:bookmarkStart w:id="3" w:name="_GoBack"/>
            <w:r>
              <w:rPr>
                <w:rFonts w:ascii="仿宋_GB2312" w:hAnsi="inherit" w:cs="宋体"/>
                <w:kern w:val="0"/>
                <w:sz w:val="24"/>
              </w:rPr>
              <w:t>0,000</w:t>
            </w:r>
            <w:bookmarkEnd w:id="3"/>
            <w:r>
              <w:rPr>
                <w:rFonts w:ascii="仿宋_GB2312" w:hAnsi="inherit" w:cs="宋体"/>
                <w:kern w:val="0"/>
                <w:sz w:val="24"/>
              </w:rPr>
              <w:t>.00</w:t>
            </w:r>
          </w:p>
        </w:tc>
      </w:tr>
      <w:tr w:rsidR="00360495" w:rsidTr="00731002">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限制定期定额投资金额（单位：人民币元）</w:t>
            </w:r>
          </w:p>
        </w:tc>
        <w:tc>
          <w:tcPr>
            <w:tcW w:w="5350" w:type="dxa"/>
            <w:gridSpan w:val="2"/>
            <w:shd w:val="clear" w:color="auto" w:fill="auto"/>
            <w:tcMar>
              <w:top w:w="0" w:type="dxa"/>
              <w:left w:w="108" w:type="dxa"/>
              <w:bottom w:w="0" w:type="dxa"/>
              <w:right w:w="108" w:type="dxa"/>
            </w:tcMar>
            <w:vAlign w:val="center"/>
            <w:hideMark/>
          </w:tcPr>
          <w:p w:rsidR="00360495" w:rsidRDefault="00731002">
            <w:pPr>
              <w:tabs>
                <w:tab w:val="left" w:pos="708"/>
              </w:tabs>
              <w:spacing w:line="276" w:lineRule="auto"/>
              <w:rPr>
                <w:rFonts w:ascii="仿宋_GB2312" w:hAnsi="inherit" w:cs="宋体"/>
                <w:color w:val="000000"/>
                <w:kern w:val="0"/>
                <w:sz w:val="24"/>
              </w:rPr>
            </w:pPr>
            <w:r>
              <w:rPr>
                <w:rFonts w:ascii="仿宋_GB2312" w:hAnsi="inherit" w:cs="宋体"/>
                <w:kern w:val="0"/>
                <w:sz w:val="24"/>
              </w:rPr>
              <w:t>10,000.00</w:t>
            </w:r>
          </w:p>
        </w:tc>
      </w:tr>
      <w:tr w:rsidR="00360495" w:rsidTr="00731002">
        <w:trPr>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暂停大额申购</w:t>
            </w:r>
            <w:r w:rsidR="00731002">
              <w:rPr>
                <w:rFonts w:ascii="仿宋_GB2312" w:hAnsi="inherit" w:cs="宋体" w:hint="eastAsia"/>
                <w:kern w:val="0"/>
                <w:sz w:val="24"/>
              </w:rPr>
              <w:t>（定期定额投资）</w:t>
            </w:r>
            <w:r>
              <w:rPr>
                <w:rFonts w:ascii="仿宋_GB2312" w:hAnsi="inherit" w:cs="宋体" w:hint="eastAsia"/>
                <w:color w:val="000000"/>
                <w:kern w:val="0"/>
                <w:sz w:val="24"/>
              </w:rPr>
              <w:t>的原因说明</w:t>
            </w:r>
          </w:p>
        </w:tc>
        <w:tc>
          <w:tcPr>
            <w:tcW w:w="5350" w:type="dxa"/>
            <w:gridSpan w:val="2"/>
            <w:shd w:val="clear" w:color="auto" w:fill="auto"/>
            <w:tcMar>
              <w:top w:w="0" w:type="dxa"/>
              <w:left w:w="108" w:type="dxa"/>
              <w:bottom w:w="0" w:type="dxa"/>
              <w:right w:w="108" w:type="dxa"/>
            </w:tcMar>
            <w:hideMark/>
          </w:tcPr>
          <w:p w:rsidR="00360495" w:rsidRDefault="00360495">
            <w:pPr>
              <w:tabs>
                <w:tab w:val="left" w:pos="708"/>
              </w:tabs>
              <w:spacing w:line="276" w:lineRule="auto"/>
              <w:rPr>
                <w:rFonts w:ascii="仿宋_GB2312" w:hAnsi="inherit" w:cs="宋体"/>
                <w:color w:val="000000"/>
                <w:kern w:val="0"/>
                <w:sz w:val="24"/>
              </w:rPr>
            </w:pPr>
            <w:r>
              <w:rPr>
                <w:rFonts w:ascii="仿宋_GB2312" w:hAnsi="inherit" w:cs="宋体" w:hint="eastAsia"/>
                <w:color w:val="000000"/>
                <w:kern w:val="0"/>
                <w:sz w:val="24"/>
              </w:rPr>
              <w:t>为了保证基金的平稳运作，保护基金份额持有人利益。</w:t>
            </w:r>
          </w:p>
        </w:tc>
      </w:tr>
      <w:tr w:rsidR="00731002" w:rsidTr="00F103A0">
        <w:trPr>
          <w:jc w:val="center"/>
        </w:trPr>
        <w:tc>
          <w:tcPr>
            <w:tcW w:w="988" w:type="dxa"/>
            <w:vMerge w:val="restart"/>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731002" w:rsidRDefault="00731002">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100指数发起（QDII）A</w:t>
            </w:r>
          </w:p>
        </w:tc>
        <w:tc>
          <w:tcPr>
            <w:tcW w:w="0" w:type="auto"/>
            <w:shd w:val="clear" w:color="auto" w:fill="auto"/>
            <w:tcMar>
              <w:top w:w="0" w:type="dxa"/>
              <w:left w:w="108" w:type="dxa"/>
              <w:bottom w:w="0" w:type="dxa"/>
              <w:right w:w="108" w:type="dxa"/>
            </w:tcMar>
          </w:tcPr>
          <w:p w:rsidR="00731002" w:rsidRDefault="00731002">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100指数发起（QDII）C</w:t>
            </w:r>
          </w:p>
        </w:tc>
      </w:tr>
      <w:tr w:rsidR="00731002" w:rsidTr="009F34B8">
        <w:trPr>
          <w:jc w:val="center"/>
        </w:trPr>
        <w:tc>
          <w:tcPr>
            <w:tcW w:w="0" w:type="auto"/>
            <w:vMerge/>
            <w:shd w:val="clear" w:color="auto" w:fill="auto"/>
            <w:vAlign w:val="center"/>
            <w:hideMark/>
          </w:tcPr>
          <w:p w:rsidR="00731002" w:rsidRDefault="00731002">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731002" w:rsidRDefault="00731002">
            <w:pPr>
              <w:spacing w:line="500" w:lineRule="exact"/>
              <w:rPr>
                <w:rFonts w:ascii="仿宋_GB2312" w:hAnsi="宋体"/>
                <w:sz w:val="24"/>
              </w:rPr>
            </w:pPr>
            <w:r>
              <w:rPr>
                <w:rFonts w:ascii="仿宋_GB2312" w:hAnsi="宋体"/>
                <w:sz w:val="24"/>
              </w:rPr>
              <w:t>018043</w:t>
            </w:r>
          </w:p>
        </w:tc>
        <w:tc>
          <w:tcPr>
            <w:tcW w:w="0" w:type="auto"/>
            <w:shd w:val="clear" w:color="auto" w:fill="auto"/>
            <w:tcMar>
              <w:top w:w="0" w:type="dxa"/>
              <w:left w:w="108" w:type="dxa"/>
              <w:bottom w:w="0" w:type="dxa"/>
              <w:right w:w="108" w:type="dxa"/>
            </w:tcMar>
          </w:tcPr>
          <w:p w:rsidR="00731002" w:rsidRDefault="00731002">
            <w:pPr>
              <w:spacing w:line="500" w:lineRule="exact"/>
              <w:rPr>
                <w:rFonts w:ascii="仿宋_GB2312" w:hAnsi="宋体"/>
                <w:sz w:val="24"/>
              </w:rPr>
            </w:pPr>
            <w:r>
              <w:rPr>
                <w:rFonts w:ascii="仿宋_GB2312" w:hAnsi="宋体"/>
                <w:sz w:val="24"/>
              </w:rPr>
              <w:t>018044</w:t>
            </w:r>
          </w:p>
        </w:tc>
      </w:tr>
      <w:tr w:rsidR="00731002" w:rsidTr="00574C74">
        <w:trPr>
          <w:trHeight w:val="674"/>
          <w:jc w:val="center"/>
        </w:trPr>
        <w:tc>
          <w:tcPr>
            <w:tcW w:w="0" w:type="auto"/>
            <w:vMerge/>
            <w:shd w:val="clear" w:color="auto" w:fill="auto"/>
            <w:vAlign w:val="center"/>
            <w:hideMark/>
          </w:tcPr>
          <w:p w:rsidR="00731002" w:rsidRDefault="00731002">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该分级基金是否暂停大额申购</w:t>
            </w:r>
            <w:r>
              <w:rPr>
                <w:rFonts w:ascii="仿宋_GB2312" w:hAnsi="inherit" w:cs="宋体" w:hint="eastAsia"/>
                <w:kern w:val="0"/>
                <w:sz w:val="24"/>
              </w:rPr>
              <w:t xml:space="preserve">（定期定额投资） </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731002" w:rsidRDefault="00731002">
            <w:pPr>
              <w:spacing w:line="500" w:lineRule="exact"/>
              <w:rPr>
                <w:rFonts w:ascii="仿宋_GB2312" w:hAnsi="宋体"/>
                <w:sz w:val="24"/>
              </w:rPr>
            </w:pPr>
            <w:r>
              <w:rPr>
                <w:rFonts w:ascii="仿宋_GB2312" w:hAnsi="宋体" w:hint="eastAsia"/>
                <w:sz w:val="24"/>
              </w:rPr>
              <w:t>是</w:t>
            </w:r>
          </w:p>
        </w:tc>
      </w:tr>
    </w:tbl>
    <w:p w:rsidR="00360495" w:rsidRDefault="00360495" w:rsidP="00360495">
      <w:pPr>
        <w:pStyle w:val="3"/>
        <w:ind w:firstLine="482"/>
        <w:rPr>
          <w:color w:val="333333"/>
        </w:rPr>
      </w:pPr>
      <w:bookmarkStart w:id="4" w:name="_Toc517881250"/>
      <w:bookmarkEnd w:id="2"/>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（1）本公司决定自</w:t>
      </w:r>
      <w:r w:rsidR="00731002">
        <w:rPr>
          <w:rFonts w:ascii="仿宋_GB2312" w:hAnsi="inherit" w:cs="宋体" w:hint="eastAsia"/>
          <w:color w:val="000000"/>
          <w:kern w:val="0"/>
          <w:sz w:val="24"/>
        </w:rPr>
        <w:t>2024年07月16日</w:t>
      </w:r>
      <w:r>
        <w:rPr>
          <w:rFonts w:ascii="仿宋_GB2312" w:hAnsi="inherit" w:cs="宋体" w:hint="eastAsia"/>
          <w:color w:val="000000"/>
          <w:kern w:val="0"/>
          <w:sz w:val="24"/>
        </w:rPr>
        <w:t>起，调整</w:t>
      </w:r>
      <w:r w:rsidR="00731002">
        <w:rPr>
          <w:rFonts w:ascii="仿宋_GB2312" w:hAnsi="inherit" w:cs="宋体" w:hint="eastAsia"/>
          <w:color w:val="000000"/>
          <w:kern w:val="0"/>
          <w:sz w:val="24"/>
        </w:rPr>
        <w:t>天弘纳斯达克100指数型发起式证券投资基金（QDII）</w:t>
      </w:r>
      <w:r>
        <w:rPr>
          <w:rFonts w:ascii="仿宋_GB2312" w:hAnsi="inherit" w:cs="宋体" w:hint="eastAsia"/>
          <w:color w:val="000000"/>
          <w:kern w:val="0"/>
          <w:sz w:val="24"/>
        </w:rPr>
        <w:t>（以下简称“本基金”）大额申购</w:t>
      </w:r>
      <w:r w:rsidR="00731002">
        <w:rPr>
          <w:rFonts w:ascii="仿宋_GB2312" w:hAnsi="inherit" w:cs="宋体" w:hint="eastAsia"/>
          <w:color w:val="000000"/>
          <w:kern w:val="0"/>
          <w:sz w:val="24"/>
        </w:rPr>
        <w:t>（含定期定额投资）</w:t>
      </w:r>
      <w:r>
        <w:rPr>
          <w:rFonts w:ascii="仿宋_GB2312" w:hAnsi="inherit" w:cs="宋体" w:hint="eastAsia"/>
          <w:color w:val="000000"/>
          <w:kern w:val="0"/>
          <w:sz w:val="24"/>
        </w:rPr>
        <w:t>业务金额限制，调整为暂停本基金</w:t>
      </w:r>
      <w:r w:rsidR="00731002" w:rsidRPr="00731002">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731002">
        <w:rPr>
          <w:rFonts w:ascii="仿宋_GB2312" w:hAnsi="inherit" w:cs="宋体" w:hint="eastAsia"/>
          <w:color w:val="000000"/>
          <w:kern w:val="0"/>
          <w:sz w:val="24"/>
        </w:rPr>
        <w:t>1万元</w:t>
      </w:r>
      <w:r>
        <w:rPr>
          <w:rFonts w:ascii="仿宋_GB2312" w:hAnsi="inherit" w:cs="宋体" w:hint="eastAsia"/>
          <w:color w:val="000000"/>
          <w:kern w:val="0"/>
          <w:sz w:val="24"/>
        </w:rPr>
        <w:t>以上（不含</w:t>
      </w:r>
      <w:r w:rsidR="00731002">
        <w:rPr>
          <w:rFonts w:ascii="仿宋_GB2312" w:hAnsi="inherit" w:cs="宋体" w:hint="eastAsia"/>
          <w:color w:val="000000"/>
          <w:kern w:val="0"/>
          <w:sz w:val="24"/>
        </w:rPr>
        <w:t>1万元</w:t>
      </w:r>
      <w:r>
        <w:rPr>
          <w:rFonts w:ascii="仿宋_GB2312" w:hAnsi="inherit" w:cs="宋体" w:hint="eastAsia"/>
          <w:color w:val="000000"/>
          <w:kern w:val="0"/>
          <w:sz w:val="24"/>
        </w:rPr>
        <w:t>）的申购</w:t>
      </w:r>
      <w:r w:rsidR="00731002">
        <w:rPr>
          <w:rFonts w:ascii="仿宋_GB2312" w:hAnsi="inherit" w:cs="宋体" w:hint="eastAsia"/>
          <w:color w:val="000000"/>
          <w:kern w:val="0"/>
          <w:sz w:val="24"/>
        </w:rPr>
        <w:t>（含定期定额投资）</w:t>
      </w:r>
      <w:r>
        <w:rPr>
          <w:rFonts w:ascii="仿宋_GB2312" w:hAnsi="inherit" w:cs="宋体" w:hint="eastAsia"/>
          <w:color w:val="000000"/>
          <w:kern w:val="0"/>
          <w:sz w:val="24"/>
        </w:rPr>
        <w:t>业务申请，且单个基金账户单日累计申购</w:t>
      </w:r>
      <w:r w:rsidR="00731002" w:rsidRPr="00731002">
        <w:rPr>
          <w:rFonts w:ascii="仿宋_GB2312" w:hAnsi="inherit" w:cs="宋体" w:hint="eastAsia"/>
          <w:color w:val="000000"/>
          <w:kern w:val="0"/>
          <w:sz w:val="24"/>
        </w:rPr>
        <w:t>单个基金份额</w:t>
      </w:r>
      <w:r>
        <w:rPr>
          <w:rFonts w:ascii="仿宋_GB2312" w:hAnsi="inherit" w:cs="宋体" w:hint="eastAsia"/>
          <w:color w:val="000000"/>
          <w:kern w:val="0"/>
          <w:sz w:val="24"/>
        </w:rPr>
        <w:t>的金额不得超过</w:t>
      </w:r>
      <w:r w:rsidR="00731002">
        <w:rPr>
          <w:rFonts w:ascii="仿宋_GB2312" w:hAnsi="inherit" w:cs="宋体" w:hint="eastAsia"/>
          <w:color w:val="000000"/>
          <w:kern w:val="0"/>
          <w:sz w:val="24"/>
        </w:rPr>
        <w:t>1万元</w:t>
      </w:r>
      <w:r>
        <w:rPr>
          <w:rFonts w:ascii="仿宋_GB2312" w:hAnsi="inherit" w:cs="宋体" w:hint="eastAsia"/>
          <w:color w:val="000000"/>
          <w:kern w:val="0"/>
          <w:sz w:val="24"/>
        </w:rPr>
        <w:t>（不含</w:t>
      </w:r>
      <w:r w:rsidR="00731002">
        <w:rPr>
          <w:rFonts w:ascii="仿宋_GB2312" w:hAnsi="inherit" w:cs="宋体" w:hint="eastAsia"/>
          <w:color w:val="000000"/>
          <w:kern w:val="0"/>
          <w:sz w:val="24"/>
        </w:rPr>
        <w:t>1万元</w:t>
      </w:r>
      <w:r>
        <w:rPr>
          <w:rFonts w:ascii="仿宋_GB2312" w:hAnsi="inherit" w:cs="宋体" w:hint="eastAsia"/>
          <w:color w:val="000000"/>
          <w:kern w:val="0"/>
          <w:sz w:val="24"/>
        </w:rPr>
        <w:t>）。如单日累计申购</w:t>
      </w:r>
      <w:r w:rsidR="00731002" w:rsidRPr="00731002">
        <w:rPr>
          <w:rFonts w:ascii="仿宋_GB2312" w:hAnsi="inherit" w:cs="宋体" w:hint="eastAsia"/>
          <w:color w:val="000000"/>
          <w:kern w:val="0"/>
          <w:sz w:val="24"/>
        </w:rPr>
        <w:t>单个基金份额</w:t>
      </w:r>
      <w:r w:rsidR="00731002">
        <w:rPr>
          <w:rFonts w:ascii="仿宋_GB2312" w:hAnsi="inherit" w:cs="宋体" w:hint="eastAsia"/>
          <w:color w:val="000000"/>
          <w:kern w:val="0"/>
          <w:sz w:val="24"/>
        </w:rPr>
        <w:t>的</w:t>
      </w:r>
      <w:r>
        <w:rPr>
          <w:rFonts w:ascii="仿宋_GB2312" w:hAnsi="inherit" w:cs="宋体" w:hint="eastAsia"/>
          <w:color w:val="000000"/>
          <w:kern w:val="0"/>
          <w:sz w:val="24"/>
        </w:rPr>
        <w:t>金额超过</w:t>
      </w:r>
      <w:r w:rsidR="00731002">
        <w:rPr>
          <w:rFonts w:ascii="仿宋_GB2312" w:hAnsi="inherit" w:cs="宋体" w:hint="eastAsia"/>
          <w:color w:val="000000"/>
          <w:kern w:val="0"/>
          <w:sz w:val="24"/>
        </w:rPr>
        <w:t>1万元</w:t>
      </w:r>
      <w:r>
        <w:rPr>
          <w:rFonts w:ascii="仿宋_GB2312" w:hAnsi="inherit" w:cs="宋体" w:hint="eastAsia"/>
          <w:color w:val="000000"/>
          <w:kern w:val="0"/>
          <w:sz w:val="24"/>
        </w:rPr>
        <w:t>，本公司有权拒绝。</w:t>
      </w:r>
    </w:p>
    <w:p w:rsidR="00360495" w:rsidRDefault="00360495" w:rsidP="00360495">
      <w:pPr>
        <w:widowControl/>
        <w:wordWrap w:val="0"/>
        <w:spacing w:line="360" w:lineRule="auto"/>
        <w:ind w:firstLine="240"/>
        <w:rPr>
          <w:rFonts w:ascii="仿宋_GB2312" w:hAnsi="inherit" w:cs="宋体"/>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020286">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731002">
        <w:rPr>
          <w:rFonts w:ascii="仿宋_GB2312" w:hAnsi="inherit" w:cs="宋体" w:hint="eastAsia"/>
          <w:color w:val="000000"/>
          <w:kern w:val="0"/>
          <w:sz w:val="24"/>
        </w:rPr>
        <w:t>（含定期定额投资）</w:t>
      </w:r>
      <w:r>
        <w:rPr>
          <w:rFonts w:ascii="仿宋_GB2312" w:hAnsi="inherit" w:cs="宋体" w:hint="eastAsia"/>
          <w:color w:val="000000"/>
          <w:kern w:val="0"/>
          <w:sz w:val="24"/>
        </w:rPr>
        <w:t>业务的具体时间，本公司将另行公告。</w:t>
      </w: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360495" w:rsidRDefault="00360495" w:rsidP="00360495">
      <w:pPr>
        <w:widowControl/>
        <w:wordWrap w:val="0"/>
        <w:spacing w:line="360" w:lineRule="auto"/>
        <w:ind w:firstLine="240"/>
        <w:rPr>
          <w:rFonts w:ascii="仿宋_GB2312" w:hAnsi="inherit" w:cs="宋体"/>
          <w:color w:val="000000"/>
          <w:kern w:val="0"/>
          <w:sz w:val="24"/>
        </w:rPr>
      </w:pP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 xml:space="preserve">  风险提示： </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本公司承诺以诚实信用、勤勉尽责的原则管理和运用基金资产，但不保证基金一定盈利，也不保证最低收益。敬请投资者留意投资风险。</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特此公告。</w:t>
      </w:r>
    </w:p>
    <w:p w:rsidR="00360495" w:rsidRDefault="00360495" w:rsidP="00360495">
      <w:pPr>
        <w:widowControl/>
        <w:spacing w:line="480" w:lineRule="atLeast"/>
        <w:ind w:right="480"/>
        <w:rPr>
          <w:rFonts w:ascii="仿宋_GB2312" w:hAnsi="inherit" w:cs="宋体"/>
          <w:color w:val="000000"/>
          <w:kern w:val="0"/>
          <w:sz w:val="24"/>
        </w:rPr>
      </w:pPr>
    </w:p>
    <w:p w:rsidR="00360495" w:rsidRDefault="00360495" w:rsidP="00360495">
      <w:pPr>
        <w:widowControl/>
        <w:spacing w:line="480" w:lineRule="atLeast"/>
        <w:ind w:firstLine="480"/>
        <w:jc w:val="right"/>
        <w:rPr>
          <w:rFonts w:ascii="仿宋_GB2312" w:hAnsi="inherit" w:cs="宋体"/>
          <w:color w:val="000000"/>
          <w:kern w:val="0"/>
          <w:sz w:val="24"/>
        </w:rPr>
      </w:pPr>
      <w:r>
        <w:rPr>
          <w:rFonts w:ascii="仿宋_GB2312" w:hAnsi="inherit" w:cs="宋体" w:hint="eastAsia"/>
          <w:color w:val="000000"/>
          <w:kern w:val="0"/>
          <w:sz w:val="24"/>
        </w:rPr>
        <w:t xml:space="preserve"> 天弘基金管理有限公司</w:t>
      </w:r>
    </w:p>
    <w:p w:rsidR="00360495" w:rsidRDefault="00731002" w:rsidP="00360495">
      <w:pPr>
        <w:widowControl/>
        <w:spacing w:line="480" w:lineRule="atLeast"/>
        <w:ind w:firstLine="480"/>
        <w:jc w:val="right"/>
        <w:rPr>
          <w:rFonts w:ascii="仿宋_GB2312" w:hAnsi="inherit" w:cs="宋体"/>
          <w:color w:val="000000"/>
          <w:kern w:val="0"/>
          <w:sz w:val="24"/>
        </w:rPr>
      </w:pPr>
      <w:bookmarkStart w:id="5" w:name="PO_inscribe_date_end"/>
      <w:r>
        <w:rPr>
          <w:rFonts w:ascii="仿宋_GB2312" w:hAnsi="inherit" w:cs="宋体" w:hint="eastAsia"/>
          <w:kern w:val="0"/>
          <w:sz w:val="24"/>
        </w:rPr>
        <w:t>二〇二四年七月十五日</w:t>
      </w:r>
      <w:bookmarkEnd w:id="5"/>
      <w:r w:rsidR="00360495">
        <w:rPr>
          <w:rFonts w:ascii="仿宋_GB2312" w:hAnsi="inherit" w:cs="宋体" w:hint="eastAsia"/>
          <w:color w:val="000000"/>
          <w:kern w:val="0"/>
          <w:sz w:val="24"/>
        </w:rPr>
        <w:t xml:space="preserve"> </w:t>
      </w:r>
    </w:p>
    <w:p w:rsidR="00360495" w:rsidRDefault="00360495" w:rsidP="00360495">
      <w:pPr>
        <w:widowControl/>
        <w:jc w:val="left"/>
      </w:pPr>
    </w:p>
    <w:p w:rsidR="00360495" w:rsidRDefault="00360495" w:rsidP="00360495"/>
    <w:p w:rsidR="00360495" w:rsidRDefault="00360495" w:rsidP="00360495"/>
    <w:p w:rsidR="00540289" w:rsidRPr="00360495" w:rsidRDefault="00540289" w:rsidP="00360495"/>
    <w:sectPr w:rsidR="00540289" w:rsidRPr="00360495" w:rsidSect="003902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A4" w:rsidRDefault="00E75AA4" w:rsidP="00D83A33">
      <w:r>
        <w:separator/>
      </w:r>
    </w:p>
  </w:endnote>
  <w:endnote w:type="continuationSeparator" w:id="0">
    <w:p w:rsidR="00E75AA4" w:rsidRDefault="00E75AA4"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A4" w:rsidRDefault="00E75AA4" w:rsidP="00D83A33">
      <w:r>
        <w:separator/>
      </w:r>
    </w:p>
  </w:footnote>
  <w:footnote w:type="continuationSeparator" w:id="0">
    <w:p w:rsidR="00E75AA4" w:rsidRDefault="00E75AA4"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20286"/>
    <w:rsid w:val="00022A4A"/>
    <w:rsid w:val="00046385"/>
    <w:rsid w:val="000605B3"/>
    <w:rsid w:val="00091D05"/>
    <w:rsid w:val="000A333D"/>
    <w:rsid w:val="000A5CAC"/>
    <w:rsid w:val="000B798D"/>
    <w:rsid w:val="000C6A08"/>
    <w:rsid w:val="000D2113"/>
    <w:rsid w:val="000D22E3"/>
    <w:rsid w:val="000D6A76"/>
    <w:rsid w:val="000E06A1"/>
    <w:rsid w:val="000F00BC"/>
    <w:rsid w:val="000F41AF"/>
    <w:rsid w:val="00101575"/>
    <w:rsid w:val="00177D38"/>
    <w:rsid w:val="00177E30"/>
    <w:rsid w:val="00187424"/>
    <w:rsid w:val="001B14DD"/>
    <w:rsid w:val="001B5135"/>
    <w:rsid w:val="001B6A3D"/>
    <w:rsid w:val="001C20A2"/>
    <w:rsid w:val="001D370A"/>
    <w:rsid w:val="00234E79"/>
    <w:rsid w:val="0023630D"/>
    <w:rsid w:val="002444EE"/>
    <w:rsid w:val="00244509"/>
    <w:rsid w:val="00246716"/>
    <w:rsid w:val="00254778"/>
    <w:rsid w:val="00265547"/>
    <w:rsid w:val="00270D5B"/>
    <w:rsid w:val="0029189C"/>
    <w:rsid w:val="002A2673"/>
    <w:rsid w:val="002C442C"/>
    <w:rsid w:val="002E6614"/>
    <w:rsid w:val="00312430"/>
    <w:rsid w:val="00334127"/>
    <w:rsid w:val="00344D21"/>
    <w:rsid w:val="00353495"/>
    <w:rsid w:val="00360495"/>
    <w:rsid w:val="00373507"/>
    <w:rsid w:val="003769FD"/>
    <w:rsid w:val="0038418E"/>
    <w:rsid w:val="0039024E"/>
    <w:rsid w:val="00390DE1"/>
    <w:rsid w:val="003A2424"/>
    <w:rsid w:val="003C4088"/>
    <w:rsid w:val="003E67A6"/>
    <w:rsid w:val="004163B3"/>
    <w:rsid w:val="0042699A"/>
    <w:rsid w:val="004401AA"/>
    <w:rsid w:val="00441A75"/>
    <w:rsid w:val="00456642"/>
    <w:rsid w:val="00463062"/>
    <w:rsid w:val="004702C9"/>
    <w:rsid w:val="004819C9"/>
    <w:rsid w:val="004B06FA"/>
    <w:rsid w:val="004F5776"/>
    <w:rsid w:val="004F58F5"/>
    <w:rsid w:val="00507EA1"/>
    <w:rsid w:val="0051209B"/>
    <w:rsid w:val="0052236C"/>
    <w:rsid w:val="00523661"/>
    <w:rsid w:val="00540289"/>
    <w:rsid w:val="0054649D"/>
    <w:rsid w:val="0054755C"/>
    <w:rsid w:val="005576D1"/>
    <w:rsid w:val="005640AB"/>
    <w:rsid w:val="00572C54"/>
    <w:rsid w:val="005944ED"/>
    <w:rsid w:val="005D71DD"/>
    <w:rsid w:val="006069A1"/>
    <w:rsid w:val="00626F00"/>
    <w:rsid w:val="00627E33"/>
    <w:rsid w:val="006359B7"/>
    <w:rsid w:val="006601A5"/>
    <w:rsid w:val="00660ABF"/>
    <w:rsid w:val="006629CE"/>
    <w:rsid w:val="006713F8"/>
    <w:rsid w:val="00672086"/>
    <w:rsid w:val="00672DDB"/>
    <w:rsid w:val="006857BF"/>
    <w:rsid w:val="006A14FA"/>
    <w:rsid w:val="006A150D"/>
    <w:rsid w:val="006B1CEF"/>
    <w:rsid w:val="006C31A4"/>
    <w:rsid w:val="006D4EB0"/>
    <w:rsid w:val="006F37C2"/>
    <w:rsid w:val="006F624B"/>
    <w:rsid w:val="007059CB"/>
    <w:rsid w:val="00717437"/>
    <w:rsid w:val="00731002"/>
    <w:rsid w:val="00743B7D"/>
    <w:rsid w:val="00751A06"/>
    <w:rsid w:val="00752517"/>
    <w:rsid w:val="007D543F"/>
    <w:rsid w:val="007E333F"/>
    <w:rsid w:val="007E523D"/>
    <w:rsid w:val="007F1A0A"/>
    <w:rsid w:val="007F2733"/>
    <w:rsid w:val="007F7F98"/>
    <w:rsid w:val="0080588D"/>
    <w:rsid w:val="0082133F"/>
    <w:rsid w:val="008224D4"/>
    <w:rsid w:val="00874A50"/>
    <w:rsid w:val="008768D8"/>
    <w:rsid w:val="008A4909"/>
    <w:rsid w:val="008D5972"/>
    <w:rsid w:val="008E1D70"/>
    <w:rsid w:val="008E7499"/>
    <w:rsid w:val="00912733"/>
    <w:rsid w:val="00926C6A"/>
    <w:rsid w:val="00954CCF"/>
    <w:rsid w:val="0097729B"/>
    <w:rsid w:val="009A416E"/>
    <w:rsid w:val="00A156C7"/>
    <w:rsid w:val="00A408E3"/>
    <w:rsid w:val="00A42E3C"/>
    <w:rsid w:val="00A45D57"/>
    <w:rsid w:val="00A52506"/>
    <w:rsid w:val="00A532D2"/>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A3BC3"/>
    <w:rsid w:val="00BB1CB5"/>
    <w:rsid w:val="00BB6CC1"/>
    <w:rsid w:val="00BB7CE7"/>
    <w:rsid w:val="00BF7782"/>
    <w:rsid w:val="00C00EBB"/>
    <w:rsid w:val="00C04B74"/>
    <w:rsid w:val="00C12B9E"/>
    <w:rsid w:val="00C175AD"/>
    <w:rsid w:val="00C31B62"/>
    <w:rsid w:val="00C452E1"/>
    <w:rsid w:val="00C50E55"/>
    <w:rsid w:val="00C607A3"/>
    <w:rsid w:val="00C60EAF"/>
    <w:rsid w:val="00C639A3"/>
    <w:rsid w:val="00C64130"/>
    <w:rsid w:val="00C64493"/>
    <w:rsid w:val="00C75D50"/>
    <w:rsid w:val="00C868AD"/>
    <w:rsid w:val="00CC0B61"/>
    <w:rsid w:val="00D01D36"/>
    <w:rsid w:val="00D06D3C"/>
    <w:rsid w:val="00D07F0F"/>
    <w:rsid w:val="00D756ED"/>
    <w:rsid w:val="00D83A33"/>
    <w:rsid w:val="00D958FD"/>
    <w:rsid w:val="00D973C9"/>
    <w:rsid w:val="00DB5D02"/>
    <w:rsid w:val="00DD0D2B"/>
    <w:rsid w:val="00DD480D"/>
    <w:rsid w:val="00DF2527"/>
    <w:rsid w:val="00E46C56"/>
    <w:rsid w:val="00E72FD8"/>
    <w:rsid w:val="00E74862"/>
    <w:rsid w:val="00E75AA4"/>
    <w:rsid w:val="00E76063"/>
    <w:rsid w:val="00E966B1"/>
    <w:rsid w:val="00EB2537"/>
    <w:rsid w:val="00EB544B"/>
    <w:rsid w:val="00EC3A3E"/>
    <w:rsid w:val="00EC3FE4"/>
    <w:rsid w:val="00ED39F3"/>
    <w:rsid w:val="00F03165"/>
    <w:rsid w:val="00F0550D"/>
    <w:rsid w:val="00F50831"/>
    <w:rsid w:val="00F51A6F"/>
    <w:rsid w:val="00F52776"/>
    <w:rsid w:val="00F534FC"/>
    <w:rsid w:val="00F818F6"/>
    <w:rsid w:val="00F96DAB"/>
    <w:rsid w:val="00FB36C8"/>
    <w:rsid w:val="00FC36EE"/>
    <w:rsid w:val="00FC562D"/>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CFE6-4720-49B6-BB45-34632CEE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4</DocSecurity>
  <Lines>7</Lines>
  <Paragraphs>2</Paragraphs>
  <ScaleCrop>false</ScaleCrop>
  <Company>Microsoft</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2024-07-14T16:00:00Z</dcterms:created>
  <dcterms:modified xsi:type="dcterms:W3CDTF">2024-07-14T16:00:00Z</dcterms:modified>
</cp:coreProperties>
</file>