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88" w:rsidRDefault="000E5188"/>
    <w:p w:rsidR="000E5188" w:rsidRDefault="00B34F35">
      <w:pPr>
        <w:jc w:val="center"/>
        <w:rPr>
          <w:rFonts w:ascii="宋体" w:eastAsia="宋体" w:hAnsi="宋体"/>
          <w:b/>
          <w:sz w:val="30"/>
        </w:rPr>
      </w:pPr>
      <w:r>
        <w:rPr>
          <w:rFonts w:ascii="宋体" w:eastAsia="宋体" w:hAnsi="宋体" w:hint="eastAsia"/>
          <w:b/>
          <w:sz w:val="30"/>
        </w:rPr>
        <w:t>博时纳斯达克</w:t>
      </w:r>
      <w:r>
        <w:rPr>
          <w:rFonts w:ascii="宋体" w:eastAsia="宋体" w:hAnsi="宋体" w:hint="eastAsia"/>
          <w:b/>
          <w:sz w:val="30"/>
        </w:rPr>
        <w:t>100</w:t>
      </w:r>
      <w:r>
        <w:rPr>
          <w:rFonts w:ascii="宋体" w:eastAsia="宋体" w:hAnsi="宋体" w:hint="eastAsia"/>
          <w:b/>
          <w:sz w:val="30"/>
        </w:rPr>
        <w:t>交易型开放式指数证券投资基金发起式联接基金（</w:t>
      </w:r>
      <w:r>
        <w:rPr>
          <w:rFonts w:ascii="宋体" w:eastAsia="宋体" w:hAnsi="宋体" w:hint="eastAsia"/>
          <w:b/>
          <w:sz w:val="30"/>
        </w:rPr>
        <w:t>QDII</w:t>
      </w:r>
      <w:r>
        <w:rPr>
          <w:rFonts w:ascii="宋体" w:eastAsia="宋体" w:hAnsi="宋体" w:hint="eastAsia"/>
          <w:b/>
          <w:sz w:val="30"/>
        </w:rPr>
        <w:t>）</w:t>
      </w:r>
      <w:r>
        <w:rPr>
          <w:rFonts w:ascii="宋体" w:eastAsia="宋体" w:hAnsi="宋体" w:hint="eastAsia"/>
          <w:b/>
          <w:sz w:val="30"/>
        </w:rPr>
        <w:t>调整</w:t>
      </w:r>
      <w:r>
        <w:rPr>
          <w:rFonts w:ascii="宋体" w:eastAsia="宋体" w:hAnsi="宋体" w:hint="eastAsia"/>
          <w:b/>
          <w:sz w:val="30"/>
        </w:rPr>
        <w:t>大额申购、转换转入、定期定额投资业务的公告</w:t>
      </w:r>
    </w:p>
    <w:p w:rsidR="000E5188" w:rsidRDefault="00B34F35">
      <w:pPr>
        <w:jc w:val="center"/>
        <w:rPr>
          <w:rFonts w:ascii="宋体" w:eastAsia="宋体" w:hAnsi="宋体"/>
          <w:b/>
          <w:sz w:val="24"/>
        </w:rPr>
      </w:pPr>
      <w:r>
        <w:rPr>
          <w:rFonts w:ascii="宋体" w:eastAsia="宋体" w:hAnsi="宋体" w:hint="eastAsia"/>
          <w:b/>
          <w:sz w:val="24"/>
        </w:rPr>
        <w:t>公告送出日期：</w:t>
      </w:r>
      <w:r>
        <w:rPr>
          <w:rFonts w:ascii="宋体" w:eastAsia="宋体" w:hAnsi="宋体" w:hint="eastAsia"/>
          <w:b/>
          <w:sz w:val="24"/>
        </w:rPr>
        <w:t>2024</w:t>
      </w:r>
      <w:r>
        <w:rPr>
          <w:rFonts w:ascii="宋体" w:eastAsia="宋体" w:hAnsi="宋体" w:hint="eastAsia"/>
          <w:b/>
          <w:sz w:val="24"/>
        </w:rPr>
        <w:t>年</w:t>
      </w:r>
      <w:r>
        <w:rPr>
          <w:rFonts w:ascii="宋体" w:eastAsia="宋体" w:hAnsi="宋体" w:hint="eastAsia"/>
          <w:b/>
          <w:sz w:val="24"/>
        </w:rPr>
        <w:t>7</w:t>
      </w:r>
      <w:r>
        <w:rPr>
          <w:rFonts w:ascii="宋体" w:eastAsia="宋体" w:hAnsi="宋体" w:hint="eastAsia"/>
          <w:b/>
          <w:sz w:val="24"/>
        </w:rPr>
        <w:t>月</w:t>
      </w:r>
      <w:r>
        <w:rPr>
          <w:rFonts w:ascii="宋体" w:eastAsia="宋体" w:hAnsi="宋体" w:hint="eastAsia"/>
          <w:b/>
          <w:sz w:val="24"/>
        </w:rPr>
        <w:t>12</w:t>
      </w:r>
      <w:r>
        <w:rPr>
          <w:rFonts w:ascii="宋体" w:eastAsia="宋体" w:hAnsi="宋体" w:hint="eastAsia"/>
          <w:b/>
          <w:sz w:val="24"/>
        </w:rPr>
        <w:t>日</w:t>
      </w:r>
    </w:p>
    <w:p w:rsidR="000E5188" w:rsidRDefault="000E5188">
      <w:pPr>
        <w:jc w:val="center"/>
        <w:rPr>
          <w:rFonts w:ascii="宋体" w:eastAsia="宋体" w:hAnsi="宋体"/>
          <w:b/>
          <w:sz w:val="24"/>
        </w:rPr>
      </w:pPr>
    </w:p>
    <w:p w:rsidR="000E5188" w:rsidRDefault="00B34F35">
      <w:pPr>
        <w:pStyle w:val="3"/>
        <w:rPr>
          <w:rFonts w:ascii="宋体" w:eastAsia="宋体" w:hAnsi="宋体"/>
          <w:sz w:val="24"/>
        </w:rPr>
      </w:pPr>
      <w:r>
        <w:rPr>
          <w:rFonts w:ascii="宋体" w:eastAsia="宋体" w:hAnsi="宋体"/>
          <w:sz w:val="24"/>
        </w:rPr>
        <w:t>1</w:t>
      </w:r>
      <w:r>
        <w:rPr>
          <w:rFonts w:ascii="宋体" w:eastAsia="宋体" w:hAnsi="宋体"/>
          <w:sz w:val="24"/>
        </w:rPr>
        <w:t>、公告基本信息</w:t>
      </w:r>
    </w:p>
    <w:tbl>
      <w:tblPr>
        <w:tblStyle w:val="a4"/>
        <w:tblW w:w="0" w:type="auto"/>
        <w:tblLayout w:type="fixed"/>
        <w:tblLook w:val="04A0"/>
      </w:tblPr>
      <w:tblGrid>
        <w:gridCol w:w="1420"/>
        <w:gridCol w:w="1447"/>
        <w:gridCol w:w="1393"/>
        <w:gridCol w:w="1420"/>
        <w:gridCol w:w="1421"/>
        <w:gridCol w:w="1421"/>
      </w:tblGrid>
      <w:tr w:rsidR="000E5188">
        <w:tc>
          <w:tcPr>
            <w:tcW w:w="2867" w:type="dxa"/>
            <w:gridSpan w:val="2"/>
            <w:vAlign w:val="center"/>
          </w:tcPr>
          <w:p w:rsidR="000E5188" w:rsidRDefault="00B34F35">
            <w:pPr>
              <w:rPr>
                <w:rFonts w:ascii="宋体" w:eastAsia="宋体" w:hAnsi="宋体"/>
                <w:sz w:val="24"/>
              </w:rPr>
            </w:pPr>
            <w:r>
              <w:rPr>
                <w:rFonts w:ascii="宋体" w:eastAsia="宋体" w:hAnsi="宋体" w:hint="eastAsia"/>
                <w:sz w:val="24"/>
              </w:rPr>
              <w:t>基金名称</w:t>
            </w:r>
          </w:p>
        </w:tc>
        <w:tc>
          <w:tcPr>
            <w:tcW w:w="5655" w:type="dxa"/>
            <w:gridSpan w:val="4"/>
            <w:vAlign w:val="center"/>
          </w:tcPr>
          <w:p w:rsidR="000E5188" w:rsidRDefault="00B34F35">
            <w:pPr>
              <w:rPr>
                <w:rFonts w:ascii="宋体" w:eastAsia="宋体" w:hAnsi="宋体"/>
                <w:sz w:val="24"/>
              </w:rPr>
            </w:pPr>
            <w:r>
              <w:rPr>
                <w:rFonts w:ascii="宋体" w:eastAsia="宋体" w:hAnsi="宋体" w:hint="eastAsia"/>
                <w:sz w:val="24"/>
              </w:rPr>
              <w:t>博时纳斯达克</w:t>
            </w:r>
            <w:r>
              <w:rPr>
                <w:rFonts w:ascii="宋体" w:eastAsia="宋体" w:hAnsi="宋体"/>
                <w:sz w:val="24"/>
              </w:rPr>
              <w:t>100</w:t>
            </w:r>
            <w:r>
              <w:rPr>
                <w:rFonts w:ascii="宋体" w:eastAsia="宋体" w:hAnsi="宋体"/>
                <w:sz w:val="24"/>
              </w:rPr>
              <w:t>交易型开放式指数证券投资基金发起式联接基金（</w:t>
            </w:r>
            <w:r>
              <w:rPr>
                <w:rFonts w:ascii="宋体" w:eastAsia="宋体" w:hAnsi="宋体"/>
                <w:sz w:val="24"/>
              </w:rPr>
              <w:t>QDII</w:t>
            </w:r>
            <w:r>
              <w:rPr>
                <w:rFonts w:ascii="宋体" w:eastAsia="宋体" w:hAnsi="宋体"/>
                <w:sz w:val="24"/>
              </w:rPr>
              <w:t>）</w:t>
            </w:r>
          </w:p>
        </w:tc>
      </w:tr>
      <w:tr w:rsidR="000E5188">
        <w:tc>
          <w:tcPr>
            <w:tcW w:w="2867" w:type="dxa"/>
            <w:gridSpan w:val="2"/>
            <w:vAlign w:val="center"/>
          </w:tcPr>
          <w:p w:rsidR="000E5188" w:rsidRDefault="00B34F35">
            <w:pPr>
              <w:rPr>
                <w:rFonts w:ascii="宋体" w:eastAsia="宋体" w:hAnsi="宋体"/>
                <w:sz w:val="24"/>
              </w:rPr>
            </w:pPr>
            <w:r>
              <w:rPr>
                <w:rFonts w:ascii="宋体" w:eastAsia="宋体" w:hAnsi="宋体" w:hint="eastAsia"/>
                <w:sz w:val="24"/>
              </w:rPr>
              <w:t>基金简称</w:t>
            </w:r>
          </w:p>
        </w:tc>
        <w:tc>
          <w:tcPr>
            <w:tcW w:w="5655" w:type="dxa"/>
            <w:gridSpan w:val="4"/>
            <w:vAlign w:val="center"/>
          </w:tcPr>
          <w:p w:rsidR="000E5188" w:rsidRDefault="00B34F35">
            <w:pPr>
              <w:rPr>
                <w:rFonts w:ascii="宋体" w:eastAsia="宋体" w:hAnsi="宋体"/>
                <w:sz w:val="24"/>
              </w:rPr>
            </w:pPr>
            <w:r>
              <w:rPr>
                <w:rFonts w:ascii="宋体" w:eastAsia="宋体" w:hAnsi="宋体" w:hint="eastAsia"/>
                <w:sz w:val="24"/>
              </w:rPr>
              <w:t>博时纳斯达克</w:t>
            </w:r>
            <w:r>
              <w:rPr>
                <w:rFonts w:ascii="宋体" w:eastAsia="宋体" w:hAnsi="宋体"/>
                <w:sz w:val="24"/>
              </w:rPr>
              <w:t>100ETF</w:t>
            </w:r>
            <w:r>
              <w:rPr>
                <w:rFonts w:ascii="宋体" w:eastAsia="宋体" w:hAnsi="宋体"/>
                <w:sz w:val="24"/>
              </w:rPr>
              <w:t>发起式联接（</w:t>
            </w:r>
            <w:r>
              <w:rPr>
                <w:rFonts w:ascii="宋体" w:eastAsia="宋体" w:hAnsi="宋体"/>
                <w:sz w:val="24"/>
              </w:rPr>
              <w:t>QDII</w:t>
            </w:r>
            <w:r>
              <w:rPr>
                <w:rFonts w:ascii="宋体" w:eastAsia="宋体" w:hAnsi="宋体"/>
                <w:sz w:val="24"/>
              </w:rPr>
              <w:t>）</w:t>
            </w:r>
          </w:p>
        </w:tc>
      </w:tr>
      <w:tr w:rsidR="000E5188">
        <w:tc>
          <w:tcPr>
            <w:tcW w:w="2867" w:type="dxa"/>
            <w:gridSpan w:val="2"/>
            <w:vAlign w:val="center"/>
          </w:tcPr>
          <w:p w:rsidR="000E5188" w:rsidRDefault="00B34F35">
            <w:pPr>
              <w:rPr>
                <w:rFonts w:ascii="宋体" w:eastAsia="宋体" w:hAnsi="宋体"/>
                <w:sz w:val="24"/>
              </w:rPr>
            </w:pPr>
            <w:r>
              <w:rPr>
                <w:rFonts w:ascii="宋体" w:eastAsia="宋体" w:hAnsi="宋体" w:hint="eastAsia"/>
                <w:sz w:val="24"/>
              </w:rPr>
              <w:t>基金主代码</w:t>
            </w:r>
          </w:p>
        </w:tc>
        <w:tc>
          <w:tcPr>
            <w:tcW w:w="5655" w:type="dxa"/>
            <w:gridSpan w:val="4"/>
            <w:vAlign w:val="center"/>
          </w:tcPr>
          <w:p w:rsidR="000E5188" w:rsidRDefault="00B34F35">
            <w:pPr>
              <w:rPr>
                <w:rFonts w:ascii="宋体" w:eastAsia="宋体" w:hAnsi="宋体"/>
                <w:sz w:val="24"/>
              </w:rPr>
            </w:pPr>
            <w:r>
              <w:rPr>
                <w:rFonts w:ascii="宋体" w:eastAsia="宋体" w:hAnsi="宋体"/>
                <w:sz w:val="24"/>
              </w:rPr>
              <w:t>016055</w:t>
            </w:r>
          </w:p>
        </w:tc>
      </w:tr>
      <w:tr w:rsidR="000E5188">
        <w:tc>
          <w:tcPr>
            <w:tcW w:w="2867" w:type="dxa"/>
            <w:gridSpan w:val="2"/>
            <w:vAlign w:val="center"/>
          </w:tcPr>
          <w:p w:rsidR="000E5188" w:rsidRDefault="00B34F35">
            <w:pPr>
              <w:rPr>
                <w:rFonts w:ascii="宋体" w:eastAsia="宋体" w:hAnsi="宋体"/>
                <w:sz w:val="24"/>
              </w:rPr>
            </w:pPr>
            <w:r>
              <w:rPr>
                <w:rFonts w:ascii="宋体" w:eastAsia="宋体" w:hAnsi="宋体" w:hint="eastAsia"/>
                <w:sz w:val="24"/>
              </w:rPr>
              <w:t>基金管理人名称</w:t>
            </w:r>
          </w:p>
        </w:tc>
        <w:tc>
          <w:tcPr>
            <w:tcW w:w="5655" w:type="dxa"/>
            <w:gridSpan w:val="4"/>
            <w:vAlign w:val="center"/>
          </w:tcPr>
          <w:p w:rsidR="000E5188" w:rsidRDefault="00B34F35">
            <w:pPr>
              <w:rPr>
                <w:rFonts w:ascii="宋体" w:eastAsia="宋体" w:hAnsi="宋体"/>
                <w:sz w:val="24"/>
              </w:rPr>
            </w:pPr>
            <w:r>
              <w:rPr>
                <w:rFonts w:ascii="宋体" w:eastAsia="宋体" w:hAnsi="宋体" w:hint="eastAsia"/>
                <w:sz w:val="24"/>
              </w:rPr>
              <w:t>博时基金管理有限公司</w:t>
            </w:r>
          </w:p>
        </w:tc>
      </w:tr>
      <w:tr w:rsidR="000E5188">
        <w:tc>
          <w:tcPr>
            <w:tcW w:w="2867" w:type="dxa"/>
            <w:gridSpan w:val="2"/>
            <w:vAlign w:val="center"/>
          </w:tcPr>
          <w:p w:rsidR="000E5188" w:rsidRDefault="00B34F35">
            <w:pPr>
              <w:rPr>
                <w:rFonts w:ascii="宋体" w:eastAsia="宋体" w:hAnsi="宋体"/>
                <w:sz w:val="24"/>
              </w:rPr>
            </w:pPr>
            <w:r>
              <w:rPr>
                <w:rFonts w:ascii="宋体" w:eastAsia="宋体" w:hAnsi="宋体" w:hint="eastAsia"/>
                <w:sz w:val="24"/>
              </w:rPr>
              <w:t>公告依据</w:t>
            </w:r>
          </w:p>
        </w:tc>
        <w:tc>
          <w:tcPr>
            <w:tcW w:w="5655" w:type="dxa"/>
            <w:gridSpan w:val="4"/>
            <w:vAlign w:val="center"/>
          </w:tcPr>
          <w:p w:rsidR="000E5188" w:rsidRDefault="00B34F35">
            <w:pPr>
              <w:rPr>
                <w:rFonts w:ascii="宋体" w:eastAsia="宋体" w:hAnsi="宋体"/>
                <w:sz w:val="24"/>
              </w:rPr>
            </w:pPr>
            <w:r>
              <w:rPr>
                <w:rFonts w:ascii="宋体" w:eastAsia="宋体" w:hAnsi="宋体" w:hint="eastAsia"/>
                <w:sz w:val="24"/>
              </w:rPr>
              <w:t>根据有关法律法规及《博时纳斯达克</w:t>
            </w:r>
            <w:r>
              <w:rPr>
                <w:rFonts w:ascii="宋体" w:eastAsia="宋体" w:hAnsi="宋体"/>
                <w:sz w:val="24"/>
              </w:rPr>
              <w:t>100</w:t>
            </w:r>
            <w:r>
              <w:rPr>
                <w:rFonts w:ascii="宋体" w:eastAsia="宋体" w:hAnsi="宋体"/>
                <w:sz w:val="24"/>
              </w:rPr>
              <w:t>交易型开放式指数证券投资基金发起式联接基金（</w:t>
            </w:r>
            <w:r>
              <w:rPr>
                <w:rFonts w:ascii="宋体" w:eastAsia="宋体" w:hAnsi="宋体"/>
                <w:sz w:val="24"/>
              </w:rPr>
              <w:t>QDII</w:t>
            </w:r>
            <w:r>
              <w:rPr>
                <w:rFonts w:ascii="宋体" w:eastAsia="宋体" w:hAnsi="宋体"/>
                <w:sz w:val="24"/>
              </w:rPr>
              <w:t>）基金合同》、《博时纳斯达克</w:t>
            </w:r>
            <w:r>
              <w:rPr>
                <w:rFonts w:ascii="宋体" w:eastAsia="宋体" w:hAnsi="宋体"/>
                <w:sz w:val="24"/>
              </w:rPr>
              <w:t>100</w:t>
            </w:r>
            <w:r>
              <w:rPr>
                <w:rFonts w:ascii="宋体" w:eastAsia="宋体" w:hAnsi="宋体"/>
                <w:sz w:val="24"/>
              </w:rPr>
              <w:t>交易型开放式指数证券投资基金发起式联接基金（</w:t>
            </w:r>
            <w:r>
              <w:rPr>
                <w:rFonts w:ascii="宋体" w:eastAsia="宋体" w:hAnsi="宋体"/>
                <w:sz w:val="24"/>
              </w:rPr>
              <w:t>QDII</w:t>
            </w:r>
            <w:r>
              <w:rPr>
                <w:rFonts w:ascii="宋体" w:eastAsia="宋体" w:hAnsi="宋体"/>
                <w:sz w:val="24"/>
              </w:rPr>
              <w:t>）招募说明书》等的规定</w:t>
            </w:r>
          </w:p>
        </w:tc>
      </w:tr>
      <w:tr w:rsidR="000E5188">
        <w:tc>
          <w:tcPr>
            <w:tcW w:w="1420" w:type="dxa"/>
            <w:vMerge w:val="restart"/>
            <w:vAlign w:val="center"/>
          </w:tcPr>
          <w:p w:rsidR="000E5188" w:rsidRDefault="00B34F35">
            <w:pPr>
              <w:rPr>
                <w:rFonts w:ascii="宋体" w:eastAsia="宋体" w:hAnsi="宋体"/>
                <w:sz w:val="24"/>
              </w:rPr>
            </w:pPr>
            <w:r>
              <w:rPr>
                <w:rFonts w:ascii="宋体" w:eastAsia="宋体" w:hAnsi="宋体" w:hint="eastAsia"/>
                <w:sz w:val="24"/>
              </w:rPr>
              <w:t>暂停相关业务的起始日及原因说明</w:t>
            </w:r>
          </w:p>
        </w:tc>
        <w:tc>
          <w:tcPr>
            <w:tcW w:w="1447" w:type="dxa"/>
            <w:vAlign w:val="center"/>
          </w:tcPr>
          <w:p w:rsidR="000E5188" w:rsidRDefault="00B34F35">
            <w:pPr>
              <w:rPr>
                <w:rFonts w:ascii="宋体" w:eastAsia="宋体" w:hAnsi="宋体"/>
                <w:sz w:val="24"/>
              </w:rPr>
            </w:pPr>
            <w:r>
              <w:rPr>
                <w:rFonts w:ascii="宋体" w:eastAsia="宋体" w:hAnsi="宋体" w:hint="eastAsia"/>
                <w:sz w:val="24"/>
              </w:rPr>
              <w:t>暂停大额申购起始日</w:t>
            </w:r>
          </w:p>
        </w:tc>
        <w:tc>
          <w:tcPr>
            <w:tcW w:w="5655" w:type="dxa"/>
            <w:gridSpan w:val="4"/>
            <w:vAlign w:val="center"/>
          </w:tcPr>
          <w:p w:rsidR="000E5188" w:rsidRDefault="00B34F35">
            <w:pPr>
              <w:rPr>
                <w:rFonts w:ascii="宋体" w:eastAsia="宋体" w:hAnsi="宋体"/>
                <w:sz w:val="24"/>
              </w:rPr>
            </w:pPr>
            <w:r>
              <w:rPr>
                <w:rFonts w:ascii="宋体" w:eastAsia="宋体" w:hAnsi="宋体" w:hint="eastAsia"/>
                <w:sz w:val="24"/>
              </w:rPr>
              <w:t>2024</w:t>
            </w:r>
            <w:r>
              <w:rPr>
                <w:rFonts w:ascii="宋体" w:eastAsia="宋体" w:hAnsi="宋体" w:hint="eastAsia"/>
                <w:sz w:val="24"/>
              </w:rPr>
              <w:t>年</w:t>
            </w:r>
            <w:r>
              <w:rPr>
                <w:rFonts w:ascii="宋体" w:eastAsia="宋体" w:hAnsi="宋体" w:hint="eastAsia"/>
                <w:sz w:val="24"/>
              </w:rPr>
              <w:t>7</w:t>
            </w:r>
            <w:r>
              <w:rPr>
                <w:rFonts w:ascii="宋体" w:eastAsia="宋体" w:hAnsi="宋体" w:hint="eastAsia"/>
                <w:sz w:val="24"/>
              </w:rPr>
              <w:t>月</w:t>
            </w:r>
            <w:r>
              <w:rPr>
                <w:rFonts w:ascii="宋体" w:eastAsia="宋体" w:hAnsi="宋体" w:hint="eastAsia"/>
                <w:sz w:val="24"/>
              </w:rPr>
              <w:t>15</w:t>
            </w:r>
            <w:r>
              <w:rPr>
                <w:rFonts w:ascii="宋体" w:eastAsia="宋体" w:hAnsi="宋体" w:hint="eastAsia"/>
                <w:sz w:val="24"/>
              </w:rPr>
              <w:t>日</w:t>
            </w:r>
          </w:p>
        </w:tc>
      </w:tr>
      <w:tr w:rsidR="000E5188">
        <w:tc>
          <w:tcPr>
            <w:tcW w:w="1420" w:type="dxa"/>
            <w:vMerge/>
            <w:vAlign w:val="center"/>
          </w:tcPr>
          <w:p w:rsidR="000E5188" w:rsidRDefault="000E5188"/>
        </w:tc>
        <w:tc>
          <w:tcPr>
            <w:tcW w:w="1447" w:type="dxa"/>
            <w:vAlign w:val="center"/>
          </w:tcPr>
          <w:p w:rsidR="000E5188" w:rsidRDefault="00B34F35">
            <w:pPr>
              <w:rPr>
                <w:rFonts w:ascii="宋体" w:eastAsia="宋体" w:hAnsi="宋体"/>
                <w:sz w:val="24"/>
              </w:rPr>
            </w:pPr>
            <w:r>
              <w:rPr>
                <w:rFonts w:ascii="宋体" w:eastAsia="宋体" w:hAnsi="宋体" w:hint="eastAsia"/>
                <w:sz w:val="24"/>
              </w:rPr>
              <w:t>暂停大额转换转入起始日</w:t>
            </w:r>
          </w:p>
        </w:tc>
        <w:tc>
          <w:tcPr>
            <w:tcW w:w="5655" w:type="dxa"/>
            <w:gridSpan w:val="4"/>
            <w:vAlign w:val="center"/>
          </w:tcPr>
          <w:p w:rsidR="000E5188" w:rsidRDefault="00B34F35">
            <w:pPr>
              <w:rPr>
                <w:rFonts w:ascii="宋体" w:eastAsia="宋体" w:hAnsi="宋体"/>
                <w:sz w:val="24"/>
              </w:rPr>
            </w:pPr>
            <w:r>
              <w:rPr>
                <w:rFonts w:ascii="宋体" w:eastAsia="宋体" w:hAnsi="宋体" w:hint="eastAsia"/>
                <w:sz w:val="24"/>
              </w:rPr>
              <w:t>2024</w:t>
            </w:r>
            <w:r>
              <w:rPr>
                <w:rFonts w:ascii="宋体" w:eastAsia="宋体" w:hAnsi="宋体" w:hint="eastAsia"/>
                <w:sz w:val="24"/>
              </w:rPr>
              <w:t>年</w:t>
            </w:r>
            <w:r>
              <w:rPr>
                <w:rFonts w:ascii="宋体" w:eastAsia="宋体" w:hAnsi="宋体" w:hint="eastAsia"/>
                <w:sz w:val="24"/>
              </w:rPr>
              <w:t>7</w:t>
            </w:r>
            <w:r>
              <w:rPr>
                <w:rFonts w:ascii="宋体" w:eastAsia="宋体" w:hAnsi="宋体" w:hint="eastAsia"/>
                <w:sz w:val="24"/>
              </w:rPr>
              <w:t>月</w:t>
            </w:r>
            <w:r>
              <w:rPr>
                <w:rFonts w:ascii="宋体" w:eastAsia="宋体" w:hAnsi="宋体" w:hint="eastAsia"/>
                <w:sz w:val="24"/>
              </w:rPr>
              <w:t>15</w:t>
            </w:r>
            <w:r>
              <w:rPr>
                <w:rFonts w:ascii="宋体" w:eastAsia="宋体" w:hAnsi="宋体" w:hint="eastAsia"/>
                <w:sz w:val="24"/>
              </w:rPr>
              <w:t>日</w:t>
            </w:r>
          </w:p>
        </w:tc>
      </w:tr>
      <w:tr w:rsidR="000E5188">
        <w:tc>
          <w:tcPr>
            <w:tcW w:w="1420" w:type="dxa"/>
            <w:vMerge/>
            <w:vAlign w:val="center"/>
          </w:tcPr>
          <w:p w:rsidR="000E5188" w:rsidRDefault="000E5188"/>
        </w:tc>
        <w:tc>
          <w:tcPr>
            <w:tcW w:w="1447" w:type="dxa"/>
            <w:vAlign w:val="center"/>
          </w:tcPr>
          <w:p w:rsidR="000E5188" w:rsidRDefault="00B34F35">
            <w:pPr>
              <w:rPr>
                <w:rFonts w:ascii="宋体" w:eastAsia="宋体" w:hAnsi="宋体"/>
                <w:sz w:val="24"/>
              </w:rPr>
            </w:pPr>
            <w:r>
              <w:rPr>
                <w:rFonts w:ascii="宋体" w:eastAsia="宋体" w:hAnsi="宋体" w:hint="eastAsia"/>
                <w:sz w:val="24"/>
              </w:rPr>
              <w:t>暂停大额定期定额投资起始日</w:t>
            </w:r>
          </w:p>
        </w:tc>
        <w:tc>
          <w:tcPr>
            <w:tcW w:w="5655" w:type="dxa"/>
            <w:gridSpan w:val="4"/>
            <w:vAlign w:val="center"/>
          </w:tcPr>
          <w:p w:rsidR="000E5188" w:rsidRDefault="00B34F35">
            <w:pPr>
              <w:rPr>
                <w:rFonts w:ascii="宋体" w:eastAsia="宋体" w:hAnsi="宋体"/>
                <w:sz w:val="24"/>
              </w:rPr>
            </w:pPr>
            <w:r>
              <w:rPr>
                <w:rFonts w:ascii="宋体" w:eastAsia="宋体" w:hAnsi="宋体" w:hint="eastAsia"/>
                <w:sz w:val="24"/>
              </w:rPr>
              <w:t>2024</w:t>
            </w:r>
            <w:r>
              <w:rPr>
                <w:rFonts w:ascii="宋体" w:eastAsia="宋体" w:hAnsi="宋体" w:hint="eastAsia"/>
                <w:sz w:val="24"/>
              </w:rPr>
              <w:t>年</w:t>
            </w:r>
            <w:r>
              <w:rPr>
                <w:rFonts w:ascii="宋体" w:eastAsia="宋体" w:hAnsi="宋体" w:hint="eastAsia"/>
                <w:sz w:val="24"/>
              </w:rPr>
              <w:t>7</w:t>
            </w:r>
            <w:r>
              <w:rPr>
                <w:rFonts w:ascii="宋体" w:eastAsia="宋体" w:hAnsi="宋体" w:hint="eastAsia"/>
                <w:sz w:val="24"/>
              </w:rPr>
              <w:t>月</w:t>
            </w:r>
            <w:r>
              <w:rPr>
                <w:rFonts w:ascii="宋体" w:eastAsia="宋体" w:hAnsi="宋体" w:hint="eastAsia"/>
                <w:sz w:val="24"/>
              </w:rPr>
              <w:t>15</w:t>
            </w:r>
            <w:r>
              <w:rPr>
                <w:rFonts w:ascii="宋体" w:eastAsia="宋体" w:hAnsi="宋体" w:hint="eastAsia"/>
                <w:sz w:val="24"/>
              </w:rPr>
              <w:t>日</w:t>
            </w:r>
          </w:p>
        </w:tc>
      </w:tr>
      <w:tr w:rsidR="000E5188">
        <w:tc>
          <w:tcPr>
            <w:tcW w:w="1420" w:type="dxa"/>
            <w:vMerge/>
            <w:vAlign w:val="center"/>
          </w:tcPr>
          <w:p w:rsidR="000E5188" w:rsidRDefault="000E5188"/>
        </w:tc>
        <w:tc>
          <w:tcPr>
            <w:tcW w:w="1447" w:type="dxa"/>
            <w:vAlign w:val="center"/>
          </w:tcPr>
          <w:p w:rsidR="000E5188" w:rsidRDefault="00B34F35">
            <w:pPr>
              <w:rPr>
                <w:rFonts w:ascii="宋体" w:eastAsia="宋体" w:hAnsi="宋体"/>
                <w:sz w:val="24"/>
              </w:rPr>
            </w:pPr>
            <w:r>
              <w:rPr>
                <w:rFonts w:ascii="宋体" w:eastAsia="宋体" w:hAnsi="宋体" w:hint="eastAsia"/>
                <w:sz w:val="24"/>
              </w:rPr>
              <w:t>暂停大额申购、转换转入、定期定额投资的原因说明</w:t>
            </w:r>
          </w:p>
        </w:tc>
        <w:tc>
          <w:tcPr>
            <w:tcW w:w="5655" w:type="dxa"/>
            <w:gridSpan w:val="4"/>
            <w:vAlign w:val="center"/>
          </w:tcPr>
          <w:p w:rsidR="000E5188" w:rsidRDefault="00B34F35">
            <w:pPr>
              <w:rPr>
                <w:rFonts w:ascii="宋体" w:eastAsia="宋体" w:hAnsi="宋体"/>
                <w:sz w:val="24"/>
              </w:rPr>
            </w:pPr>
            <w:r>
              <w:rPr>
                <w:rFonts w:ascii="宋体" w:eastAsia="宋体" w:hAnsi="宋体" w:hint="eastAsia"/>
                <w:sz w:val="24"/>
              </w:rPr>
              <w:t>为保护基金份额持有人利益</w:t>
            </w:r>
          </w:p>
        </w:tc>
      </w:tr>
      <w:tr w:rsidR="000E5188">
        <w:tc>
          <w:tcPr>
            <w:tcW w:w="2867" w:type="dxa"/>
            <w:gridSpan w:val="2"/>
            <w:vAlign w:val="center"/>
          </w:tcPr>
          <w:p w:rsidR="000E5188" w:rsidRDefault="00B34F35">
            <w:pPr>
              <w:rPr>
                <w:rFonts w:ascii="宋体" w:eastAsia="宋体" w:hAnsi="宋体"/>
                <w:sz w:val="24"/>
              </w:rPr>
            </w:pPr>
            <w:r>
              <w:rPr>
                <w:rFonts w:ascii="宋体" w:eastAsia="宋体" w:hAnsi="宋体" w:hint="eastAsia"/>
                <w:sz w:val="24"/>
              </w:rPr>
              <w:t>下属分级基金</w:t>
            </w:r>
            <w:r>
              <w:rPr>
                <w:rFonts w:ascii="宋体" w:eastAsia="宋体" w:hAnsi="宋体" w:hint="eastAsia"/>
                <w:sz w:val="24"/>
              </w:rPr>
              <w:t>的基金简称</w:t>
            </w:r>
          </w:p>
        </w:tc>
        <w:tc>
          <w:tcPr>
            <w:tcW w:w="1393" w:type="dxa"/>
            <w:vAlign w:val="center"/>
          </w:tcPr>
          <w:p w:rsidR="000E5188" w:rsidRDefault="00B34F35">
            <w:pPr>
              <w:rPr>
                <w:rFonts w:ascii="宋体" w:eastAsia="宋体" w:hAnsi="宋体"/>
                <w:sz w:val="24"/>
              </w:rPr>
            </w:pPr>
            <w:r>
              <w:rPr>
                <w:rFonts w:ascii="宋体" w:eastAsia="宋体" w:hAnsi="宋体" w:hint="eastAsia"/>
                <w:sz w:val="24"/>
              </w:rPr>
              <w:t>博时纳斯达克</w:t>
            </w:r>
            <w:r>
              <w:rPr>
                <w:rFonts w:ascii="宋体" w:eastAsia="宋体" w:hAnsi="宋体"/>
                <w:sz w:val="24"/>
              </w:rPr>
              <w:t>100ETF</w:t>
            </w:r>
            <w:r>
              <w:rPr>
                <w:rFonts w:ascii="宋体" w:eastAsia="宋体" w:hAnsi="宋体"/>
                <w:sz w:val="24"/>
              </w:rPr>
              <w:t>发起式联接（</w:t>
            </w:r>
            <w:r>
              <w:rPr>
                <w:rFonts w:ascii="宋体" w:eastAsia="宋体" w:hAnsi="宋体"/>
                <w:sz w:val="24"/>
              </w:rPr>
              <w:t>QDII</w:t>
            </w:r>
            <w:r>
              <w:rPr>
                <w:rFonts w:ascii="宋体" w:eastAsia="宋体" w:hAnsi="宋体"/>
                <w:sz w:val="24"/>
              </w:rPr>
              <w:t>）</w:t>
            </w:r>
            <w:r>
              <w:rPr>
                <w:rFonts w:ascii="宋体" w:eastAsia="宋体" w:hAnsi="宋体"/>
                <w:sz w:val="24"/>
              </w:rPr>
              <w:t>A</w:t>
            </w:r>
            <w:r>
              <w:rPr>
                <w:rFonts w:ascii="宋体" w:eastAsia="宋体" w:hAnsi="宋体"/>
                <w:sz w:val="24"/>
              </w:rPr>
              <w:t>美元现汇</w:t>
            </w:r>
          </w:p>
        </w:tc>
        <w:tc>
          <w:tcPr>
            <w:tcW w:w="1420" w:type="dxa"/>
            <w:vAlign w:val="center"/>
          </w:tcPr>
          <w:p w:rsidR="000E5188" w:rsidRDefault="00B34F35">
            <w:pPr>
              <w:rPr>
                <w:rFonts w:ascii="宋体" w:eastAsia="宋体" w:hAnsi="宋体"/>
                <w:sz w:val="24"/>
              </w:rPr>
            </w:pPr>
            <w:r>
              <w:rPr>
                <w:rFonts w:ascii="宋体" w:eastAsia="宋体" w:hAnsi="宋体" w:hint="eastAsia"/>
                <w:sz w:val="24"/>
              </w:rPr>
              <w:t>博时纳斯达克</w:t>
            </w:r>
            <w:r>
              <w:rPr>
                <w:rFonts w:ascii="宋体" w:eastAsia="宋体" w:hAnsi="宋体"/>
                <w:sz w:val="24"/>
              </w:rPr>
              <w:t>100ETF</w:t>
            </w:r>
            <w:r>
              <w:rPr>
                <w:rFonts w:ascii="宋体" w:eastAsia="宋体" w:hAnsi="宋体"/>
                <w:sz w:val="24"/>
              </w:rPr>
              <w:t>发起式联接（</w:t>
            </w:r>
            <w:r>
              <w:rPr>
                <w:rFonts w:ascii="宋体" w:eastAsia="宋体" w:hAnsi="宋体"/>
                <w:sz w:val="24"/>
              </w:rPr>
              <w:t>QDII</w:t>
            </w:r>
            <w:r>
              <w:rPr>
                <w:rFonts w:ascii="宋体" w:eastAsia="宋体" w:hAnsi="宋体"/>
                <w:sz w:val="24"/>
              </w:rPr>
              <w:t>）</w:t>
            </w:r>
            <w:r>
              <w:rPr>
                <w:rFonts w:ascii="宋体" w:eastAsia="宋体" w:hAnsi="宋体"/>
                <w:sz w:val="24"/>
              </w:rPr>
              <w:t>A</w:t>
            </w:r>
            <w:r>
              <w:rPr>
                <w:rFonts w:ascii="宋体" w:eastAsia="宋体" w:hAnsi="宋体"/>
                <w:sz w:val="24"/>
              </w:rPr>
              <w:t>人民币</w:t>
            </w:r>
          </w:p>
        </w:tc>
        <w:tc>
          <w:tcPr>
            <w:tcW w:w="1421" w:type="dxa"/>
            <w:vAlign w:val="center"/>
          </w:tcPr>
          <w:p w:rsidR="000E5188" w:rsidRDefault="00B34F35">
            <w:pPr>
              <w:rPr>
                <w:rFonts w:ascii="宋体" w:eastAsia="宋体" w:hAnsi="宋体"/>
                <w:sz w:val="24"/>
              </w:rPr>
            </w:pPr>
            <w:r>
              <w:rPr>
                <w:rFonts w:ascii="宋体" w:eastAsia="宋体" w:hAnsi="宋体" w:hint="eastAsia"/>
                <w:sz w:val="24"/>
              </w:rPr>
              <w:t>博时纳斯达克</w:t>
            </w:r>
            <w:r>
              <w:rPr>
                <w:rFonts w:ascii="宋体" w:eastAsia="宋体" w:hAnsi="宋体"/>
                <w:sz w:val="24"/>
              </w:rPr>
              <w:t>100ETF</w:t>
            </w:r>
            <w:r>
              <w:rPr>
                <w:rFonts w:ascii="宋体" w:eastAsia="宋体" w:hAnsi="宋体"/>
                <w:sz w:val="24"/>
              </w:rPr>
              <w:t>发起式联接（</w:t>
            </w:r>
            <w:r>
              <w:rPr>
                <w:rFonts w:ascii="宋体" w:eastAsia="宋体" w:hAnsi="宋体"/>
                <w:sz w:val="24"/>
              </w:rPr>
              <w:t>QDII</w:t>
            </w:r>
            <w:r>
              <w:rPr>
                <w:rFonts w:ascii="宋体" w:eastAsia="宋体" w:hAnsi="宋体"/>
                <w:sz w:val="24"/>
              </w:rPr>
              <w:t>）</w:t>
            </w:r>
            <w:r>
              <w:rPr>
                <w:rFonts w:ascii="宋体" w:eastAsia="宋体" w:hAnsi="宋体"/>
                <w:sz w:val="24"/>
              </w:rPr>
              <w:t>C</w:t>
            </w:r>
            <w:r>
              <w:rPr>
                <w:rFonts w:ascii="宋体" w:eastAsia="宋体" w:hAnsi="宋体"/>
                <w:sz w:val="24"/>
              </w:rPr>
              <w:t>美元现汇</w:t>
            </w:r>
          </w:p>
        </w:tc>
        <w:tc>
          <w:tcPr>
            <w:tcW w:w="1421" w:type="dxa"/>
            <w:vAlign w:val="center"/>
          </w:tcPr>
          <w:p w:rsidR="000E5188" w:rsidRDefault="00B34F35">
            <w:pPr>
              <w:rPr>
                <w:rFonts w:ascii="宋体" w:eastAsia="宋体" w:hAnsi="宋体"/>
                <w:sz w:val="24"/>
              </w:rPr>
            </w:pPr>
            <w:r>
              <w:rPr>
                <w:rFonts w:ascii="宋体" w:eastAsia="宋体" w:hAnsi="宋体" w:hint="eastAsia"/>
                <w:sz w:val="24"/>
              </w:rPr>
              <w:t>博时纳斯达克</w:t>
            </w:r>
            <w:r>
              <w:rPr>
                <w:rFonts w:ascii="宋体" w:eastAsia="宋体" w:hAnsi="宋体"/>
                <w:sz w:val="24"/>
              </w:rPr>
              <w:t>100ETF</w:t>
            </w:r>
            <w:r>
              <w:rPr>
                <w:rFonts w:ascii="宋体" w:eastAsia="宋体" w:hAnsi="宋体"/>
                <w:sz w:val="24"/>
              </w:rPr>
              <w:t>发起式联接（</w:t>
            </w:r>
            <w:r>
              <w:rPr>
                <w:rFonts w:ascii="宋体" w:eastAsia="宋体" w:hAnsi="宋体"/>
                <w:sz w:val="24"/>
              </w:rPr>
              <w:t>QDII</w:t>
            </w:r>
            <w:r>
              <w:rPr>
                <w:rFonts w:ascii="宋体" w:eastAsia="宋体" w:hAnsi="宋体"/>
                <w:sz w:val="24"/>
              </w:rPr>
              <w:t>）</w:t>
            </w:r>
            <w:r>
              <w:rPr>
                <w:rFonts w:ascii="宋体" w:eastAsia="宋体" w:hAnsi="宋体"/>
                <w:sz w:val="24"/>
              </w:rPr>
              <w:t>C</w:t>
            </w:r>
            <w:r>
              <w:rPr>
                <w:rFonts w:ascii="宋体" w:eastAsia="宋体" w:hAnsi="宋体"/>
                <w:sz w:val="24"/>
              </w:rPr>
              <w:t>人民币</w:t>
            </w:r>
          </w:p>
        </w:tc>
      </w:tr>
      <w:tr w:rsidR="000E5188">
        <w:tc>
          <w:tcPr>
            <w:tcW w:w="2867" w:type="dxa"/>
            <w:gridSpan w:val="2"/>
            <w:vAlign w:val="center"/>
          </w:tcPr>
          <w:p w:rsidR="000E5188" w:rsidRDefault="00B34F35">
            <w:pPr>
              <w:rPr>
                <w:rFonts w:ascii="宋体" w:eastAsia="宋体" w:hAnsi="宋体"/>
                <w:sz w:val="24"/>
              </w:rPr>
            </w:pPr>
            <w:r>
              <w:rPr>
                <w:rFonts w:ascii="宋体" w:eastAsia="宋体" w:hAnsi="宋体" w:hint="eastAsia"/>
                <w:sz w:val="24"/>
              </w:rPr>
              <w:t>下属分级基金</w:t>
            </w:r>
            <w:r>
              <w:rPr>
                <w:rFonts w:ascii="宋体" w:eastAsia="宋体" w:hAnsi="宋体" w:hint="eastAsia"/>
                <w:sz w:val="24"/>
              </w:rPr>
              <w:t>的交易代码</w:t>
            </w:r>
          </w:p>
        </w:tc>
        <w:tc>
          <w:tcPr>
            <w:tcW w:w="1393" w:type="dxa"/>
            <w:vAlign w:val="center"/>
          </w:tcPr>
          <w:p w:rsidR="000E5188" w:rsidRDefault="00B34F35">
            <w:pPr>
              <w:rPr>
                <w:rFonts w:ascii="宋体" w:eastAsia="宋体" w:hAnsi="宋体"/>
                <w:sz w:val="24"/>
              </w:rPr>
            </w:pPr>
            <w:r>
              <w:rPr>
                <w:rFonts w:ascii="宋体" w:eastAsia="宋体" w:hAnsi="宋体"/>
                <w:sz w:val="24"/>
              </w:rPr>
              <w:t>016056</w:t>
            </w:r>
          </w:p>
        </w:tc>
        <w:tc>
          <w:tcPr>
            <w:tcW w:w="1420" w:type="dxa"/>
            <w:vAlign w:val="center"/>
          </w:tcPr>
          <w:p w:rsidR="000E5188" w:rsidRDefault="00B34F35">
            <w:pPr>
              <w:rPr>
                <w:rFonts w:ascii="宋体" w:eastAsia="宋体" w:hAnsi="宋体"/>
                <w:sz w:val="24"/>
              </w:rPr>
            </w:pPr>
            <w:r>
              <w:rPr>
                <w:rFonts w:ascii="宋体" w:eastAsia="宋体" w:hAnsi="宋体"/>
                <w:sz w:val="24"/>
              </w:rPr>
              <w:t>016055</w:t>
            </w:r>
          </w:p>
        </w:tc>
        <w:tc>
          <w:tcPr>
            <w:tcW w:w="1421" w:type="dxa"/>
            <w:vAlign w:val="center"/>
          </w:tcPr>
          <w:p w:rsidR="000E5188" w:rsidRDefault="00B34F35">
            <w:pPr>
              <w:rPr>
                <w:rFonts w:ascii="宋体" w:eastAsia="宋体" w:hAnsi="宋体"/>
                <w:sz w:val="24"/>
              </w:rPr>
            </w:pPr>
            <w:r>
              <w:rPr>
                <w:rFonts w:ascii="宋体" w:eastAsia="宋体" w:hAnsi="宋体"/>
                <w:sz w:val="24"/>
              </w:rPr>
              <w:t>016058</w:t>
            </w:r>
          </w:p>
        </w:tc>
        <w:tc>
          <w:tcPr>
            <w:tcW w:w="1421" w:type="dxa"/>
            <w:vAlign w:val="center"/>
          </w:tcPr>
          <w:p w:rsidR="000E5188" w:rsidRDefault="00B34F35">
            <w:pPr>
              <w:rPr>
                <w:rFonts w:ascii="宋体" w:eastAsia="宋体" w:hAnsi="宋体"/>
                <w:sz w:val="24"/>
              </w:rPr>
            </w:pPr>
            <w:r>
              <w:rPr>
                <w:rFonts w:ascii="宋体" w:eastAsia="宋体" w:hAnsi="宋体"/>
                <w:sz w:val="24"/>
              </w:rPr>
              <w:t>016057</w:t>
            </w:r>
          </w:p>
        </w:tc>
      </w:tr>
      <w:tr w:rsidR="000E5188">
        <w:tc>
          <w:tcPr>
            <w:tcW w:w="2867" w:type="dxa"/>
            <w:gridSpan w:val="2"/>
            <w:vAlign w:val="center"/>
          </w:tcPr>
          <w:p w:rsidR="000E5188" w:rsidRDefault="00B34F35">
            <w:pPr>
              <w:rPr>
                <w:rFonts w:ascii="宋体" w:eastAsia="宋体" w:hAnsi="宋体"/>
                <w:sz w:val="24"/>
              </w:rPr>
            </w:pPr>
            <w:r>
              <w:rPr>
                <w:rFonts w:ascii="宋体" w:eastAsia="宋体" w:hAnsi="宋体" w:hint="eastAsia"/>
                <w:sz w:val="24"/>
              </w:rPr>
              <w:t>下属分级基金</w:t>
            </w:r>
            <w:r>
              <w:rPr>
                <w:rFonts w:ascii="宋体" w:eastAsia="宋体" w:hAnsi="宋体" w:hint="eastAsia"/>
                <w:sz w:val="24"/>
              </w:rPr>
              <w:t>是否暂停大额申购、转换转入、定期</w:t>
            </w:r>
            <w:r>
              <w:rPr>
                <w:rFonts w:ascii="宋体" w:eastAsia="宋体" w:hAnsi="宋体" w:hint="eastAsia"/>
                <w:sz w:val="24"/>
              </w:rPr>
              <w:lastRenderedPageBreak/>
              <w:t>定额投资业务</w:t>
            </w:r>
          </w:p>
        </w:tc>
        <w:tc>
          <w:tcPr>
            <w:tcW w:w="1393" w:type="dxa"/>
            <w:vAlign w:val="center"/>
          </w:tcPr>
          <w:p w:rsidR="000E5188" w:rsidRDefault="00B34F35">
            <w:pPr>
              <w:rPr>
                <w:rFonts w:ascii="宋体" w:eastAsia="宋体" w:hAnsi="宋体"/>
                <w:sz w:val="24"/>
              </w:rPr>
            </w:pPr>
            <w:r>
              <w:rPr>
                <w:rFonts w:ascii="宋体" w:eastAsia="宋体" w:hAnsi="宋体" w:hint="eastAsia"/>
                <w:sz w:val="24"/>
              </w:rPr>
              <w:lastRenderedPageBreak/>
              <w:t>是</w:t>
            </w:r>
          </w:p>
        </w:tc>
        <w:tc>
          <w:tcPr>
            <w:tcW w:w="1420" w:type="dxa"/>
            <w:vAlign w:val="center"/>
          </w:tcPr>
          <w:p w:rsidR="000E5188" w:rsidRDefault="00B34F35">
            <w:pPr>
              <w:rPr>
                <w:rFonts w:ascii="宋体" w:eastAsia="宋体" w:hAnsi="宋体"/>
                <w:sz w:val="24"/>
              </w:rPr>
            </w:pPr>
            <w:r>
              <w:rPr>
                <w:rFonts w:ascii="宋体" w:eastAsia="宋体" w:hAnsi="宋体" w:hint="eastAsia"/>
                <w:sz w:val="24"/>
              </w:rPr>
              <w:t>是</w:t>
            </w:r>
          </w:p>
        </w:tc>
        <w:tc>
          <w:tcPr>
            <w:tcW w:w="1421" w:type="dxa"/>
            <w:vAlign w:val="center"/>
          </w:tcPr>
          <w:p w:rsidR="000E5188" w:rsidRDefault="00B34F35">
            <w:pPr>
              <w:rPr>
                <w:rFonts w:ascii="宋体" w:eastAsia="宋体" w:hAnsi="宋体"/>
                <w:sz w:val="24"/>
              </w:rPr>
            </w:pPr>
            <w:r>
              <w:rPr>
                <w:rFonts w:ascii="宋体" w:eastAsia="宋体" w:hAnsi="宋体" w:hint="eastAsia"/>
                <w:sz w:val="24"/>
              </w:rPr>
              <w:t>是</w:t>
            </w:r>
          </w:p>
        </w:tc>
        <w:tc>
          <w:tcPr>
            <w:tcW w:w="1421" w:type="dxa"/>
            <w:vAlign w:val="center"/>
          </w:tcPr>
          <w:p w:rsidR="000E5188" w:rsidRDefault="00B34F35">
            <w:pPr>
              <w:rPr>
                <w:rFonts w:ascii="宋体" w:eastAsia="宋体" w:hAnsi="宋体"/>
                <w:sz w:val="24"/>
              </w:rPr>
            </w:pPr>
            <w:r>
              <w:rPr>
                <w:rFonts w:ascii="宋体" w:eastAsia="宋体" w:hAnsi="宋体" w:hint="eastAsia"/>
                <w:sz w:val="24"/>
              </w:rPr>
              <w:t>是</w:t>
            </w:r>
          </w:p>
        </w:tc>
      </w:tr>
      <w:tr w:rsidR="000E5188">
        <w:tc>
          <w:tcPr>
            <w:tcW w:w="2867" w:type="dxa"/>
            <w:gridSpan w:val="2"/>
            <w:vAlign w:val="center"/>
          </w:tcPr>
          <w:p w:rsidR="000E5188" w:rsidRDefault="00B34F35">
            <w:pPr>
              <w:rPr>
                <w:rFonts w:ascii="宋体" w:eastAsia="宋体" w:hAnsi="宋体"/>
                <w:sz w:val="24"/>
              </w:rPr>
            </w:pPr>
            <w:r>
              <w:rPr>
                <w:rFonts w:ascii="宋体" w:eastAsia="宋体" w:hAnsi="宋体" w:hint="eastAsia"/>
                <w:sz w:val="24"/>
              </w:rPr>
              <w:lastRenderedPageBreak/>
              <w:t>下属分级基金的限制</w:t>
            </w:r>
            <w:r>
              <w:rPr>
                <w:rFonts w:ascii="宋体" w:eastAsia="宋体" w:hAnsi="宋体" w:hint="eastAsia"/>
                <w:sz w:val="24"/>
              </w:rPr>
              <w:t>申购、转换转入、定期定额</w:t>
            </w:r>
            <w:r>
              <w:rPr>
                <w:rFonts w:ascii="宋体" w:eastAsia="宋体" w:hAnsi="宋体" w:hint="eastAsia"/>
                <w:sz w:val="24"/>
              </w:rPr>
              <w:t>金额</w:t>
            </w:r>
            <w:r>
              <w:rPr>
                <w:rFonts w:ascii="宋体" w:eastAsia="宋体" w:hAnsi="宋体" w:hint="eastAsia"/>
                <w:sz w:val="24"/>
              </w:rPr>
              <w:t>（单位：元）</w:t>
            </w:r>
          </w:p>
        </w:tc>
        <w:tc>
          <w:tcPr>
            <w:tcW w:w="1393" w:type="dxa"/>
            <w:vAlign w:val="center"/>
          </w:tcPr>
          <w:p w:rsidR="000E5188" w:rsidRDefault="000E5188">
            <w:pPr>
              <w:rPr>
                <w:rFonts w:ascii="宋体" w:eastAsia="宋体" w:hAnsi="宋体"/>
                <w:sz w:val="24"/>
              </w:rPr>
            </w:pPr>
          </w:p>
        </w:tc>
        <w:tc>
          <w:tcPr>
            <w:tcW w:w="1420" w:type="dxa"/>
            <w:vAlign w:val="center"/>
          </w:tcPr>
          <w:p w:rsidR="000E5188" w:rsidRDefault="00B34F35">
            <w:pPr>
              <w:rPr>
                <w:rFonts w:ascii="宋体" w:eastAsia="宋体" w:hAnsi="宋体"/>
                <w:sz w:val="24"/>
              </w:rPr>
            </w:pPr>
            <w:r>
              <w:rPr>
                <w:rFonts w:ascii="宋体" w:eastAsia="宋体" w:hAnsi="宋体" w:hint="eastAsia"/>
                <w:sz w:val="24"/>
              </w:rPr>
              <w:t>1</w:t>
            </w:r>
            <w:r>
              <w:rPr>
                <w:rFonts w:ascii="宋体" w:eastAsia="宋体" w:hAnsi="宋体"/>
                <w:sz w:val="24"/>
              </w:rPr>
              <w:t>,000.00</w:t>
            </w:r>
          </w:p>
        </w:tc>
        <w:tc>
          <w:tcPr>
            <w:tcW w:w="1421" w:type="dxa"/>
            <w:vAlign w:val="center"/>
          </w:tcPr>
          <w:p w:rsidR="000E5188" w:rsidRDefault="000E5188">
            <w:pPr>
              <w:rPr>
                <w:rFonts w:ascii="宋体" w:eastAsia="宋体" w:hAnsi="宋体"/>
                <w:sz w:val="24"/>
              </w:rPr>
            </w:pPr>
          </w:p>
        </w:tc>
        <w:tc>
          <w:tcPr>
            <w:tcW w:w="1421" w:type="dxa"/>
            <w:vAlign w:val="center"/>
          </w:tcPr>
          <w:p w:rsidR="000E5188" w:rsidRDefault="00B34F35">
            <w:pPr>
              <w:rPr>
                <w:rFonts w:ascii="宋体" w:eastAsia="宋体" w:hAnsi="宋体"/>
                <w:sz w:val="24"/>
              </w:rPr>
            </w:pPr>
            <w:r>
              <w:rPr>
                <w:rFonts w:ascii="宋体" w:eastAsia="宋体" w:hAnsi="宋体" w:hint="eastAsia"/>
                <w:sz w:val="24"/>
              </w:rPr>
              <w:t>1</w:t>
            </w:r>
            <w:r>
              <w:rPr>
                <w:rFonts w:ascii="宋体" w:eastAsia="宋体" w:hAnsi="宋体"/>
                <w:sz w:val="24"/>
              </w:rPr>
              <w:t>,000.00</w:t>
            </w:r>
          </w:p>
        </w:tc>
      </w:tr>
      <w:tr w:rsidR="000E5188">
        <w:tc>
          <w:tcPr>
            <w:tcW w:w="2867" w:type="dxa"/>
            <w:gridSpan w:val="2"/>
            <w:vAlign w:val="center"/>
          </w:tcPr>
          <w:p w:rsidR="000E5188" w:rsidRDefault="00B34F35">
            <w:pPr>
              <w:rPr>
                <w:rFonts w:ascii="宋体" w:eastAsia="宋体" w:hAnsi="宋体"/>
                <w:sz w:val="24"/>
              </w:rPr>
            </w:pPr>
            <w:r>
              <w:rPr>
                <w:rFonts w:ascii="宋体" w:eastAsia="宋体" w:hAnsi="宋体" w:hint="eastAsia"/>
                <w:sz w:val="24"/>
              </w:rPr>
              <w:t>下属分级基金的限制</w:t>
            </w:r>
            <w:r>
              <w:rPr>
                <w:rFonts w:ascii="宋体" w:eastAsia="宋体" w:hAnsi="宋体" w:hint="eastAsia"/>
                <w:sz w:val="24"/>
              </w:rPr>
              <w:t>申购、转换转入、定期定额</w:t>
            </w:r>
            <w:r>
              <w:rPr>
                <w:rFonts w:ascii="宋体" w:eastAsia="宋体" w:hAnsi="宋体" w:hint="eastAsia"/>
                <w:sz w:val="24"/>
              </w:rPr>
              <w:t>金额</w:t>
            </w:r>
            <w:r>
              <w:rPr>
                <w:rFonts w:ascii="宋体" w:eastAsia="宋体" w:hAnsi="宋体" w:hint="eastAsia"/>
                <w:sz w:val="24"/>
              </w:rPr>
              <w:t>（单位：</w:t>
            </w:r>
            <w:r>
              <w:rPr>
                <w:rFonts w:ascii="宋体" w:eastAsia="宋体" w:hAnsi="宋体" w:hint="eastAsia"/>
                <w:sz w:val="24"/>
              </w:rPr>
              <w:t>美</w:t>
            </w:r>
            <w:r>
              <w:rPr>
                <w:rFonts w:ascii="宋体" w:eastAsia="宋体" w:hAnsi="宋体" w:hint="eastAsia"/>
                <w:sz w:val="24"/>
              </w:rPr>
              <w:t>元）</w:t>
            </w:r>
          </w:p>
        </w:tc>
        <w:tc>
          <w:tcPr>
            <w:tcW w:w="1393" w:type="dxa"/>
            <w:vAlign w:val="center"/>
          </w:tcPr>
          <w:p w:rsidR="000E5188" w:rsidRDefault="00B34F35">
            <w:pPr>
              <w:rPr>
                <w:rFonts w:ascii="宋体" w:eastAsia="宋体" w:hAnsi="宋体"/>
                <w:sz w:val="24"/>
              </w:rPr>
            </w:pPr>
            <w:r>
              <w:rPr>
                <w:rFonts w:ascii="宋体" w:eastAsia="宋体" w:hAnsi="宋体" w:hint="eastAsia"/>
                <w:sz w:val="24"/>
              </w:rPr>
              <w:t>15</w:t>
            </w:r>
            <w:r>
              <w:rPr>
                <w:rFonts w:ascii="宋体" w:eastAsia="宋体" w:hAnsi="宋体"/>
                <w:sz w:val="24"/>
              </w:rPr>
              <w:t>0.00</w:t>
            </w:r>
          </w:p>
        </w:tc>
        <w:tc>
          <w:tcPr>
            <w:tcW w:w="1420" w:type="dxa"/>
            <w:vAlign w:val="center"/>
          </w:tcPr>
          <w:p w:rsidR="000E5188" w:rsidRDefault="000E5188">
            <w:pPr>
              <w:rPr>
                <w:rFonts w:ascii="宋体" w:eastAsia="宋体" w:hAnsi="宋体"/>
                <w:sz w:val="24"/>
              </w:rPr>
            </w:pPr>
          </w:p>
        </w:tc>
        <w:tc>
          <w:tcPr>
            <w:tcW w:w="1421" w:type="dxa"/>
            <w:vAlign w:val="center"/>
          </w:tcPr>
          <w:p w:rsidR="000E5188" w:rsidRDefault="00B34F35">
            <w:pPr>
              <w:rPr>
                <w:rFonts w:ascii="宋体" w:eastAsia="宋体" w:hAnsi="宋体"/>
                <w:sz w:val="24"/>
              </w:rPr>
            </w:pPr>
            <w:r>
              <w:rPr>
                <w:rFonts w:ascii="宋体" w:eastAsia="宋体" w:hAnsi="宋体" w:hint="eastAsia"/>
                <w:sz w:val="24"/>
              </w:rPr>
              <w:t>15</w:t>
            </w:r>
            <w:r>
              <w:rPr>
                <w:rFonts w:ascii="宋体" w:eastAsia="宋体" w:hAnsi="宋体"/>
                <w:sz w:val="24"/>
              </w:rPr>
              <w:t>0.00</w:t>
            </w:r>
          </w:p>
        </w:tc>
        <w:tc>
          <w:tcPr>
            <w:tcW w:w="1421" w:type="dxa"/>
            <w:vAlign w:val="center"/>
          </w:tcPr>
          <w:p w:rsidR="000E5188" w:rsidRDefault="000E5188">
            <w:pPr>
              <w:rPr>
                <w:rFonts w:ascii="宋体" w:eastAsia="宋体" w:hAnsi="宋体"/>
                <w:sz w:val="24"/>
              </w:rPr>
            </w:pPr>
          </w:p>
        </w:tc>
      </w:tr>
    </w:tbl>
    <w:p w:rsidR="000E5188" w:rsidRDefault="000E5188"/>
    <w:p w:rsidR="000E5188" w:rsidRDefault="00B34F35">
      <w:pPr>
        <w:pStyle w:val="3"/>
        <w:rPr>
          <w:rFonts w:ascii="宋体" w:eastAsia="宋体" w:hAnsi="宋体"/>
          <w:sz w:val="24"/>
        </w:rPr>
      </w:pPr>
      <w:r>
        <w:rPr>
          <w:rFonts w:ascii="宋体" w:eastAsia="宋体" w:hAnsi="宋体" w:hint="eastAsia"/>
          <w:sz w:val="24"/>
        </w:rPr>
        <w:t>2</w:t>
      </w:r>
      <w:r>
        <w:rPr>
          <w:rFonts w:ascii="宋体" w:eastAsia="宋体" w:hAnsi="宋体" w:hint="eastAsia"/>
          <w:sz w:val="24"/>
        </w:rPr>
        <w:t>、其他需要提示的事项</w:t>
      </w:r>
    </w:p>
    <w:p w:rsidR="000E5188" w:rsidRDefault="00B34F35">
      <w:pPr>
        <w:pStyle w:val="a3"/>
        <w:spacing w:before="0" w:beforeAutospacing="0" w:after="0" w:afterAutospacing="0" w:line="360" w:lineRule="auto"/>
        <w:ind w:firstLine="420"/>
      </w:pPr>
      <w:r>
        <w:rPr>
          <w:rFonts w:hint="eastAsia"/>
        </w:rPr>
        <w:t>（</w:t>
      </w:r>
      <w:r>
        <w:rPr>
          <w:rFonts w:hint="eastAsia"/>
        </w:rPr>
        <w:t>1</w:t>
      </w:r>
      <w:r>
        <w:rPr>
          <w:rFonts w:hint="eastAsia"/>
        </w:rPr>
        <w:t>）</w:t>
      </w:r>
      <w:r>
        <w:rPr>
          <w:rFonts w:hint="eastAsia"/>
        </w:rPr>
        <w:t>2024</w:t>
      </w:r>
      <w:r>
        <w:rPr>
          <w:rFonts w:hint="eastAsia"/>
        </w:rPr>
        <w:t>年</w:t>
      </w:r>
      <w:r>
        <w:rPr>
          <w:rFonts w:hint="eastAsia"/>
        </w:rPr>
        <w:t>7</w:t>
      </w:r>
      <w:r>
        <w:rPr>
          <w:rFonts w:hint="eastAsia"/>
        </w:rPr>
        <w:t>月</w:t>
      </w:r>
      <w:r>
        <w:rPr>
          <w:rFonts w:hint="eastAsia"/>
        </w:rPr>
        <w:t>15</w:t>
      </w:r>
      <w:r>
        <w:rPr>
          <w:rFonts w:hint="eastAsia"/>
        </w:rPr>
        <w:t>日</w:t>
      </w:r>
      <w:r>
        <w:rPr>
          <w:rFonts w:hint="eastAsia"/>
        </w:rPr>
        <w:t>起，投资人通过各代销机构申购本基金人民币基金份额单日每个基金账户的申购、转换转入及定期定额投资累计金额应不超过</w:t>
      </w:r>
      <w:r>
        <w:rPr>
          <w:rFonts w:hint="eastAsia"/>
        </w:rPr>
        <w:t>1000</w:t>
      </w:r>
      <w:r>
        <w:rPr>
          <w:rFonts w:hint="eastAsia"/>
        </w:rPr>
        <w:t>元人民币（</w:t>
      </w:r>
      <w:r>
        <w:rPr>
          <w:rFonts w:hint="eastAsia"/>
        </w:rPr>
        <w:t>人民币</w:t>
      </w:r>
      <w:r>
        <w:rPr>
          <w:rFonts w:hint="eastAsia"/>
        </w:rPr>
        <w:t>A</w:t>
      </w:r>
      <w:r>
        <w:rPr>
          <w:rFonts w:hint="eastAsia"/>
        </w:rPr>
        <w:t>、</w:t>
      </w:r>
      <w:r>
        <w:rPr>
          <w:rFonts w:hint="eastAsia"/>
        </w:rPr>
        <w:t>C</w:t>
      </w:r>
      <w:r>
        <w:rPr>
          <w:rFonts w:hint="eastAsia"/>
        </w:rPr>
        <w:t>份额合并计算</w:t>
      </w:r>
      <w:r>
        <w:rPr>
          <w:rFonts w:hint="eastAsia"/>
        </w:rPr>
        <w:t>）；本基金美元现汇基金份额单日每个基金账户的申购、转换转入及定期定额投资累计金额应不超过</w:t>
      </w:r>
      <w:r>
        <w:rPr>
          <w:rFonts w:hint="eastAsia"/>
        </w:rPr>
        <w:t>150</w:t>
      </w:r>
      <w:r>
        <w:rPr>
          <w:rFonts w:hint="eastAsia"/>
        </w:rPr>
        <w:t>美元（美元现汇</w:t>
      </w:r>
      <w:r>
        <w:rPr>
          <w:rFonts w:hint="eastAsia"/>
        </w:rPr>
        <w:t>A</w:t>
      </w:r>
      <w:r>
        <w:rPr>
          <w:rFonts w:hint="eastAsia"/>
        </w:rPr>
        <w:t>、</w:t>
      </w:r>
      <w:r>
        <w:rPr>
          <w:rFonts w:hint="eastAsia"/>
        </w:rPr>
        <w:t>C</w:t>
      </w:r>
      <w:r>
        <w:rPr>
          <w:rFonts w:hint="eastAsia"/>
        </w:rPr>
        <w:t>份额合并计算）。如单日每个基金账户的申购、转换转入及定期定额投资累计金额超过以上情况，本基金管理人有权拒绝。</w:t>
      </w:r>
    </w:p>
    <w:p w:rsidR="000E5188" w:rsidRDefault="00B34F35">
      <w:pPr>
        <w:pStyle w:val="a3"/>
        <w:spacing w:before="0" w:beforeAutospacing="0" w:after="0" w:afterAutospacing="0" w:line="360" w:lineRule="auto"/>
        <w:ind w:firstLine="420"/>
      </w:pPr>
      <w:r>
        <w:rPr>
          <w:rFonts w:hint="eastAsia"/>
        </w:rPr>
        <w:t>（</w:t>
      </w:r>
      <w:r>
        <w:rPr>
          <w:rFonts w:hint="eastAsia"/>
        </w:rPr>
        <w:t>2</w:t>
      </w:r>
      <w:r>
        <w:rPr>
          <w:rFonts w:hint="eastAsia"/>
        </w:rPr>
        <w:t>）</w:t>
      </w:r>
      <w:r>
        <w:rPr>
          <w:rFonts w:hint="eastAsia"/>
        </w:rPr>
        <w:t>2024</w:t>
      </w:r>
      <w:r>
        <w:rPr>
          <w:rFonts w:hint="eastAsia"/>
        </w:rPr>
        <w:t>年</w:t>
      </w:r>
      <w:r>
        <w:rPr>
          <w:rFonts w:hint="eastAsia"/>
        </w:rPr>
        <w:t>7</w:t>
      </w:r>
      <w:r>
        <w:rPr>
          <w:rFonts w:hint="eastAsia"/>
        </w:rPr>
        <w:t>月</w:t>
      </w:r>
      <w:r>
        <w:rPr>
          <w:rFonts w:hint="eastAsia"/>
        </w:rPr>
        <w:t>15</w:t>
      </w:r>
      <w:r>
        <w:rPr>
          <w:rFonts w:hint="eastAsia"/>
        </w:rPr>
        <w:t>日</w:t>
      </w:r>
      <w:r>
        <w:rPr>
          <w:rFonts w:hint="eastAsia"/>
        </w:rPr>
        <w:t>起，投资人通过本公司直销</w:t>
      </w:r>
      <w:r>
        <w:rPr>
          <w:rFonts w:hint="eastAsia"/>
        </w:rPr>
        <w:t>渠道</w:t>
      </w:r>
      <w:r>
        <w:rPr>
          <w:rFonts w:hint="eastAsia"/>
        </w:rPr>
        <w:t>申购</w:t>
      </w:r>
      <w:bookmarkStart w:id="0" w:name="_GoBack"/>
      <w:bookmarkEnd w:id="0"/>
      <w:r>
        <w:rPr>
          <w:rFonts w:hint="eastAsia"/>
        </w:rPr>
        <w:t>本基金人民币份额单日每个基金账户的申购、转换转入及定期定额投资累计金额应不超过</w:t>
      </w:r>
      <w:r>
        <w:rPr>
          <w:rFonts w:hint="eastAsia"/>
        </w:rPr>
        <w:t>50</w:t>
      </w:r>
      <w:r>
        <w:rPr>
          <w:rFonts w:hint="eastAsia"/>
        </w:rPr>
        <w:t>万元（</w:t>
      </w:r>
      <w:r>
        <w:rPr>
          <w:rFonts w:hint="eastAsia"/>
        </w:rPr>
        <w:t>人民币</w:t>
      </w:r>
      <w:r>
        <w:rPr>
          <w:rFonts w:hint="eastAsia"/>
        </w:rPr>
        <w:t>A</w:t>
      </w:r>
      <w:r>
        <w:rPr>
          <w:rFonts w:hint="eastAsia"/>
        </w:rPr>
        <w:t>、</w:t>
      </w:r>
      <w:r>
        <w:rPr>
          <w:rFonts w:hint="eastAsia"/>
        </w:rPr>
        <w:t>C</w:t>
      </w:r>
      <w:r>
        <w:rPr>
          <w:rFonts w:hint="eastAsia"/>
        </w:rPr>
        <w:t>份额合并计算</w:t>
      </w:r>
      <w:r>
        <w:rPr>
          <w:rFonts w:hint="eastAsia"/>
        </w:rPr>
        <w:t>）；本基金美元现汇份额单日每个基金账户的申购、转换转入及定期定额投资累计金额应不超过</w:t>
      </w:r>
      <w:r>
        <w:rPr>
          <w:rFonts w:hint="eastAsia"/>
        </w:rPr>
        <w:t>7.5</w:t>
      </w:r>
      <w:r>
        <w:rPr>
          <w:rFonts w:hint="eastAsia"/>
        </w:rPr>
        <w:t>万美元（美元现汇</w:t>
      </w:r>
      <w:r>
        <w:rPr>
          <w:rFonts w:hint="eastAsia"/>
        </w:rPr>
        <w:t>A</w:t>
      </w:r>
      <w:r>
        <w:rPr>
          <w:rFonts w:hint="eastAsia"/>
        </w:rPr>
        <w:t>、</w:t>
      </w:r>
      <w:r>
        <w:rPr>
          <w:rFonts w:hint="eastAsia"/>
        </w:rPr>
        <w:t>C</w:t>
      </w:r>
      <w:r>
        <w:rPr>
          <w:rFonts w:hint="eastAsia"/>
        </w:rPr>
        <w:t>份额合并计算）。如单日每个基金账户的申购、转换转入及定期定额投资累计金额超过以上情况，本基金管理人有权拒绝。</w:t>
      </w:r>
      <w:r>
        <w:rPr>
          <w:rFonts w:hint="eastAsia"/>
        </w:rPr>
        <w:t xml:space="preserve"> </w:t>
      </w:r>
    </w:p>
    <w:p w:rsidR="000E5188" w:rsidRDefault="00B34F35">
      <w:pPr>
        <w:pStyle w:val="a3"/>
        <w:spacing w:before="0" w:beforeAutospacing="0" w:after="0" w:afterAutospacing="0" w:line="360" w:lineRule="auto"/>
        <w:ind w:firstLine="420"/>
      </w:pPr>
      <w:r>
        <w:rPr>
          <w:rFonts w:hint="eastAsia"/>
        </w:rPr>
        <w:t>（</w:t>
      </w:r>
      <w:r>
        <w:rPr>
          <w:rFonts w:hint="eastAsia"/>
        </w:rPr>
        <w:t>3</w:t>
      </w:r>
      <w:r>
        <w:rPr>
          <w:rFonts w:hint="eastAsia"/>
        </w:rPr>
        <w:t>）在本基金暂停大额申购、转换转入、定期定额投资业务期间，其它业务正常办理。本基金恢复办理大额申购、转换转入、定期定额投资业务的时间将另行公告。</w:t>
      </w:r>
      <w:r>
        <w:rPr>
          <w:rFonts w:hint="eastAsia"/>
        </w:rPr>
        <w:t xml:space="preserve"> </w:t>
      </w:r>
    </w:p>
    <w:p w:rsidR="000E5188" w:rsidRDefault="00B34F35">
      <w:pPr>
        <w:pStyle w:val="a3"/>
        <w:spacing w:before="0" w:beforeAutospacing="0" w:after="0" w:afterAutospacing="0" w:line="360" w:lineRule="auto"/>
        <w:ind w:firstLine="420"/>
      </w:pPr>
      <w:r>
        <w:rPr>
          <w:rFonts w:hint="eastAsia"/>
        </w:rPr>
        <w:t>（</w:t>
      </w:r>
      <w:r>
        <w:rPr>
          <w:rFonts w:hint="eastAsia"/>
        </w:rPr>
        <w:t>4</w:t>
      </w:r>
      <w:r>
        <w:rPr>
          <w:rFonts w:hint="eastAsia"/>
        </w:rPr>
        <w:t>）如有疑问，请拨打博时</w:t>
      </w:r>
      <w:r>
        <w:rPr>
          <w:rFonts w:hint="eastAsia"/>
        </w:rPr>
        <w:t>一线通：</w:t>
      </w:r>
      <w:r>
        <w:rPr>
          <w:rFonts w:hint="eastAsia"/>
        </w:rPr>
        <w:t>95105568</w:t>
      </w:r>
      <w:r>
        <w:rPr>
          <w:rFonts w:hint="eastAsia"/>
        </w:rPr>
        <w:t>（免长途话费）或登录本公司网站</w:t>
      </w:r>
      <w:r>
        <w:rPr>
          <w:rFonts w:hint="eastAsia"/>
        </w:rPr>
        <w:t>www.bosera.com</w:t>
      </w:r>
      <w:r>
        <w:rPr>
          <w:rFonts w:hint="eastAsia"/>
        </w:rPr>
        <w:t>获取相关信息。</w:t>
      </w:r>
      <w:r>
        <w:rPr>
          <w:rFonts w:hint="eastAsia"/>
        </w:rPr>
        <w:t xml:space="preserve"> </w:t>
      </w:r>
    </w:p>
    <w:p w:rsidR="000E5188" w:rsidRDefault="00B34F35">
      <w:pPr>
        <w:pStyle w:val="a3"/>
        <w:spacing w:before="0" w:beforeAutospacing="0" w:after="0" w:afterAutospacing="0" w:line="360" w:lineRule="auto"/>
        <w:ind w:firstLine="420"/>
      </w:pPr>
      <w:r>
        <w:rPr>
          <w:rFonts w:hint="eastAsia"/>
        </w:rPr>
        <w:t>特此公告。</w:t>
      </w:r>
      <w:r>
        <w:rPr>
          <w:rFonts w:hint="eastAsia"/>
        </w:rPr>
        <w:t xml:space="preserve"> </w:t>
      </w:r>
    </w:p>
    <w:p w:rsidR="000E5188" w:rsidRDefault="00B34F35">
      <w:pPr>
        <w:pStyle w:val="a3"/>
        <w:spacing w:before="0" w:beforeAutospacing="0" w:after="0" w:afterAutospacing="0" w:line="360" w:lineRule="auto"/>
        <w:ind w:firstLine="420"/>
        <w:jc w:val="right"/>
      </w:pPr>
      <w:r>
        <w:rPr>
          <w:rFonts w:hint="eastAsia"/>
        </w:rPr>
        <w:t>博时基金管理有限公司</w:t>
      </w:r>
    </w:p>
    <w:p w:rsidR="000E5188" w:rsidRDefault="00B34F35">
      <w:pPr>
        <w:pStyle w:val="a3"/>
        <w:spacing w:before="0" w:beforeAutospacing="0" w:after="0" w:afterAutospacing="0" w:line="360" w:lineRule="auto"/>
        <w:ind w:firstLine="420"/>
        <w:jc w:val="right"/>
      </w:pPr>
      <w:r>
        <w:rPr>
          <w:rFonts w:hint="eastAsia"/>
        </w:rPr>
        <w:t>2024</w:t>
      </w:r>
      <w:r>
        <w:rPr>
          <w:rFonts w:hint="eastAsia"/>
        </w:rPr>
        <w:t>年</w:t>
      </w:r>
      <w:r>
        <w:rPr>
          <w:rFonts w:hint="eastAsia"/>
        </w:rPr>
        <w:t>7</w:t>
      </w:r>
      <w:r>
        <w:rPr>
          <w:rFonts w:hint="eastAsia"/>
        </w:rPr>
        <w:t>月</w:t>
      </w:r>
      <w:r>
        <w:rPr>
          <w:rFonts w:hint="eastAsia"/>
        </w:rPr>
        <w:t>12</w:t>
      </w:r>
      <w:r>
        <w:rPr>
          <w:rFonts w:hint="eastAsia"/>
        </w:rPr>
        <w:t>日</w:t>
      </w:r>
    </w:p>
    <w:sectPr w:rsidR="000E5188" w:rsidSect="000E51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22EA"/>
    <w:rsid w:val="000E5188"/>
    <w:rsid w:val="00613F93"/>
    <w:rsid w:val="00B122EA"/>
    <w:rsid w:val="00B34F35"/>
    <w:rsid w:val="09333819"/>
    <w:rsid w:val="0D8168C2"/>
    <w:rsid w:val="15CA2258"/>
    <w:rsid w:val="232B487A"/>
    <w:rsid w:val="23F74EC7"/>
    <w:rsid w:val="2F1B11B8"/>
    <w:rsid w:val="38CE5DE8"/>
    <w:rsid w:val="4A5A2E1E"/>
    <w:rsid w:val="52583768"/>
    <w:rsid w:val="5510517C"/>
    <w:rsid w:val="59202A68"/>
    <w:rsid w:val="698B50D8"/>
    <w:rsid w:val="78860F34"/>
    <w:rsid w:val="7CBF15C9"/>
    <w:rsid w:val="7F865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188"/>
    <w:pPr>
      <w:widowControl w:val="0"/>
      <w:jc w:val="both"/>
    </w:pPr>
    <w:rPr>
      <w:kern w:val="2"/>
      <w:sz w:val="21"/>
      <w:szCs w:val="22"/>
    </w:rPr>
  </w:style>
  <w:style w:type="paragraph" w:styleId="3">
    <w:name w:val="heading 3"/>
    <w:basedOn w:val="a"/>
    <w:next w:val="a"/>
    <w:link w:val="3Char"/>
    <w:uiPriority w:val="9"/>
    <w:unhideWhenUsed/>
    <w:qFormat/>
    <w:rsid w:val="000E518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E5188"/>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qFormat/>
    <w:rsid w:val="000E5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sid w:val="000E5188"/>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4</DocSecurity>
  <Lines>9</Lines>
  <Paragraphs>2</Paragraphs>
  <ScaleCrop>false</ScaleCrop>
  <Company>mycompany</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2024-07-11T16:03:00Z</dcterms:created>
  <dcterms:modified xsi:type="dcterms:W3CDTF">2024-07-11T16:03:00Z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37AC894210C14789ABA94AC232A402AF</vt:lpwstr>
  </property>
</Properties>
</file>