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E8" w:rsidRPr="008458E8" w:rsidRDefault="007E1D97" w:rsidP="008458E8">
      <w:pPr>
        <w:widowControl/>
        <w:shd w:val="clear" w:color="auto" w:fill="FFFFFF"/>
        <w:spacing w:before="345" w:after="100" w:afterAutospacing="1"/>
        <w:jc w:val="center"/>
        <w:outlineLvl w:val="1"/>
        <w:rPr>
          <w:rFonts w:ascii="Times New Roman" w:eastAsia="宋体" w:hAnsi="Times New Roman" w:cs="Times New Roman"/>
          <w:b/>
          <w:bCs/>
          <w:color w:val="000000"/>
          <w:sz w:val="28"/>
          <w:szCs w:val="28"/>
        </w:rPr>
      </w:pPr>
      <w:r w:rsidRPr="007E1D97">
        <w:rPr>
          <w:rFonts w:ascii="Times New Roman" w:eastAsia="宋体" w:hAnsi="Times New Roman" w:cs="Times New Roman" w:hint="eastAsia"/>
          <w:b/>
          <w:bCs/>
          <w:color w:val="000000"/>
          <w:sz w:val="28"/>
          <w:szCs w:val="28"/>
        </w:rPr>
        <w:t>关于</w:t>
      </w:r>
      <w:r w:rsidR="00011733" w:rsidRPr="00011733">
        <w:rPr>
          <w:rFonts w:ascii="Times New Roman" w:eastAsia="宋体" w:hAnsi="Times New Roman" w:cs="Times New Roman" w:hint="eastAsia"/>
          <w:b/>
          <w:bCs/>
          <w:color w:val="000000"/>
          <w:sz w:val="28"/>
          <w:szCs w:val="28"/>
        </w:rPr>
        <w:t>景顺长城景颐双利债券型证券投资基金</w:t>
      </w:r>
      <w:r w:rsidRPr="007E1D97">
        <w:rPr>
          <w:rFonts w:ascii="Times New Roman" w:eastAsia="宋体" w:hAnsi="Times New Roman" w:cs="Times New Roman"/>
          <w:b/>
          <w:bCs/>
          <w:color w:val="000000"/>
          <w:sz w:val="28"/>
          <w:szCs w:val="28"/>
        </w:rPr>
        <w:t>新增</w:t>
      </w:r>
      <w:r w:rsidR="00011733">
        <w:rPr>
          <w:rFonts w:ascii="Times New Roman" w:eastAsia="宋体" w:hAnsi="Times New Roman" w:cs="Times New Roman"/>
          <w:b/>
          <w:bCs/>
          <w:color w:val="000000"/>
          <w:sz w:val="28"/>
          <w:szCs w:val="28"/>
        </w:rPr>
        <w:t>恒泰证券</w:t>
      </w:r>
      <w:r w:rsidRPr="007E1D97">
        <w:rPr>
          <w:rFonts w:ascii="Times New Roman" w:eastAsia="宋体" w:hAnsi="Times New Roman" w:cs="Times New Roman"/>
          <w:b/>
          <w:bCs/>
          <w:color w:val="000000"/>
          <w:sz w:val="28"/>
          <w:szCs w:val="28"/>
        </w:rPr>
        <w:t>为销售机构的公告</w:t>
      </w:r>
    </w:p>
    <w:p w:rsidR="008458E8" w:rsidRPr="008B2A21" w:rsidRDefault="008458E8" w:rsidP="008458E8">
      <w:pPr>
        <w:widowControl/>
        <w:shd w:val="clear" w:color="auto" w:fill="FFFFFF"/>
        <w:spacing w:line="360" w:lineRule="auto"/>
        <w:ind w:firstLine="420"/>
        <w:jc w:val="left"/>
        <w:rPr>
          <w:rFonts w:ascii="宋体" w:eastAsia="宋体" w:hAnsi="宋体" w:cs="Calibri"/>
          <w:kern w:val="0"/>
          <w:szCs w:val="21"/>
        </w:rPr>
      </w:pPr>
      <w:r w:rsidRPr="008B2A21">
        <w:rPr>
          <w:rFonts w:ascii="宋体" w:eastAsia="宋体" w:hAnsi="宋体" w:cs="Calibri" w:hint="eastAsia"/>
          <w:kern w:val="0"/>
          <w:szCs w:val="21"/>
        </w:rPr>
        <w:t>为更好地满足广大投资者的理财需求，根据景顺长城基金管理有限公司（以下简称“本公司”）与</w:t>
      </w:r>
      <w:r w:rsidR="00011733">
        <w:rPr>
          <w:rFonts w:ascii="宋体" w:eastAsia="宋体" w:hAnsi="宋体" w:cs="Calibri" w:hint="eastAsia"/>
          <w:kern w:val="0"/>
          <w:szCs w:val="21"/>
        </w:rPr>
        <w:t>恒泰证券</w:t>
      </w:r>
      <w:r w:rsidR="00962AFB">
        <w:rPr>
          <w:rFonts w:ascii="宋体" w:eastAsia="宋体" w:hAnsi="宋体" w:cs="Calibri" w:hint="eastAsia"/>
          <w:kern w:val="0"/>
          <w:szCs w:val="21"/>
        </w:rPr>
        <w:t>股份有限公司</w:t>
      </w:r>
      <w:r w:rsidRPr="008B2A21">
        <w:rPr>
          <w:rFonts w:ascii="宋体" w:eastAsia="宋体" w:hAnsi="宋体" w:cs="Calibri" w:hint="eastAsia"/>
          <w:kern w:val="0"/>
          <w:szCs w:val="21"/>
        </w:rPr>
        <w:t>（以下简称“</w:t>
      </w:r>
      <w:r w:rsidR="00011733">
        <w:rPr>
          <w:rFonts w:ascii="宋体" w:eastAsia="宋体" w:hAnsi="宋体" w:cs="Calibri" w:hint="eastAsia"/>
          <w:kern w:val="0"/>
          <w:szCs w:val="21"/>
        </w:rPr>
        <w:t>恒泰证券</w:t>
      </w:r>
      <w:r w:rsidRPr="008B2A21">
        <w:rPr>
          <w:rFonts w:ascii="宋体" w:eastAsia="宋体" w:hAnsi="宋体" w:cs="Calibri" w:hint="eastAsia"/>
          <w:kern w:val="0"/>
          <w:szCs w:val="21"/>
        </w:rPr>
        <w:t>”）签署的委托销售协议，自</w:t>
      </w:r>
      <w:r w:rsidR="00C21B09">
        <w:rPr>
          <w:rFonts w:ascii="宋体" w:eastAsia="宋体" w:hAnsi="宋体" w:cs="Arial"/>
          <w:kern w:val="0"/>
          <w:szCs w:val="21"/>
        </w:rPr>
        <w:t>202</w:t>
      </w:r>
      <w:r w:rsidR="003D457B">
        <w:rPr>
          <w:rFonts w:ascii="宋体" w:eastAsia="宋体" w:hAnsi="宋体" w:cs="Arial"/>
          <w:kern w:val="0"/>
          <w:szCs w:val="21"/>
        </w:rPr>
        <w:t>4</w:t>
      </w:r>
      <w:r w:rsidRPr="008B2A21">
        <w:rPr>
          <w:rFonts w:ascii="宋体" w:eastAsia="宋体" w:hAnsi="宋体" w:cs="Calibri" w:hint="eastAsia"/>
          <w:kern w:val="0"/>
          <w:szCs w:val="21"/>
        </w:rPr>
        <w:t>年</w:t>
      </w:r>
      <w:r w:rsidR="00790B7E">
        <w:rPr>
          <w:rFonts w:ascii="宋体" w:eastAsia="宋体" w:hAnsi="宋体" w:cs="Arial"/>
          <w:kern w:val="0"/>
          <w:szCs w:val="21"/>
        </w:rPr>
        <w:t>7</w:t>
      </w:r>
      <w:r w:rsidRPr="008B2A21">
        <w:rPr>
          <w:rFonts w:ascii="宋体" w:eastAsia="宋体" w:hAnsi="宋体" w:cs="Calibri" w:hint="eastAsia"/>
          <w:kern w:val="0"/>
          <w:szCs w:val="21"/>
        </w:rPr>
        <w:t>月</w:t>
      </w:r>
      <w:r w:rsidR="00011733">
        <w:rPr>
          <w:rFonts w:ascii="宋体" w:eastAsia="宋体" w:hAnsi="宋体" w:cs="Calibri"/>
          <w:kern w:val="0"/>
          <w:szCs w:val="21"/>
        </w:rPr>
        <w:t>10</w:t>
      </w:r>
      <w:r w:rsidR="0053504F">
        <w:rPr>
          <w:rFonts w:ascii="宋体" w:eastAsia="宋体" w:hAnsi="宋体" w:cs="Arial" w:hint="eastAsia"/>
          <w:kern w:val="0"/>
          <w:szCs w:val="21"/>
        </w:rPr>
        <w:t>日起</w:t>
      </w:r>
      <w:r w:rsidRPr="008B2A21">
        <w:rPr>
          <w:rFonts w:ascii="宋体" w:eastAsia="宋体" w:hAnsi="宋体" w:cs="Calibri" w:hint="eastAsia"/>
          <w:kern w:val="0"/>
          <w:szCs w:val="21"/>
        </w:rPr>
        <w:t>新增委托</w:t>
      </w:r>
      <w:r w:rsidR="00011733">
        <w:rPr>
          <w:rFonts w:ascii="宋体" w:eastAsia="宋体" w:hAnsi="宋体" w:cs="Calibri" w:hint="eastAsia"/>
          <w:kern w:val="0"/>
          <w:szCs w:val="21"/>
        </w:rPr>
        <w:t>恒泰证券</w:t>
      </w:r>
      <w:r w:rsidRPr="008B2A21">
        <w:rPr>
          <w:rFonts w:ascii="宋体" w:eastAsia="宋体" w:hAnsi="宋体" w:cs="Calibri" w:hint="eastAsia"/>
          <w:kern w:val="0"/>
          <w:szCs w:val="21"/>
        </w:rPr>
        <w:t>销售本公司</w:t>
      </w:r>
      <w:r w:rsidR="00011733" w:rsidRPr="00011733">
        <w:rPr>
          <w:rFonts w:ascii="宋体" w:eastAsia="宋体" w:hAnsi="宋体" w:hint="eastAsia"/>
          <w:color w:val="000000"/>
          <w:szCs w:val="21"/>
        </w:rPr>
        <w:t>景顺长城景颐双利债券型证券投资基金</w:t>
      </w:r>
      <w:r w:rsidR="00E74E5E" w:rsidRPr="008B2A21">
        <w:rPr>
          <w:rFonts w:ascii="宋体" w:eastAsia="宋体" w:hAnsi="宋体" w:cs="Calibri" w:hint="eastAsia"/>
          <w:kern w:val="0"/>
          <w:szCs w:val="21"/>
        </w:rPr>
        <w:t>，</w:t>
      </w:r>
      <w:r w:rsidRPr="008B2A21">
        <w:rPr>
          <w:rFonts w:ascii="宋体" w:eastAsia="宋体" w:hAnsi="宋体" w:cs="Calibri" w:hint="eastAsia"/>
          <w:kern w:val="0"/>
          <w:szCs w:val="21"/>
        </w:rPr>
        <w:t>具体的业务流程、办理时间和办理方式以</w:t>
      </w:r>
      <w:r w:rsidR="00011733">
        <w:rPr>
          <w:rFonts w:ascii="宋体" w:eastAsia="宋体" w:hAnsi="宋体" w:cs="Calibri" w:hint="eastAsia"/>
          <w:kern w:val="0"/>
          <w:szCs w:val="21"/>
        </w:rPr>
        <w:t>恒泰证券</w:t>
      </w:r>
      <w:r w:rsidRPr="008B2A21">
        <w:rPr>
          <w:rFonts w:ascii="宋体" w:eastAsia="宋体" w:hAnsi="宋体" w:cs="Calibri" w:hint="eastAsia"/>
          <w:kern w:val="0"/>
          <w:szCs w:val="21"/>
        </w:rPr>
        <w:t>的规定为准。现将相关事项公告如下：</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一、适用基金及基金业务开通情况</w:t>
      </w:r>
    </w:p>
    <w:tbl>
      <w:tblPr>
        <w:tblW w:w="92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4347"/>
        <w:gridCol w:w="873"/>
        <w:gridCol w:w="1571"/>
        <w:gridCol w:w="1571"/>
      </w:tblGrid>
      <w:tr w:rsidR="00B679B0" w:rsidRPr="00B679B0" w:rsidTr="00DE615D">
        <w:trPr>
          <w:trHeight w:val="270"/>
        </w:trPr>
        <w:tc>
          <w:tcPr>
            <w:tcW w:w="846" w:type="dxa"/>
            <w:shd w:val="clear" w:color="auto" w:fill="auto"/>
            <w:noWrap/>
            <w:vAlign w:val="center"/>
            <w:hideMark/>
          </w:tcPr>
          <w:p w:rsidR="00B679B0" w:rsidRPr="00B679B0" w:rsidRDefault="00B679B0" w:rsidP="00B679B0">
            <w:pPr>
              <w:jc w:val="center"/>
              <w:rPr>
                <w:rFonts w:ascii="宋体" w:eastAsia="宋体" w:hAnsi="宋体"/>
                <w:b/>
                <w:szCs w:val="21"/>
              </w:rPr>
            </w:pPr>
            <w:r w:rsidRPr="00B679B0">
              <w:rPr>
                <w:rFonts w:ascii="宋体" w:eastAsia="宋体" w:hAnsi="宋体" w:hint="eastAsia"/>
                <w:b/>
                <w:szCs w:val="21"/>
              </w:rPr>
              <w:t>基金代码</w:t>
            </w:r>
          </w:p>
        </w:tc>
        <w:tc>
          <w:tcPr>
            <w:tcW w:w="4347" w:type="dxa"/>
            <w:shd w:val="clear" w:color="auto" w:fill="auto"/>
            <w:noWrap/>
            <w:vAlign w:val="center"/>
            <w:hideMark/>
          </w:tcPr>
          <w:p w:rsidR="00B679B0" w:rsidRPr="00B679B0" w:rsidRDefault="00B679B0" w:rsidP="00B679B0">
            <w:pPr>
              <w:jc w:val="center"/>
              <w:rPr>
                <w:rFonts w:ascii="宋体" w:eastAsia="宋体" w:hAnsi="宋体"/>
                <w:b/>
                <w:szCs w:val="21"/>
              </w:rPr>
            </w:pPr>
            <w:r w:rsidRPr="00B679B0">
              <w:rPr>
                <w:rFonts w:ascii="宋体" w:eastAsia="宋体" w:hAnsi="宋体" w:hint="eastAsia"/>
                <w:b/>
                <w:szCs w:val="21"/>
              </w:rPr>
              <w:t>基金名称</w:t>
            </w:r>
          </w:p>
        </w:tc>
        <w:tc>
          <w:tcPr>
            <w:tcW w:w="873" w:type="dxa"/>
            <w:shd w:val="clear" w:color="auto" w:fill="auto"/>
            <w:noWrap/>
            <w:vAlign w:val="center"/>
            <w:hideMark/>
          </w:tcPr>
          <w:p w:rsidR="00B679B0" w:rsidRPr="00B679B0" w:rsidRDefault="00B679B0" w:rsidP="00B679B0">
            <w:pPr>
              <w:jc w:val="center"/>
              <w:rPr>
                <w:rFonts w:ascii="宋体" w:eastAsia="宋体" w:hAnsi="宋体"/>
                <w:b/>
                <w:szCs w:val="21"/>
              </w:rPr>
            </w:pPr>
            <w:r w:rsidRPr="00B679B0">
              <w:rPr>
                <w:rFonts w:ascii="宋体" w:eastAsia="宋体" w:hAnsi="宋体" w:hint="eastAsia"/>
                <w:b/>
                <w:szCs w:val="21"/>
              </w:rPr>
              <w:t>是否开通定投业务</w:t>
            </w:r>
          </w:p>
        </w:tc>
        <w:tc>
          <w:tcPr>
            <w:tcW w:w="1571" w:type="dxa"/>
            <w:shd w:val="clear" w:color="auto" w:fill="auto"/>
            <w:noWrap/>
            <w:vAlign w:val="center"/>
            <w:hideMark/>
          </w:tcPr>
          <w:p w:rsidR="00B679B0" w:rsidRPr="00B679B0" w:rsidRDefault="00B679B0" w:rsidP="00B679B0">
            <w:pPr>
              <w:jc w:val="center"/>
              <w:rPr>
                <w:rFonts w:ascii="宋体" w:eastAsia="宋体" w:hAnsi="宋体"/>
                <w:b/>
                <w:szCs w:val="21"/>
              </w:rPr>
            </w:pPr>
            <w:r w:rsidRPr="00B679B0">
              <w:rPr>
                <w:rFonts w:ascii="宋体" w:eastAsia="宋体" w:hAnsi="宋体" w:hint="eastAsia"/>
                <w:b/>
                <w:szCs w:val="21"/>
              </w:rPr>
              <w:t>是否开通转换业务</w:t>
            </w:r>
          </w:p>
        </w:tc>
        <w:tc>
          <w:tcPr>
            <w:tcW w:w="1571" w:type="dxa"/>
            <w:shd w:val="clear" w:color="auto" w:fill="auto"/>
            <w:noWrap/>
            <w:vAlign w:val="center"/>
            <w:hideMark/>
          </w:tcPr>
          <w:p w:rsidR="00B679B0" w:rsidRPr="00B679B0" w:rsidRDefault="00B679B0" w:rsidP="00B679B0">
            <w:pPr>
              <w:jc w:val="center"/>
              <w:rPr>
                <w:rFonts w:ascii="宋体" w:eastAsia="宋体" w:hAnsi="宋体"/>
                <w:b/>
                <w:szCs w:val="21"/>
              </w:rPr>
            </w:pPr>
            <w:r w:rsidRPr="00B679B0">
              <w:rPr>
                <w:rFonts w:ascii="宋体" w:eastAsia="宋体" w:hAnsi="宋体" w:hint="eastAsia"/>
                <w:b/>
                <w:szCs w:val="21"/>
              </w:rPr>
              <w:t>是否参加销售机构申购（含定期定额申购）费率优惠</w:t>
            </w:r>
          </w:p>
        </w:tc>
      </w:tr>
      <w:tr w:rsidR="00404739" w:rsidRPr="00B679B0" w:rsidTr="00DE615D">
        <w:trPr>
          <w:trHeight w:val="270"/>
        </w:trPr>
        <w:tc>
          <w:tcPr>
            <w:tcW w:w="846" w:type="dxa"/>
            <w:shd w:val="clear" w:color="auto" w:fill="auto"/>
            <w:vAlign w:val="center"/>
          </w:tcPr>
          <w:p w:rsidR="00404739" w:rsidRPr="003D457B" w:rsidRDefault="00011733" w:rsidP="007D7E3C">
            <w:pPr>
              <w:rPr>
                <w:rFonts w:ascii="宋体" w:eastAsia="宋体" w:hAnsi="宋体"/>
                <w:szCs w:val="21"/>
              </w:rPr>
            </w:pPr>
            <w:r w:rsidRPr="00011733">
              <w:rPr>
                <w:rFonts w:ascii="宋体" w:eastAsia="宋体" w:hAnsi="宋体"/>
                <w:szCs w:val="21"/>
              </w:rPr>
              <w:t>000385</w:t>
            </w:r>
          </w:p>
        </w:tc>
        <w:tc>
          <w:tcPr>
            <w:tcW w:w="4347" w:type="dxa"/>
            <w:shd w:val="clear" w:color="auto" w:fill="auto"/>
            <w:vAlign w:val="center"/>
          </w:tcPr>
          <w:p w:rsidR="00404739" w:rsidRPr="003D457B" w:rsidRDefault="00011733" w:rsidP="00404739">
            <w:pPr>
              <w:rPr>
                <w:rFonts w:ascii="宋体" w:eastAsia="宋体" w:hAnsi="宋体"/>
                <w:color w:val="000000"/>
                <w:szCs w:val="21"/>
              </w:rPr>
            </w:pPr>
            <w:r w:rsidRPr="00011733">
              <w:rPr>
                <w:rFonts w:ascii="宋体" w:eastAsia="宋体" w:hAnsi="宋体" w:hint="eastAsia"/>
                <w:color w:val="000000"/>
                <w:szCs w:val="21"/>
              </w:rPr>
              <w:t>景顺长城景颐双利债券型证券投资基金</w:t>
            </w:r>
            <w:r w:rsidR="00790B7E">
              <w:rPr>
                <w:rFonts w:ascii="宋体" w:eastAsia="宋体" w:hAnsi="宋体" w:hint="eastAsia"/>
                <w:color w:val="000000"/>
                <w:szCs w:val="21"/>
              </w:rPr>
              <w:t>A</w:t>
            </w:r>
          </w:p>
        </w:tc>
        <w:tc>
          <w:tcPr>
            <w:tcW w:w="873" w:type="dxa"/>
            <w:shd w:val="clear" w:color="auto" w:fill="auto"/>
            <w:noWrap/>
            <w:vAlign w:val="center"/>
          </w:tcPr>
          <w:p w:rsidR="00404739" w:rsidRPr="00B679B0" w:rsidRDefault="00404739" w:rsidP="00404739">
            <w:pPr>
              <w:rPr>
                <w:rFonts w:ascii="宋体" w:eastAsia="宋体" w:hAnsi="宋体"/>
                <w:szCs w:val="21"/>
              </w:rPr>
            </w:pPr>
            <w:r w:rsidRPr="00B679B0">
              <w:rPr>
                <w:rFonts w:ascii="宋体" w:eastAsia="宋体" w:hAnsi="宋体" w:hint="eastAsia"/>
                <w:szCs w:val="21"/>
              </w:rPr>
              <w:t>开通</w:t>
            </w:r>
          </w:p>
        </w:tc>
        <w:tc>
          <w:tcPr>
            <w:tcW w:w="1571" w:type="dxa"/>
            <w:shd w:val="clear" w:color="auto" w:fill="auto"/>
            <w:noWrap/>
            <w:vAlign w:val="center"/>
          </w:tcPr>
          <w:p w:rsidR="00404739" w:rsidRPr="00B679B0" w:rsidRDefault="00404739" w:rsidP="00404739">
            <w:pPr>
              <w:rPr>
                <w:rFonts w:ascii="宋体" w:eastAsia="宋体" w:hAnsi="宋体"/>
                <w:szCs w:val="21"/>
              </w:rPr>
            </w:pPr>
            <w:r w:rsidRPr="00B679B0">
              <w:rPr>
                <w:rFonts w:ascii="宋体" w:eastAsia="宋体" w:hAnsi="宋体" w:hint="eastAsia"/>
                <w:szCs w:val="21"/>
              </w:rPr>
              <w:t>开通</w:t>
            </w:r>
          </w:p>
        </w:tc>
        <w:tc>
          <w:tcPr>
            <w:tcW w:w="1571" w:type="dxa"/>
            <w:shd w:val="clear" w:color="auto" w:fill="auto"/>
            <w:noWrap/>
            <w:vAlign w:val="center"/>
          </w:tcPr>
          <w:p w:rsidR="00404739" w:rsidRPr="00B679B0" w:rsidRDefault="00790B7E" w:rsidP="00404739">
            <w:pPr>
              <w:rPr>
                <w:rFonts w:ascii="宋体" w:eastAsia="宋体" w:hAnsi="宋体"/>
                <w:szCs w:val="21"/>
              </w:rPr>
            </w:pPr>
            <w:r>
              <w:rPr>
                <w:rFonts w:ascii="宋体" w:eastAsia="宋体" w:hAnsi="宋体" w:hint="eastAsia"/>
                <w:szCs w:val="21"/>
              </w:rPr>
              <w:t>是</w:t>
            </w:r>
          </w:p>
        </w:tc>
      </w:tr>
      <w:tr w:rsidR="00790B7E" w:rsidRPr="00B679B0" w:rsidTr="00DE615D">
        <w:trPr>
          <w:trHeight w:val="270"/>
        </w:trPr>
        <w:tc>
          <w:tcPr>
            <w:tcW w:w="846" w:type="dxa"/>
            <w:shd w:val="clear" w:color="auto" w:fill="auto"/>
            <w:vAlign w:val="center"/>
          </w:tcPr>
          <w:p w:rsidR="00790B7E" w:rsidRPr="00962AFB" w:rsidRDefault="00011733" w:rsidP="00790B7E">
            <w:pPr>
              <w:rPr>
                <w:rFonts w:ascii="宋体" w:eastAsia="宋体" w:hAnsi="宋体"/>
                <w:szCs w:val="21"/>
              </w:rPr>
            </w:pPr>
            <w:r>
              <w:rPr>
                <w:rFonts w:ascii="宋体" w:eastAsia="宋体" w:hAnsi="宋体"/>
                <w:szCs w:val="21"/>
              </w:rPr>
              <w:t>000386</w:t>
            </w:r>
          </w:p>
        </w:tc>
        <w:tc>
          <w:tcPr>
            <w:tcW w:w="4347" w:type="dxa"/>
            <w:shd w:val="clear" w:color="auto" w:fill="auto"/>
            <w:vAlign w:val="center"/>
          </w:tcPr>
          <w:p w:rsidR="00790B7E" w:rsidRDefault="00011733" w:rsidP="00790B7E">
            <w:pPr>
              <w:rPr>
                <w:rFonts w:ascii="宋体" w:eastAsia="宋体" w:hAnsi="宋体"/>
                <w:color w:val="000000"/>
                <w:szCs w:val="21"/>
              </w:rPr>
            </w:pPr>
            <w:r w:rsidRPr="00011733">
              <w:rPr>
                <w:rFonts w:ascii="宋体" w:eastAsia="宋体" w:hAnsi="宋体" w:hint="eastAsia"/>
                <w:color w:val="000000"/>
                <w:szCs w:val="21"/>
              </w:rPr>
              <w:t>景顺长城景颐双利债券型证券投资基金</w:t>
            </w:r>
            <w:r w:rsidR="00790B7E">
              <w:rPr>
                <w:rFonts w:ascii="宋体" w:eastAsia="宋体" w:hAnsi="宋体" w:hint="eastAsia"/>
                <w:color w:val="000000"/>
                <w:szCs w:val="21"/>
              </w:rPr>
              <w:t>C</w:t>
            </w:r>
          </w:p>
        </w:tc>
        <w:tc>
          <w:tcPr>
            <w:tcW w:w="873" w:type="dxa"/>
            <w:shd w:val="clear" w:color="auto" w:fill="auto"/>
            <w:noWrap/>
            <w:vAlign w:val="center"/>
          </w:tcPr>
          <w:p w:rsidR="00790B7E" w:rsidRPr="00B679B0" w:rsidRDefault="00790B7E" w:rsidP="00790B7E">
            <w:pPr>
              <w:rPr>
                <w:rFonts w:ascii="宋体" w:eastAsia="宋体" w:hAnsi="宋体"/>
                <w:szCs w:val="21"/>
              </w:rPr>
            </w:pPr>
            <w:r w:rsidRPr="00B679B0">
              <w:rPr>
                <w:rFonts w:ascii="宋体" w:eastAsia="宋体" w:hAnsi="宋体" w:hint="eastAsia"/>
                <w:szCs w:val="21"/>
              </w:rPr>
              <w:t>开通</w:t>
            </w:r>
          </w:p>
        </w:tc>
        <w:tc>
          <w:tcPr>
            <w:tcW w:w="1571" w:type="dxa"/>
            <w:shd w:val="clear" w:color="auto" w:fill="auto"/>
            <w:noWrap/>
            <w:vAlign w:val="center"/>
          </w:tcPr>
          <w:p w:rsidR="00790B7E" w:rsidRPr="00B679B0" w:rsidRDefault="00790B7E" w:rsidP="00790B7E">
            <w:pPr>
              <w:rPr>
                <w:rFonts w:ascii="宋体" w:eastAsia="宋体" w:hAnsi="宋体"/>
                <w:szCs w:val="21"/>
              </w:rPr>
            </w:pPr>
            <w:r w:rsidRPr="00B679B0">
              <w:rPr>
                <w:rFonts w:ascii="宋体" w:eastAsia="宋体" w:hAnsi="宋体" w:hint="eastAsia"/>
                <w:szCs w:val="21"/>
              </w:rPr>
              <w:t>开通</w:t>
            </w:r>
          </w:p>
        </w:tc>
        <w:tc>
          <w:tcPr>
            <w:tcW w:w="1571" w:type="dxa"/>
            <w:shd w:val="clear" w:color="auto" w:fill="auto"/>
            <w:noWrap/>
            <w:vAlign w:val="center"/>
          </w:tcPr>
          <w:p w:rsidR="00790B7E" w:rsidRPr="00B679B0" w:rsidRDefault="00790B7E" w:rsidP="00790B7E">
            <w:pPr>
              <w:rPr>
                <w:rFonts w:ascii="宋体" w:eastAsia="宋体" w:hAnsi="宋体"/>
                <w:szCs w:val="21"/>
              </w:rPr>
            </w:pPr>
            <w:r>
              <w:rPr>
                <w:rFonts w:ascii="宋体" w:eastAsia="宋体" w:hAnsi="宋体" w:hint="eastAsia"/>
                <w:szCs w:val="21"/>
              </w:rPr>
              <w:t>不适用</w:t>
            </w:r>
          </w:p>
        </w:tc>
      </w:tr>
    </w:tbl>
    <w:p w:rsidR="00C21B09" w:rsidRPr="00275D88" w:rsidRDefault="00C21B09" w:rsidP="00C21B09">
      <w:pPr>
        <w:widowControl/>
        <w:spacing w:line="360" w:lineRule="auto"/>
        <w:ind w:firstLineChars="200" w:firstLine="420"/>
        <w:jc w:val="left"/>
        <w:rPr>
          <w:rFonts w:ascii="宋体" w:eastAsia="宋体" w:hAnsi="宋体" w:cs="Arial"/>
          <w:color w:val="000000"/>
          <w:szCs w:val="21"/>
        </w:rPr>
      </w:pPr>
      <w:r w:rsidRPr="00275D88">
        <w:rPr>
          <w:rFonts w:ascii="宋体" w:eastAsia="宋体" w:hAnsi="宋体" w:cs="Arial" w:hint="eastAsia"/>
          <w:color w:val="000000"/>
          <w:kern w:val="0"/>
          <w:szCs w:val="21"/>
        </w:rPr>
        <w:t>注：本公司新增委托</w:t>
      </w:r>
      <w:r w:rsidR="00011733">
        <w:rPr>
          <w:rFonts w:ascii="宋体" w:eastAsia="宋体" w:hAnsi="宋体" w:cs="Arial" w:hint="eastAsia"/>
          <w:color w:val="000000"/>
          <w:kern w:val="0"/>
          <w:szCs w:val="21"/>
        </w:rPr>
        <w:t>恒泰证券</w:t>
      </w:r>
      <w:r w:rsidRPr="00275D88">
        <w:rPr>
          <w:rFonts w:ascii="宋体" w:eastAsia="宋体" w:hAnsi="宋体" w:cs="Arial" w:hint="eastAsia"/>
          <w:color w:val="000000"/>
          <w:kern w:val="0"/>
          <w:szCs w:val="21"/>
        </w:rPr>
        <w:t>销售上述列表中对应基金，上表仅就基金本身是否开通定期定额投资、转换业务和是否参加销售机构申购（含定期定额申购）费率优惠进行说明，投资者能否通过上述销售机构办理基金上述业务，以上述销售机构的安排和规定为准。</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kern w:val="0"/>
          <w:szCs w:val="21"/>
        </w:rPr>
        <w:t>二</w:t>
      </w:r>
      <w:r w:rsidRPr="00275D88">
        <w:rPr>
          <w:rFonts w:ascii="宋体" w:eastAsia="宋体" w:hAnsi="宋体" w:cs="Arial"/>
          <w:kern w:val="0"/>
          <w:szCs w:val="21"/>
        </w:rPr>
        <w:t>、销售机构信息</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color w:val="000000"/>
          <w:kern w:val="0"/>
          <w:szCs w:val="21"/>
        </w:rPr>
        <w:t>销售机构名称：</w:t>
      </w:r>
      <w:r w:rsidR="00011733" w:rsidRPr="00011733">
        <w:rPr>
          <w:rFonts w:ascii="宋体" w:eastAsia="宋体" w:hAnsi="宋体" w:cs="Arial" w:hint="eastAsia"/>
          <w:color w:val="000000"/>
          <w:kern w:val="0"/>
          <w:szCs w:val="21"/>
        </w:rPr>
        <w:t>恒泰证券股份有限公司</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kern w:val="0"/>
          <w:szCs w:val="21"/>
        </w:rPr>
        <w:t>注册地址：内蒙古呼和浩特市新城区海拉尔东街满世尚都办公商业综合楼</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办公地址：内蒙古呼和浩特市新城区海拉尔东街满世尚都办公商业综合楼</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法定代表人：祝艳辉</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联系人：熊丽</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电话：</w:t>
      </w:r>
      <w:r w:rsidRPr="00011733">
        <w:rPr>
          <w:rFonts w:ascii="宋体" w:eastAsia="宋体" w:hAnsi="宋体" w:cs="Arial"/>
          <w:kern w:val="0"/>
          <w:szCs w:val="21"/>
        </w:rPr>
        <w:t>0471-4972675</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客户服务电话：</w:t>
      </w:r>
      <w:r w:rsidRPr="00011733">
        <w:rPr>
          <w:rFonts w:ascii="宋体" w:eastAsia="宋体" w:hAnsi="宋体" w:cs="Arial"/>
          <w:kern w:val="0"/>
          <w:szCs w:val="21"/>
        </w:rPr>
        <w:t>956088</w:t>
      </w:r>
    </w:p>
    <w:p w:rsidR="00404739"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网址：</w:t>
      </w:r>
      <w:r>
        <w:rPr>
          <w:rFonts w:ascii="宋体" w:eastAsia="宋体" w:hAnsi="宋体" w:cs="Arial"/>
          <w:kern w:val="0"/>
          <w:szCs w:val="21"/>
        </w:rPr>
        <w:t>www.cnht.com.cn</w:t>
      </w:r>
    </w:p>
    <w:p w:rsidR="00556788" w:rsidRPr="00651E44" w:rsidRDefault="00556788" w:rsidP="00C21B09">
      <w:pPr>
        <w:widowControl/>
        <w:spacing w:line="360" w:lineRule="auto"/>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kern w:val="0"/>
          <w:szCs w:val="21"/>
        </w:rPr>
        <w:t>三</w:t>
      </w:r>
      <w:r w:rsidRPr="00275D88">
        <w:rPr>
          <w:rFonts w:ascii="宋体" w:eastAsia="宋体" w:hAnsi="宋体" w:cs="Arial"/>
          <w:kern w:val="0"/>
          <w:szCs w:val="21"/>
        </w:rPr>
        <w:t>、</w:t>
      </w:r>
      <w:r w:rsidRPr="00275D88">
        <w:rPr>
          <w:rFonts w:ascii="宋体" w:eastAsia="宋体" w:hAnsi="宋体" w:cs="Arial"/>
          <w:szCs w:val="21"/>
        </w:rPr>
        <w:t>相关</w:t>
      </w:r>
      <w:r w:rsidRPr="00275D88">
        <w:rPr>
          <w:rFonts w:ascii="宋体" w:eastAsia="宋体" w:hAnsi="宋体" w:cs="Arial" w:hint="eastAsia"/>
          <w:szCs w:val="21"/>
        </w:rPr>
        <w:t>业务</w:t>
      </w:r>
      <w:r w:rsidRPr="00275D88">
        <w:rPr>
          <w:rFonts w:ascii="宋体" w:eastAsia="宋体" w:hAnsi="宋体" w:cs="Arial"/>
          <w:szCs w:val="21"/>
        </w:rPr>
        <w:t>说明</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lastRenderedPageBreak/>
        <w:t>1、上述申购赎回等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2、“定期定额投资业务”是基金申购业务的一种方式，如上述销售机构开通上述基金定投定额投资业务，投资者可以通过上述销售机构提交申请，约定每期扣款时间、扣款金额及扣款方式，由上述销售机构于约定扣款日在投资者指定的资金账户内自动完成扣款以及基金申购业务，具体的业务办理规则和程序请遵循上述销售机构的有关规定。</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szCs w:val="21"/>
        </w:rPr>
        <w:t>3</w:t>
      </w:r>
      <w:r w:rsidRPr="00275D88">
        <w:rPr>
          <w:rFonts w:ascii="宋体" w:eastAsia="宋体" w:hAnsi="宋体" w:cs="Arial" w:hint="eastAsia"/>
          <w:szCs w:val="21"/>
        </w:rPr>
        <w:t>、如上述销售机构开通上述基金转换业务，投资者在办理上述基金的转换业务时，应留意本公司相关公告，确认转出基金处于可赎回状态，转入基金处于可申购状态，并遵循上述销售机构的规定提交业务申请。关于基金开通转换业务的限制因素、同一基金不同份额是否开通互转业务、基金转换业务的费率计算及规则请另行参见本公司相关公告或基金招募说明书。</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4、如上述销售机构为投资者开放本公司上述基金（限前端收费模式）一次性申购或定期定额投资申购费率折扣优惠，投资者可通过上述销售机构享受申购费率折扣优惠，具体的费率优惠规则，以上述销售机构的安排和规定为准。</w:t>
      </w: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hint="eastAsia"/>
          <w:szCs w:val="21"/>
        </w:rPr>
        <w:t>5、</w:t>
      </w:r>
      <w:r w:rsidRPr="00275D88">
        <w:rPr>
          <w:rFonts w:ascii="宋体" w:eastAsia="宋体" w:hAnsi="宋体" w:cs="Arial"/>
          <w:szCs w:val="21"/>
        </w:rPr>
        <w:t>若</w:t>
      </w:r>
      <w:r w:rsidRPr="00275D88">
        <w:rPr>
          <w:rFonts w:ascii="宋体" w:eastAsia="宋体" w:hAnsi="宋体" w:cs="Arial"/>
          <w:kern w:val="0"/>
          <w:szCs w:val="21"/>
        </w:rPr>
        <w:t>今后</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依据法律法规及基金相关法律文件对投资起点金额、级差及累计申购限额等标准进行调整，以</w:t>
      </w:r>
      <w:r w:rsidRPr="00275D88">
        <w:rPr>
          <w:rFonts w:ascii="宋体" w:eastAsia="宋体" w:hAnsi="宋体" w:cs="Arial"/>
          <w:color w:val="000000"/>
          <w:kern w:val="0"/>
          <w:szCs w:val="21"/>
        </w:rPr>
        <w:t>上述销售机构</w:t>
      </w:r>
      <w:r w:rsidRPr="00275D88">
        <w:rPr>
          <w:rFonts w:ascii="宋体" w:eastAsia="宋体" w:hAnsi="宋体" w:cs="Arial"/>
          <w:kern w:val="0"/>
          <w:szCs w:val="21"/>
        </w:rPr>
        <w:t>最新规定为准。</w:t>
      </w:r>
    </w:p>
    <w:p w:rsidR="00C21B09" w:rsidRPr="00275D88" w:rsidRDefault="00C21B09" w:rsidP="00C21B09">
      <w:pPr>
        <w:widowControl/>
        <w:spacing w:line="360" w:lineRule="auto"/>
        <w:ind w:firstLineChars="200" w:firstLine="420"/>
        <w:jc w:val="left"/>
        <w:rPr>
          <w:rFonts w:ascii="宋体" w:eastAsia="宋体" w:hAnsi="宋体" w:cs="Arial"/>
          <w:szCs w:val="21"/>
        </w:rPr>
      </w:pP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四、</w:t>
      </w:r>
      <w:r w:rsidRPr="00275D88">
        <w:rPr>
          <w:rFonts w:ascii="宋体" w:eastAsia="宋体" w:hAnsi="宋体" w:cs="Arial"/>
          <w:szCs w:val="21"/>
        </w:rPr>
        <w:t>投资者可通过以下途径咨询有关详</w:t>
      </w:r>
      <w:r w:rsidRPr="00275D88">
        <w:rPr>
          <w:rFonts w:ascii="宋体" w:eastAsia="宋体" w:hAnsi="宋体" w:cs="Arial" w:hint="eastAsia"/>
          <w:szCs w:val="21"/>
        </w:rPr>
        <w:t>情</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1、景顺长城基金管理有限公司</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客户服务电话：400 8888 606、0755-82370688</w:t>
      </w:r>
    </w:p>
    <w:p w:rsidR="00C21B09" w:rsidRPr="00275D88" w:rsidRDefault="00C21B09" w:rsidP="00C21B09">
      <w:pPr>
        <w:widowControl/>
        <w:spacing w:line="360" w:lineRule="auto"/>
        <w:ind w:firstLineChars="200" w:firstLine="420"/>
        <w:jc w:val="left"/>
        <w:rPr>
          <w:rFonts w:ascii="宋体" w:eastAsia="宋体" w:hAnsi="宋体" w:cs="Arial"/>
          <w:szCs w:val="21"/>
        </w:rPr>
      </w:pPr>
      <w:r w:rsidRPr="00275D88">
        <w:rPr>
          <w:rFonts w:ascii="宋体" w:eastAsia="宋体" w:hAnsi="宋体" w:cs="Arial" w:hint="eastAsia"/>
          <w:szCs w:val="21"/>
        </w:rPr>
        <w:t>网址：www.igwfmc.com</w:t>
      </w: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hint="eastAsia"/>
          <w:szCs w:val="21"/>
        </w:rPr>
        <w:t>2、</w:t>
      </w:r>
      <w:r w:rsidR="00011733">
        <w:rPr>
          <w:rFonts w:ascii="宋体" w:eastAsia="宋体" w:hAnsi="宋体" w:cs="Calibri" w:hint="eastAsia"/>
          <w:kern w:val="0"/>
          <w:szCs w:val="21"/>
        </w:rPr>
        <w:t>恒泰证券</w:t>
      </w:r>
      <w:r w:rsidR="00962AFB">
        <w:rPr>
          <w:rFonts w:ascii="宋体" w:eastAsia="宋体" w:hAnsi="宋体" w:cs="Calibri" w:hint="eastAsia"/>
          <w:kern w:val="0"/>
          <w:szCs w:val="21"/>
        </w:rPr>
        <w:t>股份有限公司</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客户服务电话：</w:t>
      </w:r>
      <w:r w:rsidRPr="00011733">
        <w:rPr>
          <w:rFonts w:ascii="宋体" w:eastAsia="宋体" w:hAnsi="宋体" w:cs="Arial"/>
          <w:kern w:val="0"/>
          <w:szCs w:val="21"/>
        </w:rPr>
        <w:t>956088</w:t>
      </w:r>
    </w:p>
    <w:p w:rsidR="00011733" w:rsidRPr="00011733" w:rsidRDefault="00011733" w:rsidP="00011733">
      <w:pPr>
        <w:widowControl/>
        <w:spacing w:line="360" w:lineRule="auto"/>
        <w:ind w:firstLineChars="200" w:firstLine="420"/>
        <w:jc w:val="left"/>
        <w:rPr>
          <w:rFonts w:ascii="宋体" w:eastAsia="宋体" w:hAnsi="宋体" w:cs="Arial"/>
          <w:kern w:val="0"/>
          <w:szCs w:val="21"/>
        </w:rPr>
      </w:pPr>
      <w:r w:rsidRPr="00011733">
        <w:rPr>
          <w:rFonts w:ascii="宋体" w:eastAsia="宋体" w:hAnsi="宋体" w:cs="Arial" w:hint="eastAsia"/>
          <w:kern w:val="0"/>
          <w:szCs w:val="21"/>
        </w:rPr>
        <w:t>网址：</w:t>
      </w:r>
      <w:r>
        <w:rPr>
          <w:rFonts w:ascii="宋体" w:eastAsia="宋体" w:hAnsi="宋体" w:cs="Arial"/>
          <w:kern w:val="0"/>
          <w:szCs w:val="21"/>
        </w:rPr>
        <w:t>www.cnht.com.cn</w:t>
      </w:r>
      <w:bookmarkStart w:id="0" w:name="_GoBack"/>
      <w:bookmarkEnd w:id="0"/>
    </w:p>
    <w:p w:rsidR="00556788" w:rsidRPr="00011733" w:rsidRDefault="00556788" w:rsidP="00667A78">
      <w:pPr>
        <w:widowControl/>
        <w:spacing w:line="360" w:lineRule="auto"/>
        <w:ind w:firstLineChars="200" w:firstLine="420"/>
        <w:jc w:val="left"/>
        <w:rPr>
          <w:rFonts w:ascii="宋体" w:eastAsia="宋体" w:hAnsi="宋体" w:cs="Arial"/>
          <w:kern w:val="0"/>
          <w:szCs w:val="21"/>
        </w:rPr>
      </w:pPr>
    </w:p>
    <w:p w:rsidR="00845006" w:rsidRPr="00556788" w:rsidRDefault="00845006" w:rsidP="00543B8B">
      <w:pPr>
        <w:widowControl/>
        <w:spacing w:line="360" w:lineRule="auto"/>
        <w:jc w:val="left"/>
        <w:rPr>
          <w:rFonts w:ascii="宋体" w:eastAsia="宋体" w:hAnsi="宋体" w:cs="Arial"/>
          <w:color w:val="000000"/>
          <w:kern w:val="0"/>
          <w:szCs w:val="21"/>
        </w:rPr>
      </w:pPr>
    </w:p>
    <w:p w:rsidR="00C21B09" w:rsidRPr="00275D88" w:rsidRDefault="00C21B09" w:rsidP="00C21B09">
      <w:pPr>
        <w:widowControl/>
        <w:spacing w:line="360" w:lineRule="auto"/>
        <w:ind w:firstLineChars="200" w:firstLine="420"/>
        <w:jc w:val="left"/>
        <w:rPr>
          <w:rFonts w:ascii="宋体" w:eastAsia="宋体" w:hAnsi="宋体" w:cs="Arial"/>
          <w:color w:val="000000"/>
          <w:kern w:val="0"/>
          <w:szCs w:val="21"/>
        </w:rPr>
      </w:pPr>
      <w:r w:rsidRPr="00275D88">
        <w:rPr>
          <w:rFonts w:ascii="宋体" w:eastAsia="宋体" w:hAnsi="宋体"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w:t>
      </w:r>
      <w:r w:rsidRPr="00275D88">
        <w:rPr>
          <w:rFonts w:ascii="宋体" w:eastAsia="宋体" w:hAnsi="宋体" w:cs="Arial"/>
          <w:color w:val="000000"/>
          <w:kern w:val="0"/>
          <w:szCs w:val="21"/>
        </w:rPr>
        <w:lastRenderedPageBreak/>
        <w:t>的投资方式。但是定期定额投资并不能规避基金投资所固有的风险，不能保证投资人获得收益，也不是替代储蓄的等效理财方式。投资者投资于上述基金时应认真阅读上述基金的基金合同、招募说明书等文件。敬请投资者留意投资风险。</w:t>
      </w:r>
    </w:p>
    <w:p w:rsidR="00C21B09" w:rsidRPr="00275D88" w:rsidRDefault="00C21B09" w:rsidP="00C21B09">
      <w:pPr>
        <w:widowControl/>
        <w:ind w:firstLineChars="200" w:firstLine="420"/>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left"/>
        <w:rPr>
          <w:rFonts w:ascii="宋体" w:eastAsia="宋体" w:hAnsi="宋体" w:cs="Arial"/>
          <w:kern w:val="0"/>
          <w:szCs w:val="21"/>
        </w:rPr>
      </w:pPr>
      <w:r w:rsidRPr="00275D88">
        <w:rPr>
          <w:rFonts w:ascii="宋体" w:eastAsia="宋体" w:hAnsi="宋体" w:cs="Arial"/>
          <w:kern w:val="0"/>
          <w:szCs w:val="21"/>
        </w:rPr>
        <w:t>特此公告。</w:t>
      </w:r>
    </w:p>
    <w:p w:rsidR="00C21B09" w:rsidRPr="00275D88" w:rsidRDefault="00C21B09" w:rsidP="00C21B09">
      <w:pPr>
        <w:widowControl/>
        <w:jc w:val="left"/>
        <w:rPr>
          <w:rFonts w:ascii="宋体" w:eastAsia="宋体" w:hAnsi="宋体" w:cs="Arial"/>
          <w:kern w:val="0"/>
          <w:szCs w:val="21"/>
        </w:rPr>
      </w:pPr>
    </w:p>
    <w:p w:rsidR="00C21B09" w:rsidRPr="00275D88" w:rsidRDefault="00C21B09" w:rsidP="00C21B09">
      <w:pPr>
        <w:widowControl/>
        <w:spacing w:line="360" w:lineRule="auto"/>
        <w:ind w:firstLineChars="200" w:firstLine="420"/>
        <w:jc w:val="right"/>
        <w:rPr>
          <w:rFonts w:ascii="宋体" w:eastAsia="宋体" w:hAnsi="宋体" w:cs="Arial"/>
          <w:kern w:val="0"/>
          <w:szCs w:val="21"/>
        </w:rPr>
      </w:pPr>
      <w:r w:rsidRPr="00275D88">
        <w:rPr>
          <w:rFonts w:ascii="宋体" w:eastAsia="宋体" w:hAnsi="宋体" w:cs="Arial"/>
          <w:kern w:val="0"/>
          <w:szCs w:val="21"/>
        </w:rPr>
        <w:t>景顺长城基金管理有限公司</w:t>
      </w:r>
    </w:p>
    <w:p w:rsidR="00C21B09" w:rsidRPr="00275D88" w:rsidRDefault="00C21B09" w:rsidP="00C21B09">
      <w:pPr>
        <w:widowControl/>
        <w:spacing w:line="360" w:lineRule="auto"/>
        <w:jc w:val="right"/>
        <w:rPr>
          <w:rFonts w:ascii="宋体" w:eastAsia="宋体" w:hAnsi="宋体" w:cs="Arial"/>
          <w:szCs w:val="21"/>
        </w:rPr>
      </w:pPr>
      <w:r w:rsidRPr="00275D88">
        <w:rPr>
          <w:rFonts w:ascii="宋体" w:eastAsia="宋体" w:hAnsi="宋体" w:cs="Arial"/>
          <w:kern w:val="0"/>
          <w:szCs w:val="21"/>
        </w:rPr>
        <w:t>二</w:t>
      </w:r>
      <w:r w:rsidR="00667A78" w:rsidRPr="00667A78">
        <w:rPr>
          <w:rFonts w:ascii="宋体" w:eastAsia="宋体" w:hAnsi="宋体" w:cs="Arial" w:hint="eastAsia"/>
          <w:kern w:val="0"/>
          <w:szCs w:val="21"/>
        </w:rPr>
        <w:t>○</w:t>
      </w:r>
      <w:r w:rsidRPr="00275D88">
        <w:rPr>
          <w:rFonts w:ascii="宋体" w:eastAsia="宋体" w:hAnsi="宋体" w:cs="Arial"/>
          <w:kern w:val="0"/>
          <w:szCs w:val="21"/>
        </w:rPr>
        <w:t>二</w:t>
      </w:r>
      <w:r w:rsidR="00F16BE1">
        <w:rPr>
          <w:rFonts w:ascii="宋体" w:eastAsia="宋体" w:hAnsi="宋体" w:cs="Arial" w:hint="eastAsia"/>
          <w:kern w:val="0"/>
          <w:szCs w:val="21"/>
        </w:rPr>
        <w:t>四</w:t>
      </w:r>
      <w:r w:rsidRPr="00275D88">
        <w:rPr>
          <w:rFonts w:ascii="宋体" w:eastAsia="宋体" w:hAnsi="宋体" w:cs="Arial"/>
          <w:kern w:val="0"/>
          <w:szCs w:val="21"/>
        </w:rPr>
        <w:t>年</w:t>
      </w:r>
      <w:r w:rsidR="00790B7E">
        <w:rPr>
          <w:rFonts w:ascii="宋体" w:eastAsia="宋体" w:hAnsi="宋体" w:cs="Arial" w:hint="eastAsia"/>
          <w:kern w:val="0"/>
          <w:szCs w:val="21"/>
        </w:rPr>
        <w:t>七</w:t>
      </w:r>
      <w:r w:rsidRPr="00275D88">
        <w:rPr>
          <w:rFonts w:ascii="宋体" w:eastAsia="宋体" w:hAnsi="宋体" w:cs="Arial"/>
          <w:kern w:val="0"/>
          <w:szCs w:val="21"/>
        </w:rPr>
        <w:t>月</w:t>
      </w:r>
      <w:r w:rsidR="00011733">
        <w:rPr>
          <w:rFonts w:ascii="宋体" w:eastAsia="宋体" w:hAnsi="宋体" w:cs="Arial" w:hint="eastAsia"/>
          <w:kern w:val="0"/>
          <w:szCs w:val="21"/>
        </w:rPr>
        <w:t>十</w:t>
      </w:r>
      <w:r w:rsidRPr="00275D88">
        <w:rPr>
          <w:rFonts w:ascii="宋体" w:eastAsia="宋体" w:hAnsi="宋体" w:cs="Arial"/>
          <w:kern w:val="0"/>
          <w:szCs w:val="21"/>
        </w:rPr>
        <w:t>日</w:t>
      </w:r>
    </w:p>
    <w:p w:rsidR="00601D0D" w:rsidRPr="00F856F4" w:rsidRDefault="00CD3D49">
      <w:pPr>
        <w:rPr>
          <w:rFonts w:ascii="宋体" w:eastAsia="宋体" w:hAnsi="宋体"/>
          <w:sz w:val="24"/>
          <w:szCs w:val="24"/>
        </w:rPr>
      </w:pPr>
    </w:p>
    <w:sectPr w:rsidR="00601D0D" w:rsidRPr="00F856F4" w:rsidSect="001B0B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AA" w:rsidRDefault="00DC37AA" w:rsidP="00484A24">
      <w:r>
        <w:separator/>
      </w:r>
    </w:p>
  </w:endnote>
  <w:endnote w:type="continuationSeparator" w:id="0">
    <w:p w:rsidR="00DC37AA" w:rsidRDefault="00DC37AA" w:rsidP="00484A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AA" w:rsidRDefault="00DC37AA" w:rsidP="00484A24">
      <w:r>
        <w:separator/>
      </w:r>
    </w:p>
  </w:footnote>
  <w:footnote w:type="continuationSeparator" w:id="0">
    <w:p w:rsidR="00DC37AA" w:rsidRDefault="00DC37AA" w:rsidP="00484A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8E8"/>
    <w:rsid w:val="00007BC9"/>
    <w:rsid w:val="00011733"/>
    <w:rsid w:val="00017C68"/>
    <w:rsid w:val="00081ADD"/>
    <w:rsid w:val="000F5E2D"/>
    <w:rsid w:val="00134C88"/>
    <w:rsid w:val="00143949"/>
    <w:rsid w:val="00157004"/>
    <w:rsid w:val="00160087"/>
    <w:rsid w:val="00163206"/>
    <w:rsid w:val="001A1770"/>
    <w:rsid w:val="001B0BBF"/>
    <w:rsid w:val="001B7F12"/>
    <w:rsid w:val="001C44D2"/>
    <w:rsid w:val="001C5689"/>
    <w:rsid w:val="001E4548"/>
    <w:rsid w:val="001F3FE3"/>
    <w:rsid w:val="00220BAF"/>
    <w:rsid w:val="002324D7"/>
    <w:rsid w:val="00275D88"/>
    <w:rsid w:val="002A2202"/>
    <w:rsid w:val="002C4589"/>
    <w:rsid w:val="002C6047"/>
    <w:rsid w:val="002E1A31"/>
    <w:rsid w:val="002E4F0C"/>
    <w:rsid w:val="003504B0"/>
    <w:rsid w:val="003829CF"/>
    <w:rsid w:val="003D457B"/>
    <w:rsid w:val="00404739"/>
    <w:rsid w:val="00484A24"/>
    <w:rsid w:val="0049010C"/>
    <w:rsid w:val="004A04A0"/>
    <w:rsid w:val="004B6310"/>
    <w:rsid w:val="005143B9"/>
    <w:rsid w:val="0053504F"/>
    <w:rsid w:val="00543B8B"/>
    <w:rsid w:val="00544FDC"/>
    <w:rsid w:val="00547C38"/>
    <w:rsid w:val="00556788"/>
    <w:rsid w:val="0055771A"/>
    <w:rsid w:val="00573EAA"/>
    <w:rsid w:val="00582A7A"/>
    <w:rsid w:val="00603B86"/>
    <w:rsid w:val="00651E44"/>
    <w:rsid w:val="00667A78"/>
    <w:rsid w:val="0068540E"/>
    <w:rsid w:val="006D3F55"/>
    <w:rsid w:val="006F5DE5"/>
    <w:rsid w:val="00763FB6"/>
    <w:rsid w:val="00790B7E"/>
    <w:rsid w:val="007D7E3C"/>
    <w:rsid w:val="007E1D97"/>
    <w:rsid w:val="007E5331"/>
    <w:rsid w:val="008152BF"/>
    <w:rsid w:val="0082680A"/>
    <w:rsid w:val="00845006"/>
    <w:rsid w:val="008458E8"/>
    <w:rsid w:val="008552FD"/>
    <w:rsid w:val="00862005"/>
    <w:rsid w:val="008959B0"/>
    <w:rsid w:val="008B2A21"/>
    <w:rsid w:val="008F1D54"/>
    <w:rsid w:val="00910E22"/>
    <w:rsid w:val="00962AFB"/>
    <w:rsid w:val="00981D3D"/>
    <w:rsid w:val="00990913"/>
    <w:rsid w:val="009C6B57"/>
    <w:rsid w:val="00A02547"/>
    <w:rsid w:val="00A47FB3"/>
    <w:rsid w:val="00A71C46"/>
    <w:rsid w:val="00A779BC"/>
    <w:rsid w:val="00B4510C"/>
    <w:rsid w:val="00B54870"/>
    <w:rsid w:val="00B679B0"/>
    <w:rsid w:val="00BE72B1"/>
    <w:rsid w:val="00C21B09"/>
    <w:rsid w:val="00C624B8"/>
    <w:rsid w:val="00C846EE"/>
    <w:rsid w:val="00CA4191"/>
    <w:rsid w:val="00CB7407"/>
    <w:rsid w:val="00CD3D49"/>
    <w:rsid w:val="00CD3D64"/>
    <w:rsid w:val="00DC37AA"/>
    <w:rsid w:val="00DE615D"/>
    <w:rsid w:val="00E74E5E"/>
    <w:rsid w:val="00E758CB"/>
    <w:rsid w:val="00ED4DFC"/>
    <w:rsid w:val="00F12E43"/>
    <w:rsid w:val="00F16BE1"/>
    <w:rsid w:val="00F856F4"/>
    <w:rsid w:val="00F95328"/>
    <w:rsid w:val="00FA1AEA"/>
    <w:rsid w:val="00FF2C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8E8"/>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458E8"/>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458E8"/>
    <w:rPr>
      <w:color w:val="0563C1" w:themeColor="hyperlink"/>
      <w:u w:val="single"/>
    </w:rPr>
  </w:style>
  <w:style w:type="character" w:styleId="a5">
    <w:name w:val="annotation reference"/>
    <w:basedOn w:val="a0"/>
    <w:uiPriority w:val="99"/>
    <w:unhideWhenUsed/>
    <w:qFormat/>
    <w:rsid w:val="002C4589"/>
    <w:rPr>
      <w:sz w:val="21"/>
      <w:szCs w:val="21"/>
    </w:rPr>
  </w:style>
  <w:style w:type="paragraph" w:styleId="a6">
    <w:name w:val="annotation text"/>
    <w:basedOn w:val="a"/>
    <w:link w:val="Char"/>
    <w:uiPriority w:val="99"/>
    <w:unhideWhenUsed/>
    <w:rsid w:val="002C4589"/>
    <w:pPr>
      <w:jc w:val="left"/>
    </w:pPr>
  </w:style>
  <w:style w:type="character" w:customStyle="1" w:styleId="Char">
    <w:name w:val="批注文字 Char"/>
    <w:basedOn w:val="a0"/>
    <w:link w:val="a6"/>
    <w:uiPriority w:val="99"/>
    <w:rsid w:val="002C4589"/>
  </w:style>
  <w:style w:type="paragraph" w:styleId="a7">
    <w:name w:val="annotation subject"/>
    <w:basedOn w:val="a6"/>
    <w:next w:val="a6"/>
    <w:link w:val="Char0"/>
    <w:uiPriority w:val="99"/>
    <w:semiHidden/>
    <w:unhideWhenUsed/>
    <w:rsid w:val="002C4589"/>
    <w:rPr>
      <w:b/>
      <w:bCs/>
    </w:rPr>
  </w:style>
  <w:style w:type="character" w:customStyle="1" w:styleId="Char0">
    <w:name w:val="批注主题 Char"/>
    <w:basedOn w:val="Char"/>
    <w:link w:val="a7"/>
    <w:uiPriority w:val="99"/>
    <w:semiHidden/>
    <w:rsid w:val="002C4589"/>
    <w:rPr>
      <w:b/>
      <w:bCs/>
    </w:rPr>
  </w:style>
  <w:style w:type="paragraph" w:styleId="a8">
    <w:name w:val="Balloon Text"/>
    <w:basedOn w:val="a"/>
    <w:link w:val="Char1"/>
    <w:uiPriority w:val="99"/>
    <w:semiHidden/>
    <w:unhideWhenUsed/>
    <w:rsid w:val="002C4589"/>
    <w:rPr>
      <w:sz w:val="18"/>
      <w:szCs w:val="18"/>
    </w:rPr>
  </w:style>
  <w:style w:type="character" w:customStyle="1" w:styleId="Char1">
    <w:name w:val="批注框文本 Char"/>
    <w:basedOn w:val="a0"/>
    <w:link w:val="a8"/>
    <w:uiPriority w:val="99"/>
    <w:semiHidden/>
    <w:rsid w:val="002C4589"/>
    <w:rPr>
      <w:sz w:val="18"/>
      <w:szCs w:val="18"/>
    </w:rPr>
  </w:style>
  <w:style w:type="paragraph" w:styleId="a9">
    <w:name w:val="header"/>
    <w:basedOn w:val="a"/>
    <w:link w:val="Char2"/>
    <w:uiPriority w:val="99"/>
    <w:unhideWhenUsed/>
    <w:rsid w:val="00484A2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484A24"/>
    <w:rPr>
      <w:sz w:val="18"/>
      <w:szCs w:val="18"/>
    </w:rPr>
  </w:style>
  <w:style w:type="paragraph" w:styleId="aa">
    <w:name w:val="footer"/>
    <w:basedOn w:val="a"/>
    <w:link w:val="Char3"/>
    <w:uiPriority w:val="99"/>
    <w:unhideWhenUsed/>
    <w:rsid w:val="00484A24"/>
    <w:pPr>
      <w:tabs>
        <w:tab w:val="center" w:pos="4153"/>
        <w:tab w:val="right" w:pos="8306"/>
      </w:tabs>
      <w:snapToGrid w:val="0"/>
      <w:jc w:val="left"/>
    </w:pPr>
    <w:rPr>
      <w:sz w:val="18"/>
      <w:szCs w:val="18"/>
    </w:rPr>
  </w:style>
  <w:style w:type="character" w:customStyle="1" w:styleId="Char3">
    <w:name w:val="页脚 Char"/>
    <w:basedOn w:val="a0"/>
    <w:link w:val="aa"/>
    <w:uiPriority w:val="99"/>
    <w:rsid w:val="00484A24"/>
    <w:rPr>
      <w:sz w:val="18"/>
      <w:szCs w:val="18"/>
    </w:rPr>
  </w:style>
</w:styles>
</file>

<file path=word/webSettings.xml><?xml version="1.0" encoding="utf-8"?>
<w:webSettings xmlns:r="http://schemas.openxmlformats.org/officeDocument/2006/relationships" xmlns:w="http://schemas.openxmlformats.org/wordprocessingml/2006/main">
  <w:divs>
    <w:div w:id="49697809">
      <w:bodyDiv w:val="1"/>
      <w:marLeft w:val="0"/>
      <w:marRight w:val="0"/>
      <w:marTop w:val="0"/>
      <w:marBottom w:val="0"/>
      <w:divBdr>
        <w:top w:val="none" w:sz="0" w:space="0" w:color="auto"/>
        <w:left w:val="none" w:sz="0" w:space="0" w:color="auto"/>
        <w:bottom w:val="none" w:sz="0" w:space="0" w:color="auto"/>
        <w:right w:val="none" w:sz="0" w:space="0" w:color="auto"/>
      </w:divBdr>
    </w:div>
    <w:div w:id="162941482">
      <w:bodyDiv w:val="1"/>
      <w:marLeft w:val="0"/>
      <w:marRight w:val="0"/>
      <w:marTop w:val="0"/>
      <w:marBottom w:val="0"/>
      <w:divBdr>
        <w:top w:val="none" w:sz="0" w:space="0" w:color="auto"/>
        <w:left w:val="none" w:sz="0" w:space="0" w:color="auto"/>
        <w:bottom w:val="none" w:sz="0" w:space="0" w:color="auto"/>
        <w:right w:val="none" w:sz="0" w:space="0" w:color="auto"/>
      </w:divBdr>
      <w:divsChild>
        <w:div w:id="1027952129">
          <w:marLeft w:val="0"/>
          <w:marRight w:val="0"/>
          <w:marTop w:val="0"/>
          <w:marBottom w:val="0"/>
          <w:divBdr>
            <w:top w:val="none" w:sz="0" w:space="0" w:color="auto"/>
            <w:left w:val="none" w:sz="0" w:space="0" w:color="auto"/>
            <w:bottom w:val="none" w:sz="0" w:space="0" w:color="auto"/>
            <w:right w:val="none" w:sz="0" w:space="0" w:color="auto"/>
          </w:divBdr>
          <w:divsChild>
            <w:div w:id="707992139">
              <w:marLeft w:val="0"/>
              <w:marRight w:val="0"/>
              <w:marTop w:val="0"/>
              <w:marBottom w:val="0"/>
              <w:divBdr>
                <w:top w:val="single" w:sz="6" w:space="12" w:color="DDDDDD"/>
                <w:left w:val="single" w:sz="6" w:space="12" w:color="DDDDDD"/>
                <w:bottom w:val="single" w:sz="6" w:space="12" w:color="DDDDDD"/>
                <w:right w:val="single" w:sz="6" w:space="12" w:color="DDDDDD"/>
              </w:divBdr>
              <w:divsChild>
                <w:div w:id="6935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53">
      <w:bodyDiv w:val="1"/>
      <w:marLeft w:val="0"/>
      <w:marRight w:val="0"/>
      <w:marTop w:val="0"/>
      <w:marBottom w:val="0"/>
      <w:divBdr>
        <w:top w:val="none" w:sz="0" w:space="0" w:color="auto"/>
        <w:left w:val="none" w:sz="0" w:space="0" w:color="auto"/>
        <w:bottom w:val="none" w:sz="0" w:space="0" w:color="auto"/>
        <w:right w:val="none" w:sz="0" w:space="0" w:color="auto"/>
      </w:divBdr>
    </w:div>
    <w:div w:id="255676748">
      <w:bodyDiv w:val="1"/>
      <w:marLeft w:val="0"/>
      <w:marRight w:val="0"/>
      <w:marTop w:val="0"/>
      <w:marBottom w:val="0"/>
      <w:divBdr>
        <w:top w:val="none" w:sz="0" w:space="0" w:color="auto"/>
        <w:left w:val="none" w:sz="0" w:space="0" w:color="auto"/>
        <w:bottom w:val="none" w:sz="0" w:space="0" w:color="auto"/>
        <w:right w:val="none" w:sz="0" w:space="0" w:color="auto"/>
      </w:divBdr>
    </w:div>
    <w:div w:id="258415182">
      <w:bodyDiv w:val="1"/>
      <w:marLeft w:val="0"/>
      <w:marRight w:val="0"/>
      <w:marTop w:val="0"/>
      <w:marBottom w:val="0"/>
      <w:divBdr>
        <w:top w:val="none" w:sz="0" w:space="0" w:color="auto"/>
        <w:left w:val="none" w:sz="0" w:space="0" w:color="auto"/>
        <w:bottom w:val="none" w:sz="0" w:space="0" w:color="auto"/>
        <w:right w:val="none" w:sz="0" w:space="0" w:color="auto"/>
      </w:divBdr>
    </w:div>
    <w:div w:id="388767054">
      <w:bodyDiv w:val="1"/>
      <w:marLeft w:val="0"/>
      <w:marRight w:val="0"/>
      <w:marTop w:val="0"/>
      <w:marBottom w:val="0"/>
      <w:divBdr>
        <w:top w:val="none" w:sz="0" w:space="0" w:color="auto"/>
        <w:left w:val="none" w:sz="0" w:space="0" w:color="auto"/>
        <w:bottom w:val="none" w:sz="0" w:space="0" w:color="auto"/>
        <w:right w:val="none" w:sz="0" w:space="0" w:color="auto"/>
      </w:divBdr>
    </w:div>
    <w:div w:id="391540758">
      <w:bodyDiv w:val="1"/>
      <w:marLeft w:val="0"/>
      <w:marRight w:val="0"/>
      <w:marTop w:val="0"/>
      <w:marBottom w:val="0"/>
      <w:divBdr>
        <w:top w:val="none" w:sz="0" w:space="0" w:color="auto"/>
        <w:left w:val="none" w:sz="0" w:space="0" w:color="auto"/>
        <w:bottom w:val="none" w:sz="0" w:space="0" w:color="auto"/>
        <w:right w:val="none" w:sz="0" w:space="0" w:color="auto"/>
      </w:divBdr>
    </w:div>
    <w:div w:id="392654265">
      <w:bodyDiv w:val="1"/>
      <w:marLeft w:val="0"/>
      <w:marRight w:val="0"/>
      <w:marTop w:val="0"/>
      <w:marBottom w:val="0"/>
      <w:divBdr>
        <w:top w:val="none" w:sz="0" w:space="0" w:color="auto"/>
        <w:left w:val="none" w:sz="0" w:space="0" w:color="auto"/>
        <w:bottom w:val="none" w:sz="0" w:space="0" w:color="auto"/>
        <w:right w:val="none" w:sz="0" w:space="0" w:color="auto"/>
      </w:divBdr>
      <w:divsChild>
        <w:div w:id="637494573">
          <w:marLeft w:val="0"/>
          <w:marRight w:val="0"/>
          <w:marTop w:val="0"/>
          <w:marBottom w:val="0"/>
          <w:divBdr>
            <w:top w:val="none" w:sz="0" w:space="0" w:color="auto"/>
            <w:left w:val="none" w:sz="0" w:space="0" w:color="auto"/>
            <w:bottom w:val="none" w:sz="0" w:space="0" w:color="auto"/>
            <w:right w:val="none" w:sz="0" w:space="0" w:color="auto"/>
          </w:divBdr>
          <w:divsChild>
            <w:div w:id="1467894069">
              <w:marLeft w:val="0"/>
              <w:marRight w:val="0"/>
              <w:marTop w:val="0"/>
              <w:marBottom w:val="0"/>
              <w:divBdr>
                <w:top w:val="single" w:sz="6" w:space="12" w:color="DDDDDD"/>
                <w:left w:val="single" w:sz="6" w:space="12" w:color="DDDDDD"/>
                <w:bottom w:val="single" w:sz="6" w:space="12" w:color="DDDDDD"/>
                <w:right w:val="single" w:sz="6" w:space="12" w:color="DDDDDD"/>
              </w:divBdr>
              <w:divsChild>
                <w:div w:id="1553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22908">
      <w:bodyDiv w:val="1"/>
      <w:marLeft w:val="0"/>
      <w:marRight w:val="0"/>
      <w:marTop w:val="0"/>
      <w:marBottom w:val="0"/>
      <w:divBdr>
        <w:top w:val="none" w:sz="0" w:space="0" w:color="auto"/>
        <w:left w:val="none" w:sz="0" w:space="0" w:color="auto"/>
        <w:bottom w:val="none" w:sz="0" w:space="0" w:color="auto"/>
        <w:right w:val="none" w:sz="0" w:space="0" w:color="auto"/>
      </w:divBdr>
    </w:div>
    <w:div w:id="438991575">
      <w:bodyDiv w:val="1"/>
      <w:marLeft w:val="0"/>
      <w:marRight w:val="0"/>
      <w:marTop w:val="0"/>
      <w:marBottom w:val="0"/>
      <w:divBdr>
        <w:top w:val="none" w:sz="0" w:space="0" w:color="auto"/>
        <w:left w:val="none" w:sz="0" w:space="0" w:color="auto"/>
        <w:bottom w:val="none" w:sz="0" w:space="0" w:color="auto"/>
        <w:right w:val="none" w:sz="0" w:space="0" w:color="auto"/>
      </w:divBdr>
    </w:div>
    <w:div w:id="533273032">
      <w:bodyDiv w:val="1"/>
      <w:marLeft w:val="0"/>
      <w:marRight w:val="0"/>
      <w:marTop w:val="0"/>
      <w:marBottom w:val="0"/>
      <w:divBdr>
        <w:top w:val="none" w:sz="0" w:space="0" w:color="auto"/>
        <w:left w:val="none" w:sz="0" w:space="0" w:color="auto"/>
        <w:bottom w:val="none" w:sz="0" w:space="0" w:color="auto"/>
        <w:right w:val="none" w:sz="0" w:space="0" w:color="auto"/>
      </w:divBdr>
    </w:div>
    <w:div w:id="567153797">
      <w:bodyDiv w:val="1"/>
      <w:marLeft w:val="0"/>
      <w:marRight w:val="0"/>
      <w:marTop w:val="0"/>
      <w:marBottom w:val="0"/>
      <w:divBdr>
        <w:top w:val="none" w:sz="0" w:space="0" w:color="auto"/>
        <w:left w:val="none" w:sz="0" w:space="0" w:color="auto"/>
        <w:bottom w:val="none" w:sz="0" w:space="0" w:color="auto"/>
        <w:right w:val="none" w:sz="0" w:space="0" w:color="auto"/>
      </w:divBdr>
    </w:div>
    <w:div w:id="801772973">
      <w:bodyDiv w:val="1"/>
      <w:marLeft w:val="0"/>
      <w:marRight w:val="0"/>
      <w:marTop w:val="0"/>
      <w:marBottom w:val="0"/>
      <w:divBdr>
        <w:top w:val="none" w:sz="0" w:space="0" w:color="auto"/>
        <w:left w:val="none" w:sz="0" w:space="0" w:color="auto"/>
        <w:bottom w:val="none" w:sz="0" w:space="0" w:color="auto"/>
        <w:right w:val="none" w:sz="0" w:space="0" w:color="auto"/>
      </w:divBdr>
    </w:div>
    <w:div w:id="816728279">
      <w:bodyDiv w:val="1"/>
      <w:marLeft w:val="0"/>
      <w:marRight w:val="0"/>
      <w:marTop w:val="0"/>
      <w:marBottom w:val="0"/>
      <w:divBdr>
        <w:top w:val="none" w:sz="0" w:space="0" w:color="auto"/>
        <w:left w:val="none" w:sz="0" w:space="0" w:color="auto"/>
        <w:bottom w:val="none" w:sz="0" w:space="0" w:color="auto"/>
        <w:right w:val="none" w:sz="0" w:space="0" w:color="auto"/>
      </w:divBdr>
    </w:div>
    <w:div w:id="885526938">
      <w:bodyDiv w:val="1"/>
      <w:marLeft w:val="0"/>
      <w:marRight w:val="0"/>
      <w:marTop w:val="0"/>
      <w:marBottom w:val="0"/>
      <w:divBdr>
        <w:top w:val="none" w:sz="0" w:space="0" w:color="auto"/>
        <w:left w:val="none" w:sz="0" w:space="0" w:color="auto"/>
        <w:bottom w:val="none" w:sz="0" w:space="0" w:color="auto"/>
        <w:right w:val="none" w:sz="0" w:space="0" w:color="auto"/>
      </w:divBdr>
    </w:div>
    <w:div w:id="1049455011">
      <w:bodyDiv w:val="1"/>
      <w:marLeft w:val="0"/>
      <w:marRight w:val="0"/>
      <w:marTop w:val="0"/>
      <w:marBottom w:val="0"/>
      <w:divBdr>
        <w:top w:val="none" w:sz="0" w:space="0" w:color="auto"/>
        <w:left w:val="none" w:sz="0" w:space="0" w:color="auto"/>
        <w:bottom w:val="none" w:sz="0" w:space="0" w:color="auto"/>
        <w:right w:val="none" w:sz="0" w:space="0" w:color="auto"/>
      </w:divBdr>
    </w:div>
    <w:div w:id="1188829182">
      <w:bodyDiv w:val="1"/>
      <w:marLeft w:val="0"/>
      <w:marRight w:val="0"/>
      <w:marTop w:val="0"/>
      <w:marBottom w:val="0"/>
      <w:divBdr>
        <w:top w:val="none" w:sz="0" w:space="0" w:color="auto"/>
        <w:left w:val="none" w:sz="0" w:space="0" w:color="auto"/>
        <w:bottom w:val="none" w:sz="0" w:space="0" w:color="auto"/>
        <w:right w:val="none" w:sz="0" w:space="0" w:color="auto"/>
      </w:divBdr>
    </w:div>
    <w:div w:id="1305235750">
      <w:bodyDiv w:val="1"/>
      <w:marLeft w:val="0"/>
      <w:marRight w:val="0"/>
      <w:marTop w:val="0"/>
      <w:marBottom w:val="0"/>
      <w:divBdr>
        <w:top w:val="none" w:sz="0" w:space="0" w:color="auto"/>
        <w:left w:val="none" w:sz="0" w:space="0" w:color="auto"/>
        <w:bottom w:val="none" w:sz="0" w:space="0" w:color="auto"/>
        <w:right w:val="none" w:sz="0" w:space="0" w:color="auto"/>
      </w:divBdr>
    </w:div>
    <w:div w:id="1414741079">
      <w:bodyDiv w:val="1"/>
      <w:marLeft w:val="0"/>
      <w:marRight w:val="0"/>
      <w:marTop w:val="0"/>
      <w:marBottom w:val="0"/>
      <w:divBdr>
        <w:top w:val="none" w:sz="0" w:space="0" w:color="auto"/>
        <w:left w:val="none" w:sz="0" w:space="0" w:color="auto"/>
        <w:bottom w:val="none" w:sz="0" w:space="0" w:color="auto"/>
        <w:right w:val="none" w:sz="0" w:space="0" w:color="auto"/>
      </w:divBdr>
    </w:div>
    <w:div w:id="1481573916">
      <w:bodyDiv w:val="1"/>
      <w:marLeft w:val="0"/>
      <w:marRight w:val="0"/>
      <w:marTop w:val="0"/>
      <w:marBottom w:val="0"/>
      <w:divBdr>
        <w:top w:val="none" w:sz="0" w:space="0" w:color="auto"/>
        <w:left w:val="none" w:sz="0" w:space="0" w:color="auto"/>
        <w:bottom w:val="none" w:sz="0" w:space="0" w:color="auto"/>
        <w:right w:val="none" w:sz="0" w:space="0" w:color="auto"/>
      </w:divBdr>
    </w:div>
    <w:div w:id="1560554923">
      <w:bodyDiv w:val="1"/>
      <w:marLeft w:val="0"/>
      <w:marRight w:val="0"/>
      <w:marTop w:val="0"/>
      <w:marBottom w:val="0"/>
      <w:divBdr>
        <w:top w:val="none" w:sz="0" w:space="0" w:color="auto"/>
        <w:left w:val="none" w:sz="0" w:space="0" w:color="auto"/>
        <w:bottom w:val="none" w:sz="0" w:space="0" w:color="auto"/>
        <w:right w:val="none" w:sz="0" w:space="0" w:color="auto"/>
      </w:divBdr>
    </w:div>
    <w:div w:id="1580403998">
      <w:bodyDiv w:val="1"/>
      <w:marLeft w:val="0"/>
      <w:marRight w:val="0"/>
      <w:marTop w:val="0"/>
      <w:marBottom w:val="0"/>
      <w:divBdr>
        <w:top w:val="none" w:sz="0" w:space="0" w:color="auto"/>
        <w:left w:val="none" w:sz="0" w:space="0" w:color="auto"/>
        <w:bottom w:val="none" w:sz="0" w:space="0" w:color="auto"/>
        <w:right w:val="none" w:sz="0" w:space="0" w:color="auto"/>
      </w:divBdr>
    </w:div>
    <w:div w:id="1629045899">
      <w:bodyDiv w:val="1"/>
      <w:marLeft w:val="0"/>
      <w:marRight w:val="0"/>
      <w:marTop w:val="0"/>
      <w:marBottom w:val="0"/>
      <w:divBdr>
        <w:top w:val="none" w:sz="0" w:space="0" w:color="auto"/>
        <w:left w:val="none" w:sz="0" w:space="0" w:color="auto"/>
        <w:bottom w:val="none" w:sz="0" w:space="0" w:color="auto"/>
        <w:right w:val="none" w:sz="0" w:space="0" w:color="auto"/>
      </w:divBdr>
    </w:div>
    <w:div w:id="1657490147">
      <w:bodyDiv w:val="1"/>
      <w:marLeft w:val="0"/>
      <w:marRight w:val="0"/>
      <w:marTop w:val="0"/>
      <w:marBottom w:val="0"/>
      <w:divBdr>
        <w:top w:val="none" w:sz="0" w:space="0" w:color="auto"/>
        <w:left w:val="none" w:sz="0" w:space="0" w:color="auto"/>
        <w:bottom w:val="none" w:sz="0" w:space="0" w:color="auto"/>
        <w:right w:val="none" w:sz="0" w:space="0" w:color="auto"/>
      </w:divBdr>
    </w:div>
    <w:div w:id="1721172619">
      <w:bodyDiv w:val="1"/>
      <w:marLeft w:val="0"/>
      <w:marRight w:val="0"/>
      <w:marTop w:val="0"/>
      <w:marBottom w:val="0"/>
      <w:divBdr>
        <w:top w:val="none" w:sz="0" w:space="0" w:color="auto"/>
        <w:left w:val="none" w:sz="0" w:space="0" w:color="auto"/>
        <w:bottom w:val="none" w:sz="0" w:space="0" w:color="auto"/>
        <w:right w:val="none" w:sz="0" w:space="0" w:color="auto"/>
      </w:divBdr>
    </w:div>
    <w:div w:id="1725761192">
      <w:bodyDiv w:val="1"/>
      <w:marLeft w:val="0"/>
      <w:marRight w:val="0"/>
      <w:marTop w:val="0"/>
      <w:marBottom w:val="0"/>
      <w:divBdr>
        <w:top w:val="none" w:sz="0" w:space="0" w:color="auto"/>
        <w:left w:val="none" w:sz="0" w:space="0" w:color="auto"/>
        <w:bottom w:val="none" w:sz="0" w:space="0" w:color="auto"/>
        <w:right w:val="none" w:sz="0" w:space="0" w:color="auto"/>
      </w:divBdr>
    </w:div>
    <w:div w:id="1766219948">
      <w:bodyDiv w:val="1"/>
      <w:marLeft w:val="0"/>
      <w:marRight w:val="0"/>
      <w:marTop w:val="0"/>
      <w:marBottom w:val="0"/>
      <w:divBdr>
        <w:top w:val="none" w:sz="0" w:space="0" w:color="auto"/>
        <w:left w:val="none" w:sz="0" w:space="0" w:color="auto"/>
        <w:bottom w:val="none" w:sz="0" w:space="0" w:color="auto"/>
        <w:right w:val="none" w:sz="0" w:space="0" w:color="auto"/>
      </w:divBdr>
    </w:div>
    <w:div w:id="1847137818">
      <w:bodyDiv w:val="1"/>
      <w:marLeft w:val="0"/>
      <w:marRight w:val="0"/>
      <w:marTop w:val="0"/>
      <w:marBottom w:val="0"/>
      <w:divBdr>
        <w:top w:val="none" w:sz="0" w:space="0" w:color="auto"/>
        <w:left w:val="none" w:sz="0" w:space="0" w:color="auto"/>
        <w:bottom w:val="none" w:sz="0" w:space="0" w:color="auto"/>
        <w:right w:val="none" w:sz="0" w:space="0" w:color="auto"/>
      </w:divBdr>
    </w:div>
    <w:div w:id="1935941810">
      <w:bodyDiv w:val="1"/>
      <w:marLeft w:val="0"/>
      <w:marRight w:val="0"/>
      <w:marTop w:val="0"/>
      <w:marBottom w:val="0"/>
      <w:divBdr>
        <w:top w:val="none" w:sz="0" w:space="0" w:color="auto"/>
        <w:left w:val="none" w:sz="0" w:space="0" w:color="auto"/>
        <w:bottom w:val="none" w:sz="0" w:space="0" w:color="auto"/>
        <w:right w:val="none" w:sz="0" w:space="0" w:color="auto"/>
      </w:divBdr>
    </w:div>
    <w:div w:id="1997176224">
      <w:bodyDiv w:val="1"/>
      <w:marLeft w:val="0"/>
      <w:marRight w:val="0"/>
      <w:marTop w:val="0"/>
      <w:marBottom w:val="0"/>
      <w:divBdr>
        <w:top w:val="none" w:sz="0" w:space="0" w:color="auto"/>
        <w:left w:val="none" w:sz="0" w:space="0" w:color="auto"/>
        <w:bottom w:val="none" w:sz="0" w:space="0" w:color="auto"/>
        <w:right w:val="none" w:sz="0" w:space="0" w:color="auto"/>
      </w:divBdr>
    </w:div>
    <w:div w:id="2067214612">
      <w:bodyDiv w:val="1"/>
      <w:marLeft w:val="0"/>
      <w:marRight w:val="0"/>
      <w:marTop w:val="0"/>
      <w:marBottom w:val="0"/>
      <w:divBdr>
        <w:top w:val="none" w:sz="0" w:space="0" w:color="auto"/>
        <w:left w:val="none" w:sz="0" w:space="0" w:color="auto"/>
        <w:bottom w:val="none" w:sz="0" w:space="0" w:color="auto"/>
        <w:right w:val="none" w:sz="0" w:space="0" w:color="auto"/>
      </w:divBdr>
    </w:div>
    <w:div w:id="20863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1363</Characters>
  <Application>Microsoft Office Word</Application>
  <DocSecurity>4</DocSecurity>
  <Lines>11</Lines>
  <Paragraphs>3</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2024-07-09T16:01:00Z</dcterms:created>
  <dcterms:modified xsi:type="dcterms:W3CDTF">2024-07-09T16:01:00Z</dcterms:modified>
</cp:coreProperties>
</file>