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46" w:rsidRDefault="003D0D55">
      <w:pPr>
        <w:spacing w:line="360" w:lineRule="auto"/>
        <w:jc w:val="center"/>
        <w:rPr>
          <w:rFonts w:ascii="Times New Roman" w:eastAsia="宋体" w:hAnsi="Times New Roman" w:cs="Times New Roman"/>
          <w:sz w:val="44"/>
          <w:szCs w:val="44"/>
        </w:rPr>
      </w:pPr>
      <w:bookmarkStart w:id="0" w:name="_GoBack"/>
      <w:bookmarkEnd w:id="0"/>
      <w:r>
        <w:rPr>
          <w:rFonts w:ascii="Times New Roman" w:eastAsia="宋体" w:hAnsi="Times New Roman" w:cs="Times New Roman"/>
          <w:sz w:val="44"/>
          <w:szCs w:val="44"/>
        </w:rPr>
        <w:t>关于旗下部分基金在</w:t>
      </w:r>
      <w:r>
        <w:rPr>
          <w:rFonts w:ascii="Times New Roman" w:eastAsia="宋体" w:hAnsi="Times New Roman" w:cs="Times New Roman" w:hint="eastAsia"/>
          <w:sz w:val="44"/>
          <w:szCs w:val="44"/>
        </w:rPr>
        <w:t>招商</w:t>
      </w:r>
      <w:r>
        <w:rPr>
          <w:rFonts w:ascii="Times New Roman" w:eastAsia="宋体" w:hAnsi="Times New Roman" w:cs="Times New Roman" w:hint="eastAsia"/>
          <w:sz w:val="44"/>
          <w:szCs w:val="44"/>
        </w:rPr>
        <w:t>银行</w:t>
      </w:r>
    </w:p>
    <w:p w:rsidR="00CE0846" w:rsidRDefault="003D0D55">
      <w:pPr>
        <w:spacing w:line="360" w:lineRule="auto"/>
        <w:jc w:val="center"/>
        <w:rPr>
          <w:rFonts w:ascii="Times New Roman" w:eastAsia="宋体" w:hAnsi="Times New Roman" w:cs="Times New Roman"/>
          <w:sz w:val="44"/>
          <w:szCs w:val="44"/>
        </w:rPr>
      </w:pPr>
      <w:r>
        <w:rPr>
          <w:rFonts w:ascii="Times New Roman" w:eastAsia="宋体" w:hAnsi="Times New Roman" w:cs="Times New Roman"/>
          <w:sz w:val="44"/>
          <w:szCs w:val="44"/>
        </w:rPr>
        <w:t>开通基金转换业务的公告</w:t>
      </w:r>
    </w:p>
    <w:p w:rsidR="00CE0846" w:rsidRDefault="00CE0846">
      <w:pPr>
        <w:spacing w:line="360" w:lineRule="auto"/>
        <w:jc w:val="center"/>
        <w:rPr>
          <w:rFonts w:ascii="Times New Roman" w:eastAsia="宋体" w:hAnsi="Times New Roman" w:cs="Times New Roman"/>
          <w:sz w:val="44"/>
          <w:szCs w:val="44"/>
        </w:rPr>
      </w:pPr>
    </w:p>
    <w:p w:rsidR="00CE0846" w:rsidRDefault="003D0D5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kern w:val="0"/>
          <w:sz w:val="24"/>
          <w:szCs w:val="24"/>
        </w:rPr>
        <w:t>为向广大客户提供更加全面、优质的金融服务，兴银基金管理有限责任公司（以下简称</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我公司</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）将自</w:t>
      </w:r>
      <w:r>
        <w:rPr>
          <w:rFonts w:ascii="Times New Roman" w:eastAsia="宋体" w:hAnsi="Times New Roman" w:cs="Times New Roman" w:hint="eastAsia"/>
          <w:color w:val="000000"/>
          <w:kern w:val="0"/>
          <w:sz w:val="24"/>
          <w:szCs w:val="24"/>
        </w:rPr>
        <w:t>202</w:t>
      </w:r>
      <w:r>
        <w:rPr>
          <w:rFonts w:ascii="Times New Roman" w:eastAsia="宋体" w:hAnsi="Times New Roman" w:cs="Times New Roman" w:hint="eastAsia"/>
          <w:color w:val="000000"/>
          <w:kern w:val="0"/>
          <w:sz w:val="24"/>
          <w:szCs w:val="24"/>
        </w:rPr>
        <w:t>4</w:t>
      </w:r>
      <w:r>
        <w:rPr>
          <w:rFonts w:ascii="Times New Roman" w:eastAsia="宋体" w:hAnsi="Times New Roman" w:cs="Times New Roman"/>
          <w:color w:val="000000"/>
          <w:kern w:val="0"/>
          <w:sz w:val="24"/>
          <w:szCs w:val="24"/>
        </w:rPr>
        <w:t>年</w:t>
      </w:r>
      <w:r>
        <w:rPr>
          <w:rFonts w:ascii="Times New Roman" w:eastAsia="宋体" w:hAnsi="Times New Roman" w:cs="Times New Roman" w:hint="eastAsia"/>
          <w:color w:val="000000"/>
          <w:kern w:val="0"/>
          <w:sz w:val="24"/>
          <w:szCs w:val="24"/>
        </w:rPr>
        <w:t>7</w:t>
      </w:r>
      <w:r>
        <w:rPr>
          <w:rFonts w:ascii="Times New Roman" w:eastAsia="宋体" w:hAnsi="Times New Roman" w:cs="Times New Roman"/>
          <w:color w:val="000000"/>
          <w:kern w:val="0"/>
          <w:sz w:val="24"/>
          <w:szCs w:val="24"/>
        </w:rPr>
        <w:t>月</w:t>
      </w:r>
      <w:r>
        <w:rPr>
          <w:rFonts w:ascii="Times New Roman" w:eastAsia="宋体" w:hAnsi="Times New Roman" w:cs="Times New Roman" w:hint="eastAsia"/>
          <w:color w:val="000000"/>
          <w:kern w:val="0"/>
          <w:sz w:val="24"/>
          <w:szCs w:val="24"/>
        </w:rPr>
        <w:t>4</w:t>
      </w:r>
      <w:r>
        <w:rPr>
          <w:rFonts w:ascii="Times New Roman" w:eastAsia="宋体" w:hAnsi="Times New Roman" w:cs="Times New Roman"/>
          <w:color w:val="000000"/>
          <w:kern w:val="0"/>
          <w:sz w:val="24"/>
          <w:szCs w:val="24"/>
        </w:rPr>
        <w:t>日起，在</w:t>
      </w:r>
      <w:r>
        <w:rPr>
          <w:rFonts w:ascii="Times New Roman" w:eastAsia="宋体" w:hAnsi="Times New Roman" w:cs="Times New Roman" w:hint="eastAsia"/>
          <w:color w:val="000000"/>
          <w:kern w:val="0"/>
          <w:sz w:val="24"/>
          <w:szCs w:val="24"/>
        </w:rPr>
        <w:t>招商</w:t>
      </w:r>
      <w:r>
        <w:rPr>
          <w:rFonts w:ascii="Times New Roman" w:eastAsia="宋体" w:hAnsi="Times New Roman" w:cs="Times New Roman" w:hint="eastAsia"/>
          <w:color w:val="000000"/>
          <w:kern w:val="0"/>
          <w:sz w:val="24"/>
          <w:szCs w:val="24"/>
        </w:rPr>
        <w:t>银行股份有限公司</w:t>
      </w:r>
      <w:r>
        <w:rPr>
          <w:rFonts w:ascii="Times New Roman" w:eastAsia="宋体" w:hAnsi="Times New Roman" w:cs="Times New Roman"/>
          <w:color w:val="000000"/>
          <w:kern w:val="0"/>
          <w:sz w:val="24"/>
          <w:szCs w:val="24"/>
        </w:rPr>
        <w:t>（以下简称</w:t>
      </w:r>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招商</w:t>
      </w:r>
      <w:r>
        <w:rPr>
          <w:rFonts w:ascii="Times New Roman" w:eastAsia="宋体" w:hAnsi="Times New Roman" w:cs="Times New Roman" w:hint="eastAsia"/>
          <w:color w:val="000000"/>
          <w:kern w:val="0"/>
          <w:sz w:val="24"/>
          <w:szCs w:val="24"/>
        </w:rPr>
        <w:t>银行</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）开通旗下部分基金的转换业务。现将具体事项公告如下：</w:t>
      </w:r>
    </w:p>
    <w:p w:rsidR="00CE0846" w:rsidRDefault="003D0D55">
      <w:pPr>
        <w:numPr>
          <w:ilvl w:val="0"/>
          <w:numId w:val="1"/>
        </w:num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适用基金</w:t>
      </w:r>
    </w:p>
    <w:tbl>
      <w:tblPr>
        <w:tblW w:w="6659" w:type="dxa"/>
        <w:jc w:val="center"/>
        <w:tblLook w:val="04A0"/>
      </w:tblPr>
      <w:tblGrid>
        <w:gridCol w:w="1218"/>
        <w:gridCol w:w="5441"/>
      </w:tblGrid>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产品代码</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基金名称</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001937</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兴银现金增利货币市场基金</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004121</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兴银现金添利货币市场基金</w:t>
            </w:r>
            <w:r>
              <w:rPr>
                <w:rFonts w:ascii="宋体" w:eastAsia="宋体" w:hAnsi="宋体" w:cs="宋体" w:hint="eastAsia"/>
                <w:color w:val="000000"/>
                <w:kern w:val="0"/>
                <w:sz w:val="24"/>
                <w:szCs w:val="24"/>
                <w:lang/>
              </w:rPr>
              <w:t>A</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003525</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兴银现金收益货币市场基金</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000741</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兴银货币市场基金</w:t>
            </w:r>
            <w:r>
              <w:rPr>
                <w:rFonts w:ascii="宋体" w:eastAsia="宋体" w:hAnsi="宋体" w:cs="宋体" w:hint="eastAsia"/>
                <w:color w:val="000000"/>
                <w:kern w:val="0"/>
                <w:sz w:val="24"/>
                <w:szCs w:val="24"/>
                <w:lang/>
              </w:rPr>
              <w:t>A</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000740</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兴银货币市场基金</w:t>
            </w:r>
            <w:r>
              <w:rPr>
                <w:rFonts w:ascii="宋体" w:eastAsia="宋体" w:hAnsi="宋体" w:cs="宋体" w:hint="eastAsia"/>
                <w:color w:val="000000"/>
                <w:kern w:val="0"/>
                <w:sz w:val="24"/>
                <w:szCs w:val="24"/>
                <w:lang/>
              </w:rPr>
              <w:t>B</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007433</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兴银合丰政策性金融债债券型证券投资基金</w:t>
            </w:r>
            <w:r>
              <w:rPr>
                <w:rFonts w:ascii="宋体" w:eastAsia="宋体" w:hAnsi="宋体" w:cs="宋体" w:hint="eastAsia"/>
                <w:color w:val="000000"/>
                <w:kern w:val="0"/>
                <w:sz w:val="24"/>
                <w:szCs w:val="24"/>
                <w:lang/>
              </w:rPr>
              <w:t>A</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017613</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兴银合丰政策性金融债债券型证券投资基金</w:t>
            </w:r>
            <w:r>
              <w:rPr>
                <w:rFonts w:ascii="宋体" w:eastAsia="宋体" w:hAnsi="宋体" w:cs="宋体" w:hint="eastAsia"/>
                <w:color w:val="000000"/>
                <w:kern w:val="0"/>
                <w:sz w:val="24"/>
                <w:szCs w:val="24"/>
                <w:lang/>
              </w:rPr>
              <w:t>C</w:t>
            </w:r>
          </w:p>
        </w:tc>
      </w:tr>
      <w:tr w:rsidR="00CE0846">
        <w:trPr>
          <w:trHeight w:val="63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015648</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兴银中证同业存单</w:t>
            </w:r>
            <w:r>
              <w:rPr>
                <w:rFonts w:ascii="宋体" w:eastAsia="宋体" w:hAnsi="宋体" w:cs="宋体" w:hint="eastAsia"/>
                <w:color w:val="000000"/>
                <w:kern w:val="0"/>
                <w:sz w:val="24"/>
                <w:szCs w:val="24"/>
                <w:lang/>
              </w:rPr>
              <w:t>AAA</w:t>
            </w:r>
            <w:r>
              <w:rPr>
                <w:rFonts w:ascii="宋体" w:eastAsia="宋体" w:hAnsi="宋体" w:cs="宋体" w:hint="eastAsia"/>
                <w:color w:val="000000"/>
                <w:kern w:val="0"/>
                <w:sz w:val="24"/>
                <w:szCs w:val="24"/>
                <w:lang/>
              </w:rPr>
              <w:t>指数</w:t>
            </w:r>
            <w:r>
              <w:rPr>
                <w:rFonts w:ascii="宋体" w:eastAsia="宋体" w:hAnsi="宋体" w:cs="宋体" w:hint="eastAsia"/>
                <w:color w:val="000000"/>
                <w:kern w:val="0"/>
                <w:sz w:val="24"/>
                <w:szCs w:val="24"/>
                <w:lang/>
              </w:rPr>
              <w:t>7</w:t>
            </w:r>
            <w:r>
              <w:rPr>
                <w:rFonts w:ascii="宋体" w:eastAsia="宋体" w:hAnsi="宋体" w:cs="宋体" w:hint="eastAsia"/>
                <w:color w:val="000000"/>
                <w:kern w:val="0"/>
                <w:sz w:val="24"/>
                <w:szCs w:val="24"/>
                <w:lang/>
              </w:rPr>
              <w:t>天持有期证券投资基金</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016353</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兴银合泰债券型证券投资基金</w:t>
            </w:r>
            <w:r>
              <w:rPr>
                <w:rFonts w:ascii="宋体" w:eastAsia="宋体" w:hAnsi="宋体" w:cs="宋体" w:hint="eastAsia"/>
                <w:color w:val="000000"/>
                <w:kern w:val="0"/>
                <w:sz w:val="24"/>
                <w:szCs w:val="24"/>
                <w:lang/>
              </w:rPr>
              <w:t>A</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016354</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兴银合泰债券型证券投资基金</w:t>
            </w:r>
            <w:r>
              <w:rPr>
                <w:rFonts w:ascii="宋体" w:eastAsia="宋体" w:hAnsi="宋体" w:cs="宋体" w:hint="eastAsia"/>
                <w:color w:val="000000"/>
                <w:kern w:val="0"/>
                <w:sz w:val="24"/>
                <w:szCs w:val="24"/>
                <w:lang/>
              </w:rPr>
              <w:t>C</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006545</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兴银中短债债券型证券投资基金</w:t>
            </w:r>
            <w:r>
              <w:rPr>
                <w:rFonts w:ascii="宋体" w:eastAsia="宋体" w:hAnsi="宋体" w:cs="宋体" w:hint="eastAsia"/>
                <w:color w:val="000000"/>
                <w:kern w:val="0"/>
                <w:sz w:val="24"/>
                <w:szCs w:val="24"/>
                <w:lang/>
              </w:rPr>
              <w:t>A</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006546</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兴银中短债债券型证券投资基金</w:t>
            </w:r>
            <w:r>
              <w:rPr>
                <w:rFonts w:ascii="宋体" w:eastAsia="宋体" w:hAnsi="宋体" w:cs="宋体" w:hint="eastAsia"/>
                <w:color w:val="000000"/>
                <w:kern w:val="0"/>
                <w:sz w:val="24"/>
                <w:szCs w:val="24"/>
                <w:lang/>
              </w:rPr>
              <w:t>C</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005079</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兴银鑫日享短债债券型证券投资基金</w:t>
            </w:r>
            <w:r>
              <w:rPr>
                <w:rFonts w:ascii="宋体" w:eastAsia="宋体" w:hAnsi="宋体" w:cs="宋体" w:hint="eastAsia"/>
                <w:color w:val="000000"/>
                <w:kern w:val="0"/>
                <w:sz w:val="24"/>
                <w:szCs w:val="24"/>
                <w:lang/>
              </w:rPr>
              <w:t>A</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007637</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兴银鑫日享短债债券型证券投资基金</w:t>
            </w:r>
            <w:r>
              <w:rPr>
                <w:rFonts w:ascii="宋体" w:eastAsia="宋体" w:hAnsi="宋体" w:cs="宋体" w:hint="eastAsia"/>
                <w:color w:val="000000"/>
                <w:kern w:val="0"/>
                <w:sz w:val="24"/>
                <w:szCs w:val="24"/>
                <w:lang/>
              </w:rPr>
              <w:t>C</w:t>
            </w:r>
          </w:p>
        </w:tc>
      </w:tr>
      <w:tr w:rsidR="00CE0846">
        <w:trPr>
          <w:trHeight w:val="63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012392</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兴银稳安</w:t>
            </w:r>
            <w:r>
              <w:rPr>
                <w:rFonts w:ascii="宋体" w:eastAsia="宋体" w:hAnsi="宋体" w:cs="宋体" w:hint="eastAsia"/>
                <w:color w:val="000000"/>
                <w:kern w:val="0"/>
                <w:sz w:val="24"/>
                <w:szCs w:val="24"/>
                <w:lang/>
              </w:rPr>
              <w:t>60</w:t>
            </w:r>
            <w:r>
              <w:rPr>
                <w:rFonts w:ascii="宋体" w:eastAsia="宋体" w:hAnsi="宋体" w:cs="宋体" w:hint="eastAsia"/>
                <w:color w:val="000000"/>
                <w:kern w:val="0"/>
                <w:sz w:val="24"/>
                <w:szCs w:val="24"/>
                <w:lang/>
              </w:rPr>
              <w:t>天滚动持有债券型发起式证券投资基金</w:t>
            </w:r>
            <w:r>
              <w:rPr>
                <w:rFonts w:ascii="宋体" w:eastAsia="宋体" w:hAnsi="宋体" w:cs="宋体" w:hint="eastAsia"/>
                <w:color w:val="000000"/>
                <w:kern w:val="0"/>
                <w:sz w:val="24"/>
                <w:szCs w:val="24"/>
                <w:lang/>
              </w:rPr>
              <w:t>A</w:t>
            </w:r>
          </w:p>
        </w:tc>
      </w:tr>
      <w:tr w:rsidR="00CE0846">
        <w:trPr>
          <w:trHeight w:val="63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012393</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兴银稳安</w:t>
            </w:r>
            <w:r>
              <w:rPr>
                <w:rFonts w:ascii="宋体" w:eastAsia="宋体" w:hAnsi="宋体" w:cs="宋体" w:hint="eastAsia"/>
                <w:color w:val="000000"/>
                <w:kern w:val="0"/>
                <w:sz w:val="24"/>
                <w:szCs w:val="24"/>
                <w:lang/>
              </w:rPr>
              <w:t>60</w:t>
            </w:r>
            <w:r>
              <w:rPr>
                <w:rFonts w:ascii="宋体" w:eastAsia="宋体" w:hAnsi="宋体" w:cs="宋体" w:hint="eastAsia"/>
                <w:color w:val="000000"/>
                <w:kern w:val="0"/>
                <w:sz w:val="24"/>
                <w:szCs w:val="24"/>
                <w:lang/>
              </w:rPr>
              <w:t>天滚动持有债券型发起式证券投资基金</w:t>
            </w:r>
            <w:r>
              <w:rPr>
                <w:rFonts w:ascii="宋体" w:eastAsia="宋体" w:hAnsi="宋体" w:cs="宋体" w:hint="eastAsia"/>
                <w:color w:val="000000"/>
                <w:kern w:val="0"/>
                <w:sz w:val="24"/>
                <w:szCs w:val="24"/>
                <w:lang/>
              </w:rPr>
              <w:t>C</w:t>
            </w:r>
          </w:p>
        </w:tc>
      </w:tr>
      <w:tr w:rsidR="00CE0846">
        <w:trPr>
          <w:trHeight w:val="63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013156</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兴银稳安</w:t>
            </w:r>
            <w:r>
              <w:rPr>
                <w:rFonts w:ascii="宋体" w:eastAsia="宋体" w:hAnsi="宋体" w:cs="宋体" w:hint="eastAsia"/>
                <w:color w:val="000000"/>
                <w:kern w:val="0"/>
                <w:sz w:val="24"/>
                <w:szCs w:val="24"/>
                <w:lang/>
              </w:rPr>
              <w:t>60</w:t>
            </w:r>
            <w:r>
              <w:rPr>
                <w:rFonts w:ascii="宋体" w:eastAsia="宋体" w:hAnsi="宋体" w:cs="宋体" w:hint="eastAsia"/>
                <w:color w:val="000000"/>
                <w:kern w:val="0"/>
                <w:sz w:val="24"/>
                <w:szCs w:val="24"/>
                <w:lang/>
              </w:rPr>
              <w:t>天滚动持有债券型发起式证券投资基金</w:t>
            </w:r>
            <w:r>
              <w:rPr>
                <w:rFonts w:ascii="宋体" w:eastAsia="宋体" w:hAnsi="宋体" w:cs="宋体" w:hint="eastAsia"/>
                <w:color w:val="000000"/>
                <w:kern w:val="0"/>
                <w:sz w:val="24"/>
                <w:szCs w:val="24"/>
                <w:lang/>
              </w:rPr>
              <w:t>E</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013718</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兴银稳益</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天持有期债券型证券投资基金</w:t>
            </w:r>
            <w:r>
              <w:rPr>
                <w:rFonts w:ascii="宋体" w:eastAsia="宋体" w:hAnsi="宋体" w:cs="宋体" w:hint="eastAsia"/>
                <w:color w:val="000000"/>
                <w:kern w:val="0"/>
                <w:sz w:val="24"/>
                <w:szCs w:val="24"/>
                <w:lang/>
              </w:rPr>
              <w:t>A</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013719</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兴银稳益</w:t>
            </w:r>
            <w:r>
              <w:rPr>
                <w:rFonts w:ascii="宋体" w:eastAsia="宋体" w:hAnsi="宋体" w:cs="宋体" w:hint="eastAsia"/>
                <w:color w:val="000000"/>
                <w:kern w:val="0"/>
                <w:sz w:val="24"/>
                <w:szCs w:val="24"/>
                <w:lang/>
              </w:rPr>
              <w:t>30</w:t>
            </w:r>
            <w:r>
              <w:rPr>
                <w:rFonts w:ascii="宋体" w:eastAsia="宋体" w:hAnsi="宋体" w:cs="宋体" w:hint="eastAsia"/>
                <w:color w:val="000000"/>
                <w:kern w:val="0"/>
                <w:sz w:val="24"/>
                <w:szCs w:val="24"/>
                <w:lang/>
              </w:rPr>
              <w:t>天持有期债券型证券投资基金</w:t>
            </w:r>
            <w:r>
              <w:rPr>
                <w:rFonts w:ascii="宋体" w:eastAsia="宋体" w:hAnsi="宋体" w:cs="宋体" w:hint="eastAsia"/>
                <w:color w:val="000000"/>
                <w:kern w:val="0"/>
                <w:sz w:val="24"/>
                <w:szCs w:val="24"/>
                <w:lang/>
              </w:rPr>
              <w:t>C</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014838</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兴银碳中和主题混合型证券投资基金</w:t>
            </w:r>
            <w:r>
              <w:rPr>
                <w:rFonts w:ascii="宋体" w:eastAsia="宋体" w:hAnsi="宋体" w:cs="宋体" w:hint="eastAsia"/>
                <w:color w:val="000000"/>
                <w:kern w:val="0"/>
                <w:sz w:val="24"/>
                <w:szCs w:val="24"/>
                <w:lang/>
              </w:rPr>
              <w:t>A</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014839</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兴银碳中和主题混合型证券投资基金</w:t>
            </w:r>
            <w:r>
              <w:rPr>
                <w:rFonts w:ascii="宋体" w:eastAsia="宋体" w:hAnsi="宋体" w:cs="宋体" w:hint="eastAsia"/>
                <w:color w:val="000000"/>
                <w:kern w:val="0"/>
                <w:sz w:val="24"/>
                <w:szCs w:val="24"/>
                <w:lang/>
              </w:rPr>
              <w:t>C</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013783</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兴银竞争优势混合型证券投资基金</w:t>
            </w:r>
            <w:r>
              <w:rPr>
                <w:rFonts w:ascii="宋体" w:eastAsia="宋体" w:hAnsi="宋体" w:cs="宋体" w:hint="eastAsia"/>
                <w:color w:val="000000"/>
                <w:kern w:val="0"/>
                <w:sz w:val="24"/>
                <w:szCs w:val="24"/>
                <w:lang/>
              </w:rPr>
              <w:t>A</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013784</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兴银竞争优势混合型证券投资基金</w:t>
            </w:r>
            <w:r>
              <w:rPr>
                <w:rFonts w:ascii="宋体" w:eastAsia="宋体" w:hAnsi="宋体" w:cs="宋体" w:hint="eastAsia"/>
                <w:color w:val="000000"/>
                <w:kern w:val="0"/>
                <w:sz w:val="24"/>
                <w:szCs w:val="24"/>
                <w:lang/>
              </w:rPr>
              <w:t>C</w:t>
            </w:r>
          </w:p>
        </w:tc>
      </w:tr>
      <w:tr w:rsidR="00CE0846">
        <w:trPr>
          <w:trHeight w:val="63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014831</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指数增强型证券投资基金</w:t>
            </w:r>
            <w:r>
              <w:rPr>
                <w:rFonts w:ascii="宋体" w:eastAsia="宋体" w:hAnsi="宋体" w:cs="宋体" w:hint="eastAsia"/>
                <w:color w:val="000000"/>
                <w:kern w:val="0"/>
                <w:sz w:val="24"/>
                <w:szCs w:val="24"/>
                <w:lang/>
              </w:rPr>
              <w:t>A</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014832</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兴银中证</w:t>
            </w:r>
            <w:r>
              <w:rPr>
                <w:rFonts w:ascii="宋体" w:eastAsia="宋体" w:hAnsi="宋体" w:cs="宋体" w:hint="eastAsia"/>
                <w:color w:val="000000"/>
                <w:kern w:val="0"/>
                <w:sz w:val="24"/>
                <w:szCs w:val="24"/>
                <w:lang/>
              </w:rPr>
              <w:t>1000</w:t>
            </w:r>
            <w:r>
              <w:rPr>
                <w:rFonts w:ascii="宋体" w:eastAsia="宋体" w:hAnsi="宋体" w:cs="宋体" w:hint="eastAsia"/>
                <w:color w:val="000000"/>
                <w:kern w:val="0"/>
                <w:sz w:val="24"/>
                <w:szCs w:val="24"/>
                <w:lang/>
              </w:rPr>
              <w:t>指数增强型证券投资基金</w:t>
            </w:r>
            <w:r>
              <w:rPr>
                <w:rFonts w:ascii="宋体" w:eastAsia="宋体" w:hAnsi="宋体" w:cs="宋体" w:hint="eastAsia"/>
                <w:color w:val="000000"/>
                <w:kern w:val="0"/>
                <w:sz w:val="24"/>
                <w:szCs w:val="24"/>
                <w:lang/>
              </w:rPr>
              <w:t>C</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lastRenderedPageBreak/>
              <w:t>009205</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兴银丰运稳益回报混合型证券投资基金</w:t>
            </w:r>
            <w:r>
              <w:rPr>
                <w:rFonts w:ascii="宋体" w:eastAsia="宋体" w:hAnsi="宋体" w:cs="宋体" w:hint="eastAsia"/>
                <w:color w:val="000000"/>
                <w:kern w:val="0"/>
                <w:sz w:val="24"/>
                <w:szCs w:val="24"/>
                <w:lang/>
              </w:rPr>
              <w:t>A</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009206</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兴银丰运稳益回报混合型证券投资基金</w:t>
            </w:r>
            <w:r>
              <w:rPr>
                <w:rFonts w:ascii="宋体" w:eastAsia="宋体" w:hAnsi="宋体" w:cs="宋体" w:hint="eastAsia"/>
                <w:color w:val="000000"/>
                <w:kern w:val="0"/>
                <w:sz w:val="24"/>
                <w:szCs w:val="24"/>
                <w:lang/>
              </w:rPr>
              <w:t>C</w:t>
            </w:r>
          </w:p>
        </w:tc>
      </w:tr>
      <w:tr w:rsidR="00CE0846">
        <w:trPr>
          <w:trHeight w:val="623"/>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013676</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兴银兴慧一年持有期混合型证券投资基金</w:t>
            </w:r>
            <w:r>
              <w:rPr>
                <w:rFonts w:ascii="宋体" w:eastAsia="宋体" w:hAnsi="宋体" w:cs="宋体" w:hint="eastAsia"/>
                <w:color w:val="000000"/>
                <w:kern w:val="0"/>
                <w:sz w:val="24"/>
                <w:szCs w:val="24"/>
                <w:lang/>
              </w:rPr>
              <w:t>A</w:t>
            </w:r>
          </w:p>
        </w:tc>
      </w:tr>
      <w:tr w:rsidR="00CE0846">
        <w:trPr>
          <w:trHeight w:val="623"/>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013677</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兴银兴慧一年持有期混合型证券投资基金</w:t>
            </w:r>
            <w:r>
              <w:rPr>
                <w:rFonts w:ascii="宋体" w:eastAsia="宋体" w:hAnsi="宋体" w:cs="宋体" w:hint="eastAsia"/>
                <w:color w:val="000000"/>
                <w:kern w:val="0"/>
                <w:sz w:val="24"/>
                <w:szCs w:val="24"/>
                <w:lang/>
              </w:rPr>
              <w:t>C</w:t>
            </w:r>
          </w:p>
        </w:tc>
      </w:tr>
      <w:tr w:rsidR="00CE0846">
        <w:trPr>
          <w:trHeight w:val="623"/>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012898</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兴银中证科创创业</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指数型证券投资基金</w:t>
            </w:r>
            <w:r>
              <w:rPr>
                <w:rFonts w:ascii="宋体" w:eastAsia="宋体" w:hAnsi="宋体" w:cs="宋体" w:hint="eastAsia"/>
                <w:color w:val="000000"/>
                <w:kern w:val="0"/>
                <w:sz w:val="24"/>
                <w:szCs w:val="24"/>
                <w:lang/>
              </w:rPr>
              <w:t>A</w:t>
            </w:r>
          </w:p>
        </w:tc>
      </w:tr>
      <w:tr w:rsidR="00CE0846">
        <w:trPr>
          <w:trHeight w:val="623"/>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012899</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兴银中证科创创业</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指数型证券投资基金</w:t>
            </w:r>
            <w:r>
              <w:rPr>
                <w:rFonts w:ascii="宋体" w:eastAsia="宋体" w:hAnsi="宋体" w:cs="宋体" w:hint="eastAsia"/>
                <w:color w:val="000000"/>
                <w:kern w:val="0"/>
                <w:sz w:val="24"/>
                <w:szCs w:val="24"/>
                <w:lang/>
              </w:rPr>
              <w:t>C</w:t>
            </w:r>
          </w:p>
        </w:tc>
      </w:tr>
      <w:tr w:rsidR="00CE0846">
        <w:trPr>
          <w:trHeight w:val="63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016010</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兴银中证科创创业</w:t>
            </w:r>
            <w:r>
              <w:rPr>
                <w:rFonts w:ascii="宋体" w:eastAsia="宋体" w:hAnsi="宋体" w:cs="宋体" w:hint="eastAsia"/>
                <w:color w:val="000000"/>
                <w:kern w:val="0"/>
                <w:sz w:val="24"/>
                <w:szCs w:val="24"/>
                <w:lang/>
              </w:rPr>
              <w:t>50</w:t>
            </w:r>
            <w:r>
              <w:rPr>
                <w:rFonts w:ascii="宋体" w:eastAsia="宋体" w:hAnsi="宋体" w:cs="宋体" w:hint="eastAsia"/>
                <w:color w:val="000000"/>
                <w:kern w:val="0"/>
                <w:sz w:val="24"/>
                <w:szCs w:val="24"/>
                <w:lang/>
              </w:rPr>
              <w:t>指数型证券投资基金</w:t>
            </w:r>
            <w:r>
              <w:rPr>
                <w:rFonts w:ascii="宋体" w:eastAsia="宋体" w:hAnsi="宋体" w:cs="宋体" w:hint="eastAsia"/>
                <w:color w:val="000000"/>
                <w:kern w:val="0"/>
                <w:sz w:val="24"/>
                <w:szCs w:val="24"/>
                <w:lang/>
              </w:rPr>
              <w:t>E</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010253</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兴银中证</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指数增强型证券投资基金</w:t>
            </w:r>
            <w:r>
              <w:rPr>
                <w:rFonts w:ascii="宋体" w:eastAsia="宋体" w:hAnsi="宋体" w:cs="宋体" w:hint="eastAsia"/>
                <w:color w:val="000000"/>
                <w:kern w:val="0"/>
                <w:sz w:val="24"/>
                <w:szCs w:val="24"/>
                <w:lang/>
              </w:rPr>
              <w:t>A</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011205</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兴银中证</w:t>
            </w:r>
            <w:r>
              <w:rPr>
                <w:rFonts w:ascii="宋体" w:eastAsia="宋体" w:hAnsi="宋体" w:cs="宋体" w:hint="eastAsia"/>
                <w:color w:val="000000"/>
                <w:kern w:val="0"/>
                <w:sz w:val="24"/>
                <w:szCs w:val="24"/>
                <w:lang/>
              </w:rPr>
              <w:t>500</w:t>
            </w:r>
            <w:r>
              <w:rPr>
                <w:rFonts w:ascii="宋体" w:eastAsia="宋体" w:hAnsi="宋体" w:cs="宋体" w:hint="eastAsia"/>
                <w:color w:val="000000"/>
                <w:kern w:val="0"/>
                <w:sz w:val="24"/>
                <w:szCs w:val="24"/>
                <w:lang/>
              </w:rPr>
              <w:t>指数增强型证券投资基金</w:t>
            </w:r>
            <w:r>
              <w:rPr>
                <w:rFonts w:ascii="宋体" w:eastAsia="宋体" w:hAnsi="宋体" w:cs="宋体" w:hint="eastAsia"/>
                <w:color w:val="000000"/>
                <w:kern w:val="0"/>
                <w:sz w:val="24"/>
                <w:szCs w:val="24"/>
                <w:lang/>
              </w:rPr>
              <w:t>C</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010124</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兴银景气优选混合型证券投资基金</w:t>
            </w:r>
            <w:r>
              <w:rPr>
                <w:rFonts w:ascii="宋体" w:eastAsia="宋体" w:hAnsi="宋体" w:cs="宋体" w:hint="eastAsia"/>
                <w:color w:val="000000"/>
                <w:kern w:val="0"/>
                <w:sz w:val="24"/>
                <w:szCs w:val="24"/>
                <w:lang/>
              </w:rPr>
              <w:t>A</w:t>
            </w:r>
          </w:p>
        </w:tc>
      </w:tr>
      <w:tr w:rsidR="00CE0846">
        <w:trPr>
          <w:trHeight w:val="315"/>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010125</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兴银景气优选混合型证券投资基金</w:t>
            </w:r>
            <w:r>
              <w:rPr>
                <w:rFonts w:ascii="宋体" w:eastAsia="宋体" w:hAnsi="宋体" w:cs="宋体" w:hint="eastAsia"/>
                <w:color w:val="000000"/>
                <w:kern w:val="0"/>
                <w:sz w:val="24"/>
                <w:szCs w:val="24"/>
                <w:lang/>
              </w:rPr>
              <w:t>C</w:t>
            </w:r>
          </w:p>
        </w:tc>
      </w:tr>
      <w:tr w:rsidR="00CE0846">
        <w:trPr>
          <w:trHeight w:val="63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010925</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兴银科技增长</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个月滚动持有期混合型证券投资基金</w:t>
            </w:r>
            <w:r>
              <w:rPr>
                <w:rFonts w:ascii="宋体" w:eastAsia="宋体" w:hAnsi="宋体" w:cs="宋体" w:hint="eastAsia"/>
                <w:color w:val="000000"/>
                <w:kern w:val="0"/>
                <w:sz w:val="24"/>
                <w:szCs w:val="24"/>
                <w:lang/>
              </w:rPr>
              <w:t>A</w:t>
            </w:r>
          </w:p>
        </w:tc>
      </w:tr>
      <w:tr w:rsidR="00CE0846">
        <w:trPr>
          <w:trHeight w:val="63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010926</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兴银科技增长</w:t>
            </w:r>
            <w:r>
              <w:rPr>
                <w:rFonts w:ascii="宋体" w:eastAsia="宋体" w:hAnsi="宋体" w:cs="宋体" w:hint="eastAsia"/>
                <w:color w:val="000000"/>
                <w:kern w:val="0"/>
                <w:sz w:val="24"/>
                <w:szCs w:val="24"/>
                <w:lang/>
              </w:rPr>
              <w:t>1</w:t>
            </w:r>
            <w:r>
              <w:rPr>
                <w:rFonts w:ascii="宋体" w:eastAsia="宋体" w:hAnsi="宋体" w:cs="宋体" w:hint="eastAsia"/>
                <w:color w:val="000000"/>
                <w:kern w:val="0"/>
                <w:sz w:val="24"/>
                <w:szCs w:val="24"/>
                <w:lang/>
              </w:rPr>
              <w:t>个月滚动持有期混合型证券投资基金</w:t>
            </w:r>
            <w:r>
              <w:rPr>
                <w:rFonts w:ascii="宋体" w:eastAsia="宋体" w:hAnsi="宋体" w:cs="宋体" w:hint="eastAsia"/>
                <w:color w:val="000000"/>
                <w:kern w:val="0"/>
                <w:sz w:val="24"/>
                <w:szCs w:val="24"/>
                <w:lang/>
              </w:rPr>
              <w:t>C</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003628</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兴银收益增强债券型证券投资基金</w:t>
            </w:r>
            <w:r>
              <w:rPr>
                <w:rFonts w:ascii="宋体" w:eastAsia="宋体" w:hAnsi="宋体" w:cs="宋体" w:hint="eastAsia"/>
                <w:color w:val="000000"/>
                <w:kern w:val="0"/>
                <w:sz w:val="24"/>
                <w:szCs w:val="24"/>
                <w:lang/>
              </w:rPr>
              <w:t>A</w:t>
            </w:r>
          </w:p>
        </w:tc>
      </w:tr>
      <w:tr w:rsidR="00CE0846">
        <w:trPr>
          <w:trHeight w:val="270"/>
          <w:jc w:val="center"/>
        </w:trPr>
        <w:tc>
          <w:tcPr>
            <w:tcW w:w="12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001339</w:t>
            </w:r>
          </w:p>
        </w:tc>
        <w:tc>
          <w:tcPr>
            <w:tcW w:w="5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0846" w:rsidRDefault="003D0D5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兴银鼎新灵活配置混合型证券投资基金</w:t>
            </w:r>
          </w:p>
        </w:tc>
      </w:tr>
    </w:tbl>
    <w:p w:rsidR="00CE0846" w:rsidRDefault="00CE0846">
      <w:pPr>
        <w:autoSpaceDE w:val="0"/>
        <w:autoSpaceDN w:val="0"/>
        <w:adjustRightInd w:val="0"/>
        <w:spacing w:line="360" w:lineRule="auto"/>
        <w:jc w:val="left"/>
        <w:rPr>
          <w:rFonts w:ascii="Times New Roman" w:eastAsia="宋体" w:hAnsi="Times New Roman" w:cs="Times New Roman"/>
          <w:color w:val="000000"/>
          <w:kern w:val="0"/>
          <w:sz w:val="24"/>
          <w:szCs w:val="24"/>
        </w:rPr>
      </w:pPr>
    </w:p>
    <w:p w:rsidR="00CE0846" w:rsidRDefault="003D0D55">
      <w:pPr>
        <w:pStyle w:val="Default"/>
        <w:snapToGrid w:val="0"/>
        <w:spacing w:line="360" w:lineRule="auto"/>
        <w:rPr>
          <w:rFonts w:ascii="Times New Roman"/>
        </w:rPr>
      </w:pPr>
      <w:r>
        <w:rPr>
          <w:rFonts w:ascii="Times New Roman"/>
        </w:rPr>
        <w:t>注：</w:t>
      </w:r>
      <w:r>
        <w:rPr>
          <w:rFonts w:ascii="Times New Roman"/>
        </w:rPr>
        <w:t>1</w:t>
      </w:r>
      <w:r>
        <w:rPr>
          <w:rFonts w:ascii="Times New Roman"/>
        </w:rPr>
        <w:t>、基金暂停申购时转换转入同时也暂停，限制大额申购同样适用。</w:t>
      </w:r>
    </w:p>
    <w:p w:rsidR="00CE0846" w:rsidRDefault="003D0D55">
      <w:pPr>
        <w:numPr>
          <w:ilvl w:val="0"/>
          <w:numId w:val="2"/>
        </w:numPr>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同一基金不同份额类别之间不可转换。</w:t>
      </w:r>
    </w:p>
    <w:p w:rsidR="00CE0846" w:rsidRDefault="003D0D55">
      <w:pPr>
        <w:numPr>
          <w:ilvl w:val="255"/>
          <w:numId w:val="0"/>
        </w:numPr>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二、办理时间</w:t>
      </w:r>
    </w:p>
    <w:p w:rsidR="00CE0846" w:rsidRDefault="003D0D55">
      <w:pPr>
        <w:numPr>
          <w:ilvl w:val="255"/>
          <w:numId w:val="0"/>
        </w:numPr>
        <w:adjustRightInd w:val="0"/>
        <w:snapToGri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上海证券交易所和深圳证券交易所正常交易日</w:t>
      </w:r>
      <w:r>
        <w:rPr>
          <w:rFonts w:ascii="Times New Roman" w:eastAsia="宋体" w:hAnsi="Times New Roman" w:cs="Times New Roman"/>
          <w:color w:val="000000"/>
          <w:kern w:val="0"/>
          <w:sz w:val="24"/>
          <w:szCs w:val="24"/>
        </w:rPr>
        <w:t>9:00-15:00</w:t>
      </w:r>
      <w:r>
        <w:rPr>
          <w:rFonts w:ascii="Times New Roman" w:eastAsia="宋体" w:hAnsi="Times New Roman" w:cs="Times New Roman"/>
          <w:color w:val="000000"/>
          <w:kern w:val="0"/>
          <w:sz w:val="24"/>
          <w:szCs w:val="24"/>
        </w:rPr>
        <w:t>（本公司公告暂停申购、赎回或转换时除外）。</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三、转换业务规则</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）转换的基金必须都是由同一销售机构销售、同一基金管理人管理、在同一基金注册登记机构处注册登记的基金。转换费用的计算采用单笔计算法。投资者在</w:t>
      </w:r>
      <w:r>
        <w:rPr>
          <w:rFonts w:ascii="Times New Roman" w:eastAsia="宋体" w:hAnsi="Times New Roman" w:cs="Times New Roman"/>
          <w:color w:val="000000"/>
          <w:kern w:val="0"/>
          <w:sz w:val="24"/>
          <w:szCs w:val="24"/>
        </w:rPr>
        <w:t>T</w:t>
      </w:r>
      <w:r>
        <w:rPr>
          <w:rFonts w:ascii="Times New Roman" w:eastAsia="宋体" w:hAnsi="Times New Roman" w:cs="Times New Roman"/>
          <w:color w:val="000000"/>
          <w:kern w:val="0"/>
          <w:sz w:val="24"/>
          <w:szCs w:val="24"/>
        </w:rPr>
        <w:t>日多次转换的，每次分笔计算转换费用。正常情况下，基金注册登记机构在</w:t>
      </w:r>
      <w:r>
        <w:rPr>
          <w:rFonts w:ascii="Times New Roman" w:eastAsia="宋体" w:hAnsi="Times New Roman" w:cs="Times New Roman"/>
          <w:color w:val="000000"/>
          <w:kern w:val="0"/>
          <w:sz w:val="24"/>
          <w:szCs w:val="24"/>
        </w:rPr>
        <w:t>T+1</w:t>
      </w:r>
      <w:r>
        <w:rPr>
          <w:rFonts w:ascii="Times New Roman" w:eastAsia="宋体" w:hAnsi="Times New Roman" w:cs="Times New Roman"/>
          <w:color w:val="000000"/>
          <w:kern w:val="0"/>
          <w:sz w:val="24"/>
          <w:szCs w:val="24"/>
        </w:rPr>
        <w:t>日对投资者</w:t>
      </w:r>
      <w:r>
        <w:rPr>
          <w:rFonts w:ascii="Times New Roman" w:eastAsia="宋体" w:hAnsi="Times New Roman" w:cs="Times New Roman"/>
          <w:color w:val="000000"/>
          <w:kern w:val="0"/>
          <w:sz w:val="24"/>
          <w:szCs w:val="24"/>
        </w:rPr>
        <w:t>T</w:t>
      </w:r>
      <w:r>
        <w:rPr>
          <w:rFonts w:ascii="Times New Roman" w:eastAsia="宋体" w:hAnsi="Times New Roman" w:cs="Times New Roman"/>
          <w:color w:val="000000"/>
          <w:kern w:val="0"/>
          <w:sz w:val="24"/>
          <w:szCs w:val="24"/>
        </w:rPr>
        <w:t>日的基金转换业务申请进行有效性确认，办理转出基金的权益扣除以及转入基金的权益登记。投资者在</w:t>
      </w:r>
      <w:r>
        <w:rPr>
          <w:rFonts w:ascii="Times New Roman" w:eastAsia="宋体" w:hAnsi="Times New Roman" w:cs="Times New Roman"/>
          <w:color w:val="000000"/>
          <w:kern w:val="0"/>
          <w:sz w:val="24"/>
          <w:szCs w:val="24"/>
        </w:rPr>
        <w:t>T+2</w:t>
      </w:r>
      <w:r>
        <w:rPr>
          <w:rFonts w:ascii="Times New Roman" w:eastAsia="宋体" w:hAnsi="Times New Roman" w:cs="Times New Roman"/>
          <w:color w:val="000000"/>
          <w:kern w:val="0"/>
          <w:sz w:val="24"/>
          <w:szCs w:val="24"/>
        </w:rPr>
        <w:t>日后（含）可向销售机构查询基金转换的成交情况，并有权提交转入基金份额的赎回申请。</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）基金转换只能在相同收费模式下的基金份额之间进行。即前端模式下</w:t>
      </w:r>
      <w:r>
        <w:rPr>
          <w:rFonts w:ascii="Times New Roman" w:eastAsia="宋体" w:hAnsi="Times New Roman" w:cs="Times New Roman"/>
          <w:color w:val="000000"/>
          <w:kern w:val="0"/>
          <w:sz w:val="24"/>
          <w:szCs w:val="24"/>
        </w:rPr>
        <w:lastRenderedPageBreak/>
        <w:t>的基金份额只能转换为另一只基金的前端模式份额，后端模式下的基金份额只能转换为另一只基金的后端模式份额。投资者在提交基金转换业务时应明确标示类别。</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）基金转换采用</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份额转换</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的原则提交申请，采取未知价法，即以申请受理当日（</w:t>
      </w:r>
      <w:r>
        <w:rPr>
          <w:rFonts w:ascii="Times New Roman" w:eastAsia="宋体" w:hAnsi="Times New Roman" w:cs="Times New Roman"/>
          <w:color w:val="000000"/>
          <w:kern w:val="0"/>
          <w:sz w:val="24"/>
          <w:szCs w:val="24"/>
        </w:rPr>
        <w:t>T</w:t>
      </w:r>
      <w:r>
        <w:rPr>
          <w:rFonts w:ascii="Times New Roman" w:eastAsia="宋体" w:hAnsi="Times New Roman" w:cs="Times New Roman"/>
          <w:color w:val="000000"/>
          <w:kern w:val="0"/>
          <w:sz w:val="24"/>
          <w:szCs w:val="24"/>
        </w:rPr>
        <w:t>日）各转出、转入基金的基金份额净值为基础进行计算，若投资者转换申请在规定交易时间后，则该申请受理日顺延至下一工作日。投资者应以</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份额转换</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的原则提交申请，单笔转换的最低申请份额不得低于</w:t>
      </w:r>
      <w:r>
        <w:rPr>
          <w:rFonts w:ascii="Times New Roman" w:eastAsia="宋体" w:hAnsi="Times New Roman" w:cs="Times New Roman"/>
          <w:color w:val="000000"/>
          <w:kern w:val="0"/>
          <w:sz w:val="24"/>
          <w:szCs w:val="24"/>
        </w:rPr>
        <w:t>0.01</w:t>
      </w:r>
      <w:r>
        <w:rPr>
          <w:rFonts w:ascii="Times New Roman" w:eastAsia="宋体" w:hAnsi="Times New Roman" w:cs="Times New Roman"/>
          <w:color w:val="000000"/>
          <w:kern w:val="0"/>
          <w:sz w:val="24"/>
          <w:szCs w:val="24"/>
        </w:rPr>
        <w:t>份。单笔转换申请不受转入基金</w:t>
      </w:r>
      <w:r>
        <w:rPr>
          <w:rFonts w:ascii="Times New Roman" w:eastAsia="宋体" w:hAnsi="Times New Roman" w:cs="Times New Roman"/>
          <w:color w:val="000000"/>
          <w:kern w:val="0"/>
          <w:sz w:val="24"/>
          <w:szCs w:val="24"/>
        </w:rPr>
        <w:t>最低申购数额和转出基金最低赎回数额限制。若转入基金有大额申购限制的，则需遵循相关大额申购限制的约定。若转出后剩余的基金余额低于该基金合同规定的最低持有份额时，则基金管理人自动将该基金剩余份额强制赎回。转出基金必须处于可赎回或可转出的状态，转入基金必须处于可申购或可转入的状态，并遵循</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先进先出</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原则，即首先转换持有时间最长的基金份额。基金转换后转入的基金份额持有时间自转入确认日开始重新计算。若转换申请当日同时有赎回申请，则遵循先赎回后转换的处理原则。</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4</w:t>
      </w:r>
      <w:r>
        <w:rPr>
          <w:rFonts w:ascii="Times New Roman" w:eastAsia="宋体" w:hAnsi="Times New Roman" w:cs="Times New Roman"/>
          <w:color w:val="000000"/>
          <w:kern w:val="0"/>
          <w:sz w:val="24"/>
          <w:szCs w:val="24"/>
        </w:rPr>
        <w:t>）投资者提出的基金转换申请，在当日交易时间结束前可以撤</w:t>
      </w:r>
      <w:r>
        <w:rPr>
          <w:rFonts w:ascii="Times New Roman" w:eastAsia="宋体" w:hAnsi="Times New Roman" w:cs="Times New Roman"/>
          <w:color w:val="000000"/>
          <w:kern w:val="0"/>
          <w:sz w:val="24"/>
          <w:szCs w:val="24"/>
        </w:rPr>
        <w:t>销，交易时间结束后即不得撤销。投资者可以发起多次基金转换业务，基金转换费用按每笔申请单独计算。</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5</w:t>
      </w:r>
      <w:r>
        <w:rPr>
          <w:rFonts w:ascii="Times New Roman" w:eastAsia="宋体" w:hAnsi="Times New Roman" w:cs="Times New Roman"/>
          <w:color w:val="000000"/>
          <w:kern w:val="0"/>
          <w:sz w:val="24"/>
          <w:szCs w:val="24"/>
        </w:rPr>
        <w:t>）对于基金红利再投资的份额，基金份额持有人可从权益登记日的</w:t>
      </w:r>
      <w:r>
        <w:rPr>
          <w:rFonts w:ascii="Times New Roman" w:eastAsia="宋体" w:hAnsi="Times New Roman" w:cs="Times New Roman"/>
          <w:color w:val="000000"/>
          <w:kern w:val="0"/>
          <w:sz w:val="24"/>
          <w:szCs w:val="24"/>
        </w:rPr>
        <w:t>T+2</w:t>
      </w:r>
      <w:r>
        <w:rPr>
          <w:rFonts w:ascii="Times New Roman" w:eastAsia="宋体" w:hAnsi="Times New Roman" w:cs="Times New Roman"/>
          <w:color w:val="000000"/>
          <w:kern w:val="0"/>
          <w:sz w:val="24"/>
          <w:szCs w:val="24"/>
        </w:rPr>
        <w:t>日起提交基金转换申请。对于基金分红，权益登记日申请转换转入的基金份额不享有该次分红权益，权益登记日申请转换转出的基金份额享有该次分红权益。</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6</w:t>
      </w:r>
      <w:r>
        <w:rPr>
          <w:rFonts w:ascii="Times New Roman" w:eastAsia="宋体" w:hAnsi="Times New Roman" w:cs="Times New Roman"/>
          <w:color w:val="000000"/>
          <w:kern w:val="0"/>
          <w:sz w:val="24"/>
          <w:szCs w:val="24"/>
        </w:rPr>
        <w:t>）单个开放日基金净赎回份额及基金转换中净转出申请份额之和超过上一开放日基金总份额</w:t>
      </w:r>
      <w:r>
        <w:rPr>
          <w:rFonts w:ascii="Times New Roman" w:eastAsia="宋体" w:hAnsi="Times New Roman" w:cs="Times New Roman"/>
          <w:color w:val="000000"/>
          <w:kern w:val="0"/>
          <w:sz w:val="24"/>
          <w:szCs w:val="24"/>
        </w:rPr>
        <w:t>10%</w:t>
      </w:r>
      <w:r>
        <w:rPr>
          <w:rFonts w:ascii="Times New Roman" w:eastAsia="宋体" w:hAnsi="Times New Roman" w:cs="Times New Roman"/>
          <w:color w:val="000000"/>
          <w:kern w:val="0"/>
          <w:sz w:val="24"/>
          <w:szCs w:val="24"/>
        </w:rPr>
        <w:t>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为巨额赎回。发生巨额赎回时</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基金转出与基金赎回具有相同的优先级</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基金管理人可根据基金资产组合情况</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决定全额转出或部</w:t>
      </w:r>
      <w:r>
        <w:rPr>
          <w:rFonts w:ascii="Times New Roman" w:eastAsia="宋体" w:hAnsi="Times New Roman" w:cs="Times New Roman"/>
          <w:color w:val="000000"/>
          <w:kern w:val="0"/>
          <w:sz w:val="24"/>
          <w:szCs w:val="24"/>
        </w:rPr>
        <w:t>分转出。若决定部分确认，将对基金转出和赎回采取相同的比例确认。在转出申请得到部分确认的情况下，未确认的转出申请将不予以顺延。</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四、</w:t>
      </w:r>
      <w:r>
        <w:rPr>
          <w:rFonts w:ascii="Times New Roman" w:eastAsia="宋体" w:hAnsi="Times New Roman" w:cs="Times New Roman"/>
          <w:color w:val="000000"/>
          <w:kern w:val="0"/>
          <w:sz w:val="24"/>
          <w:szCs w:val="24"/>
        </w:rPr>
        <w:t>基金转换费用及计算公式</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基金转换费用由投资者承担，由转出基金的赎回费和基金转换的申购补差费两部分构成。</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）赎回费</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在进行基金转换时，转出基金视同赎回申请，如涉及的转出基金有赎回费率</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则收取该基金的赎回费用。收取的赎回费用不低于</w:t>
      </w:r>
      <w:r>
        <w:rPr>
          <w:rFonts w:ascii="Times New Roman" w:eastAsia="宋体" w:hAnsi="Times New Roman" w:cs="Times New Roman"/>
          <w:color w:val="000000"/>
          <w:kern w:val="0"/>
          <w:sz w:val="24"/>
          <w:szCs w:val="24"/>
        </w:rPr>
        <w:t>25%</w:t>
      </w:r>
      <w:r>
        <w:rPr>
          <w:rFonts w:ascii="Times New Roman" w:eastAsia="宋体" w:hAnsi="Times New Roman" w:cs="Times New Roman"/>
          <w:color w:val="000000"/>
          <w:kern w:val="0"/>
          <w:sz w:val="24"/>
          <w:szCs w:val="24"/>
        </w:rPr>
        <w:t>的部分归入转出基金的基金资产。</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同一笔转换业务中包含不同持有时间的基金份额，分别按照持有时间收取相应的赎回费用。本公司旗下基金的原赎回费率详见各基</w:t>
      </w:r>
      <w:r>
        <w:rPr>
          <w:rFonts w:ascii="Times New Roman" w:eastAsia="宋体" w:hAnsi="Times New Roman" w:cs="Times New Roman"/>
          <w:color w:val="000000"/>
          <w:kern w:val="0"/>
          <w:sz w:val="24"/>
          <w:szCs w:val="24"/>
        </w:rPr>
        <w:t>金的招募说明书。</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2</w:t>
      </w:r>
      <w:r>
        <w:rPr>
          <w:rFonts w:ascii="Times New Roman" w:eastAsia="宋体" w:hAnsi="Times New Roman" w:cs="Times New Roman"/>
          <w:color w:val="000000"/>
          <w:kern w:val="0"/>
          <w:sz w:val="24"/>
          <w:szCs w:val="24"/>
        </w:rPr>
        <w:t>）申购补差费</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基金转换申购补差费按转入基金与转出基金之间申购费率的差额（即申购补差费率）计算收取，具体计算公式如下：</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基金转换申购补差费率</w:t>
      </w:r>
      <w:r>
        <w:rPr>
          <w:rFonts w:ascii="Times New Roman" w:eastAsia="宋体" w:hAnsi="Times New Roman" w:cs="Times New Roman"/>
          <w:color w:val="000000"/>
          <w:kern w:val="0"/>
          <w:sz w:val="24"/>
          <w:szCs w:val="24"/>
        </w:rPr>
        <w:t xml:space="preserve"> = max [</w:t>
      </w:r>
      <w:r>
        <w:rPr>
          <w:rFonts w:ascii="Times New Roman" w:eastAsia="宋体" w:hAnsi="Times New Roman" w:cs="Times New Roman"/>
          <w:color w:val="000000"/>
          <w:kern w:val="0"/>
          <w:sz w:val="24"/>
          <w:szCs w:val="24"/>
        </w:rPr>
        <w:t>（转入基金的申购费率</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转出基金的申购费率），</w:t>
      </w:r>
      <w:r>
        <w:rPr>
          <w:rFonts w:ascii="Times New Roman" w:eastAsia="宋体" w:hAnsi="Times New Roman" w:cs="Times New Roman"/>
          <w:color w:val="000000"/>
          <w:kern w:val="0"/>
          <w:sz w:val="24"/>
          <w:szCs w:val="24"/>
        </w:rPr>
        <w:t>0 ]</w:t>
      </w:r>
      <w:r>
        <w:rPr>
          <w:rFonts w:ascii="Times New Roman" w:eastAsia="宋体" w:hAnsi="Times New Roman" w:cs="Times New Roman"/>
          <w:color w:val="000000"/>
          <w:kern w:val="0"/>
          <w:sz w:val="24"/>
          <w:szCs w:val="24"/>
        </w:rPr>
        <w:t>，即转入基金申购费率高于转出基金申购费率时，基金转换申购补差费率为转入基金与转出基金的申购费率之差；如转入基金申购费率不高于（含等于或小于）转出基金申购费率时，基金转换申购补差费率为零。</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本公司旗下基金的原申购费率详见各基金的招募说明书。</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3</w:t>
      </w:r>
      <w:r>
        <w:rPr>
          <w:rFonts w:ascii="Times New Roman" w:eastAsia="宋体" w:hAnsi="Times New Roman" w:cs="Times New Roman"/>
          <w:color w:val="000000"/>
          <w:kern w:val="0"/>
          <w:sz w:val="24"/>
          <w:szCs w:val="24"/>
        </w:rPr>
        <w:t>）转换公式及其计算</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转出金额＝基金转出份额</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转出基金当日基金份额净值</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基金赎回费＝转出金额</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适用的赎回费率</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申购补差费＝【（转出金额－基金赎回费）</w:t>
      </w:r>
      <w:r>
        <w:rPr>
          <w:rFonts w:ascii="Times New Roman" w:eastAsia="宋体" w:hAnsi="Times New Roman" w:cs="Times New Roman"/>
          <w:color w:val="000000"/>
          <w:kern w:val="0"/>
          <w:sz w:val="24"/>
          <w:szCs w:val="24"/>
        </w:rPr>
        <w:t>/(1+</w:t>
      </w:r>
      <w:r>
        <w:rPr>
          <w:rFonts w:ascii="Times New Roman" w:eastAsia="宋体" w:hAnsi="Times New Roman" w:cs="Times New Roman"/>
          <w:color w:val="000000"/>
          <w:kern w:val="0"/>
          <w:sz w:val="24"/>
          <w:szCs w:val="24"/>
        </w:rPr>
        <w:t>适用的申购补差费率</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适用的申购补差费率</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净转入金额＝转出金额－基金赎回费－申购补差费</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转入份额＝净转入金额</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转入基金当日基金份额净值</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（注：对于转入金额在</w:t>
      </w:r>
      <w:r>
        <w:rPr>
          <w:rFonts w:ascii="Times New Roman" w:eastAsia="宋体" w:hAnsi="Times New Roman" w:cs="Times New Roman"/>
          <w:color w:val="000000"/>
          <w:kern w:val="0"/>
          <w:sz w:val="24"/>
          <w:szCs w:val="24"/>
        </w:rPr>
        <w:t>500</w:t>
      </w:r>
      <w:r>
        <w:rPr>
          <w:rFonts w:ascii="Times New Roman" w:eastAsia="宋体" w:hAnsi="Times New Roman" w:cs="Times New Roman"/>
          <w:color w:val="000000"/>
          <w:kern w:val="0"/>
          <w:sz w:val="24"/>
          <w:szCs w:val="24"/>
        </w:rPr>
        <w:t>万元（含）以上的、从申购费用低的基金向申购费用高的基金转换适用绝对数额的补差费）</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转入份额按照四舍五入的方法保留小数点后两位，由此产生的误差归入基金财产。</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各基金申购、赎回费率请参照相应基金的招募说明书。</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五、</w:t>
      </w:r>
      <w:r>
        <w:rPr>
          <w:rFonts w:ascii="Times New Roman" w:eastAsia="宋体" w:hAnsi="Times New Roman" w:cs="Times New Roman"/>
          <w:color w:val="000000"/>
          <w:kern w:val="0"/>
          <w:sz w:val="24"/>
          <w:szCs w:val="24"/>
        </w:rPr>
        <w:t>业务办理机构</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投资人可通过</w:t>
      </w:r>
      <w:r>
        <w:rPr>
          <w:rFonts w:ascii="Times New Roman" w:eastAsia="宋体" w:hAnsi="Times New Roman" w:cs="Times New Roman" w:hint="eastAsia"/>
          <w:color w:val="000000"/>
          <w:kern w:val="0"/>
          <w:sz w:val="24"/>
          <w:szCs w:val="24"/>
        </w:rPr>
        <w:t>招商</w:t>
      </w:r>
      <w:r>
        <w:rPr>
          <w:rFonts w:ascii="Times New Roman" w:eastAsia="宋体" w:hAnsi="Times New Roman" w:cs="Times New Roman" w:hint="eastAsia"/>
          <w:color w:val="000000"/>
          <w:kern w:val="0"/>
          <w:sz w:val="24"/>
          <w:szCs w:val="24"/>
        </w:rPr>
        <w:t>银行</w:t>
      </w:r>
      <w:r>
        <w:rPr>
          <w:rFonts w:ascii="Times New Roman" w:eastAsia="宋体" w:hAnsi="Times New Roman" w:cs="Times New Roman"/>
          <w:color w:val="000000"/>
          <w:kern w:val="0"/>
          <w:sz w:val="24"/>
          <w:szCs w:val="24"/>
        </w:rPr>
        <w:t>的指定方式办理本基金转换业务，其相关具体办理规定以</w:t>
      </w:r>
      <w:r>
        <w:rPr>
          <w:rFonts w:ascii="Times New Roman" w:eastAsia="宋体" w:hAnsi="Times New Roman" w:cs="Times New Roman" w:hint="eastAsia"/>
          <w:color w:val="000000"/>
          <w:kern w:val="0"/>
          <w:sz w:val="24"/>
          <w:szCs w:val="24"/>
        </w:rPr>
        <w:t>招商</w:t>
      </w:r>
      <w:r>
        <w:rPr>
          <w:rFonts w:ascii="Times New Roman" w:eastAsia="宋体" w:hAnsi="Times New Roman" w:cs="Times New Roman" w:hint="eastAsia"/>
          <w:color w:val="000000"/>
          <w:kern w:val="0"/>
          <w:sz w:val="24"/>
          <w:szCs w:val="24"/>
        </w:rPr>
        <w:t>银行</w:t>
      </w:r>
      <w:r>
        <w:rPr>
          <w:rFonts w:ascii="Times New Roman" w:eastAsia="宋体" w:hAnsi="Times New Roman" w:cs="Times New Roman"/>
          <w:color w:val="000000"/>
          <w:kern w:val="0"/>
          <w:sz w:val="24"/>
          <w:szCs w:val="24"/>
        </w:rPr>
        <w:t>为准。</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六</w:t>
      </w:r>
      <w:r>
        <w:rPr>
          <w:rFonts w:ascii="Times New Roman" w:eastAsia="宋体" w:hAnsi="Times New Roman" w:cs="Times New Roman"/>
          <w:color w:val="000000"/>
          <w:kern w:val="0"/>
          <w:sz w:val="24"/>
          <w:szCs w:val="24"/>
        </w:rPr>
        <w:t>、投资者可通过以下途径咨询详情</w:t>
      </w:r>
    </w:p>
    <w:p w:rsidR="00CE0846" w:rsidRDefault="003D0D5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招商</w:t>
      </w:r>
      <w:r>
        <w:rPr>
          <w:rFonts w:ascii="Times New Roman" w:eastAsia="宋体" w:hAnsi="Times New Roman" w:cs="Times New Roman" w:hint="eastAsia"/>
          <w:sz w:val="24"/>
          <w:szCs w:val="24"/>
        </w:rPr>
        <w:t>银行股份有限公司</w:t>
      </w:r>
    </w:p>
    <w:p w:rsidR="00CE0846" w:rsidRDefault="003D0D5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客服热线：</w:t>
      </w:r>
      <w:r>
        <w:rPr>
          <w:rFonts w:ascii="Times New Roman" w:eastAsia="宋体" w:hAnsi="Times New Roman" w:cs="Times New Roman"/>
          <w:sz w:val="24"/>
          <w:szCs w:val="24"/>
        </w:rPr>
        <w:t>955</w:t>
      </w:r>
      <w:r>
        <w:rPr>
          <w:rFonts w:ascii="Times New Roman" w:eastAsia="宋体" w:hAnsi="Times New Roman" w:cs="Times New Roman" w:hint="eastAsia"/>
          <w:sz w:val="24"/>
          <w:szCs w:val="24"/>
        </w:rPr>
        <w:t>55</w:t>
      </w:r>
    </w:p>
    <w:p w:rsidR="00CE0846" w:rsidRDefault="003D0D5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公司网站：</w:t>
      </w:r>
      <w:r>
        <w:rPr>
          <w:rFonts w:ascii="Times New Roman" w:eastAsia="宋体" w:hAnsi="Times New Roman" w:cs="Times New Roman" w:hint="eastAsia"/>
          <w:sz w:val="24"/>
          <w:szCs w:val="24"/>
        </w:rPr>
        <w:t>www.cmbchina.com</w:t>
      </w:r>
      <w:r>
        <w:rPr>
          <w:rFonts w:ascii="Times New Roman" w:eastAsia="宋体" w:hAnsi="Times New Roman" w:cs="Times New Roman"/>
          <w:sz w:val="24"/>
          <w:szCs w:val="24"/>
        </w:rPr>
        <w:t xml:space="preserve"> </w:t>
      </w:r>
    </w:p>
    <w:p w:rsidR="00CE0846" w:rsidRDefault="003D0D55">
      <w:pPr>
        <w:spacing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w:t>
      </w: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）兴银基金管理有限责任公司</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客服电话：</w:t>
      </w:r>
      <w:r>
        <w:rPr>
          <w:rFonts w:ascii="Times New Roman" w:eastAsia="宋体" w:hAnsi="Times New Roman" w:cs="Times New Roman"/>
          <w:color w:val="000000"/>
          <w:kern w:val="0"/>
          <w:sz w:val="24"/>
          <w:szCs w:val="24"/>
        </w:rPr>
        <w:t>40000-96326</w:t>
      </w:r>
    </w:p>
    <w:p w:rsidR="00CE0846" w:rsidRDefault="003D0D5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公司网站：</w:t>
      </w:r>
      <w:r>
        <w:rPr>
          <w:rFonts w:ascii="Times New Roman" w:eastAsia="宋体" w:hAnsi="Times New Roman" w:cs="Times New Roman"/>
          <w:color w:val="000000"/>
          <w:kern w:val="0"/>
          <w:sz w:val="24"/>
          <w:szCs w:val="24"/>
        </w:rPr>
        <w:t>www.hffunds.cn</w:t>
      </w:r>
    </w:p>
    <w:p w:rsidR="00CE0846" w:rsidRDefault="00CE0846">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p>
    <w:p w:rsidR="00CE0846" w:rsidRDefault="003D0D55">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风险提示</w:t>
      </w:r>
      <w:r>
        <w:rPr>
          <w:rFonts w:ascii="Times New Roman" w:eastAsia="宋体" w:hAnsi="Times New Roman" w:cs="Times New Roman"/>
          <w:sz w:val="24"/>
          <w:szCs w:val="24"/>
        </w:rPr>
        <w:t>：基金管理人承诺以诚实信用、勤勉尽责的原则管理和运用基金财产，但不保证基金一定盈利，也不保证最低收益。本公司提醒投资者在投资前应认真阅读上述各基金的基金合同、招募说明书等信息披露文件。敬请投资者注意投资风险。</w:t>
      </w:r>
    </w:p>
    <w:p w:rsidR="00CE0846" w:rsidRDefault="003D0D5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特此公告。</w:t>
      </w:r>
    </w:p>
    <w:p w:rsidR="00CE0846" w:rsidRDefault="00CE0846">
      <w:pPr>
        <w:spacing w:line="360" w:lineRule="auto"/>
        <w:rPr>
          <w:rFonts w:ascii="Times New Roman" w:eastAsia="宋体" w:hAnsi="Times New Roman" w:cs="Times New Roman"/>
        </w:rPr>
      </w:pPr>
    </w:p>
    <w:p w:rsidR="00CE0846" w:rsidRDefault="003D0D55">
      <w:pPr>
        <w:spacing w:line="360" w:lineRule="auto"/>
        <w:jc w:val="right"/>
        <w:rPr>
          <w:rFonts w:ascii="Times New Roman" w:eastAsia="宋体" w:hAnsi="Times New Roman" w:cs="Times New Roman"/>
          <w:b/>
          <w:sz w:val="28"/>
          <w:szCs w:val="28"/>
        </w:rPr>
      </w:pPr>
      <w:r>
        <w:rPr>
          <w:rFonts w:ascii="Times New Roman" w:eastAsia="宋体" w:hAnsi="Times New Roman" w:cs="Times New Roman"/>
          <w:b/>
          <w:sz w:val="28"/>
          <w:szCs w:val="28"/>
        </w:rPr>
        <w:t>兴银基金管理有限责任公司</w:t>
      </w:r>
    </w:p>
    <w:p w:rsidR="00CE0846" w:rsidRDefault="003D0D55">
      <w:pPr>
        <w:spacing w:line="360" w:lineRule="auto"/>
        <w:jc w:val="right"/>
        <w:rPr>
          <w:rFonts w:ascii="Times New Roman" w:eastAsia="宋体" w:hAnsi="Times New Roman" w:cs="Times New Roman"/>
          <w:b/>
          <w:sz w:val="28"/>
          <w:szCs w:val="28"/>
        </w:rPr>
      </w:pPr>
      <w:r>
        <w:rPr>
          <w:rFonts w:ascii="Times New Roman" w:eastAsia="宋体" w:hAnsi="Times New Roman" w:cs="Times New Roman" w:hint="eastAsia"/>
          <w:b/>
          <w:sz w:val="28"/>
          <w:szCs w:val="28"/>
        </w:rPr>
        <w:t>202</w:t>
      </w:r>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年</w:t>
      </w:r>
      <w:r>
        <w:rPr>
          <w:rFonts w:ascii="Times New Roman" w:eastAsia="宋体" w:hAnsi="Times New Roman" w:cs="Times New Roman" w:hint="eastAsia"/>
          <w:b/>
          <w:sz w:val="28"/>
          <w:szCs w:val="28"/>
        </w:rPr>
        <w:t>7</w:t>
      </w:r>
      <w:r>
        <w:rPr>
          <w:rFonts w:ascii="Times New Roman" w:eastAsia="宋体" w:hAnsi="Times New Roman" w:cs="Times New Roman"/>
          <w:b/>
          <w:sz w:val="28"/>
          <w:szCs w:val="28"/>
        </w:rPr>
        <w:t>月</w:t>
      </w:r>
      <w:r>
        <w:rPr>
          <w:rFonts w:ascii="Times New Roman" w:eastAsia="宋体" w:hAnsi="Times New Roman" w:cs="Times New Roman" w:hint="eastAsia"/>
          <w:b/>
          <w:sz w:val="28"/>
          <w:szCs w:val="28"/>
        </w:rPr>
        <w:t>4</w:t>
      </w:r>
      <w:r>
        <w:rPr>
          <w:rFonts w:ascii="Times New Roman" w:eastAsia="宋体" w:hAnsi="Times New Roman" w:cs="Times New Roman"/>
          <w:b/>
          <w:sz w:val="28"/>
          <w:szCs w:val="28"/>
        </w:rPr>
        <w:t>日</w:t>
      </w:r>
    </w:p>
    <w:sectPr w:rsidR="00CE0846" w:rsidSect="00CE08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846" w:rsidRDefault="00CE0846" w:rsidP="00CE0846">
      <w:r>
        <w:separator/>
      </w:r>
    </w:p>
  </w:endnote>
  <w:endnote w:type="continuationSeparator" w:id="0">
    <w:p w:rsidR="00CE0846" w:rsidRDefault="00CE0846" w:rsidP="00CE0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6611"/>
    </w:sdtPr>
    <w:sdtContent>
      <w:p w:rsidR="00CE0846" w:rsidRDefault="00CE0846">
        <w:pPr>
          <w:pStyle w:val="a5"/>
          <w:jc w:val="center"/>
        </w:pPr>
        <w:r w:rsidRPr="00CE0846">
          <w:fldChar w:fldCharType="begin"/>
        </w:r>
        <w:r w:rsidR="003D0D55">
          <w:instrText xml:space="preserve"> PAGE   \* MERGEFORMAT </w:instrText>
        </w:r>
        <w:r w:rsidRPr="00CE0846">
          <w:fldChar w:fldCharType="separate"/>
        </w:r>
        <w:r w:rsidR="003D0D55" w:rsidRPr="003D0D55">
          <w:rPr>
            <w:noProof/>
            <w:lang w:val="zh-CN"/>
          </w:rPr>
          <w:t>1</w:t>
        </w:r>
        <w:r>
          <w:rPr>
            <w:lang w:val="zh-CN"/>
          </w:rPr>
          <w:fldChar w:fldCharType="end"/>
        </w:r>
      </w:p>
    </w:sdtContent>
  </w:sdt>
  <w:p w:rsidR="00CE0846" w:rsidRDefault="00CE08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846" w:rsidRDefault="00CE0846" w:rsidP="00CE0846">
      <w:r>
        <w:separator/>
      </w:r>
    </w:p>
  </w:footnote>
  <w:footnote w:type="continuationSeparator" w:id="0">
    <w:p w:rsidR="00CE0846" w:rsidRDefault="00CE0846" w:rsidP="00CE0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F4A9A"/>
    <w:multiLevelType w:val="singleLevel"/>
    <w:tmpl w:val="3E2F4A9A"/>
    <w:lvl w:ilvl="0">
      <w:start w:val="1"/>
      <w:numFmt w:val="chineseCounting"/>
      <w:suff w:val="nothing"/>
      <w:lvlText w:val="%1、"/>
      <w:lvlJc w:val="left"/>
      <w:rPr>
        <w:rFonts w:hint="eastAsia"/>
      </w:rPr>
    </w:lvl>
  </w:abstractNum>
  <w:abstractNum w:abstractNumId="1">
    <w:nsid w:val="653AEB63"/>
    <w:multiLevelType w:val="singleLevel"/>
    <w:tmpl w:val="653AEB63"/>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FD6090"/>
    <w:rsid w:val="00010056"/>
    <w:rsid w:val="000100B7"/>
    <w:rsid w:val="000148CE"/>
    <w:rsid w:val="000153D9"/>
    <w:rsid w:val="00024423"/>
    <w:rsid w:val="00025E42"/>
    <w:rsid w:val="0007331B"/>
    <w:rsid w:val="000751AB"/>
    <w:rsid w:val="000767DF"/>
    <w:rsid w:val="0008279A"/>
    <w:rsid w:val="00094627"/>
    <w:rsid w:val="00094E5E"/>
    <w:rsid w:val="000D625E"/>
    <w:rsid w:val="000D6531"/>
    <w:rsid w:val="00102A39"/>
    <w:rsid w:val="001224AF"/>
    <w:rsid w:val="00124F4A"/>
    <w:rsid w:val="00136689"/>
    <w:rsid w:val="00142517"/>
    <w:rsid w:val="00156B2D"/>
    <w:rsid w:val="00161021"/>
    <w:rsid w:val="00176150"/>
    <w:rsid w:val="001775E2"/>
    <w:rsid w:val="00196A02"/>
    <w:rsid w:val="001A1CF7"/>
    <w:rsid w:val="001B06E7"/>
    <w:rsid w:val="001B66A6"/>
    <w:rsid w:val="001C2ADD"/>
    <w:rsid w:val="001D492E"/>
    <w:rsid w:val="001D6591"/>
    <w:rsid w:val="001F4505"/>
    <w:rsid w:val="001F6DAD"/>
    <w:rsid w:val="00205DDC"/>
    <w:rsid w:val="00206FBC"/>
    <w:rsid w:val="0021346A"/>
    <w:rsid w:val="00227F4B"/>
    <w:rsid w:val="00245A53"/>
    <w:rsid w:val="0026108B"/>
    <w:rsid w:val="0028306F"/>
    <w:rsid w:val="00284B08"/>
    <w:rsid w:val="002963A1"/>
    <w:rsid w:val="002D7163"/>
    <w:rsid w:val="002E4530"/>
    <w:rsid w:val="002E71AF"/>
    <w:rsid w:val="002F45D4"/>
    <w:rsid w:val="002F63FB"/>
    <w:rsid w:val="003031CA"/>
    <w:rsid w:val="00332959"/>
    <w:rsid w:val="00333F73"/>
    <w:rsid w:val="0035345C"/>
    <w:rsid w:val="00353EB0"/>
    <w:rsid w:val="00360984"/>
    <w:rsid w:val="00364F0A"/>
    <w:rsid w:val="00393127"/>
    <w:rsid w:val="003D0D55"/>
    <w:rsid w:val="004440F4"/>
    <w:rsid w:val="00457ACE"/>
    <w:rsid w:val="0048423A"/>
    <w:rsid w:val="004A0DC2"/>
    <w:rsid w:val="004A63C0"/>
    <w:rsid w:val="004D1810"/>
    <w:rsid w:val="004D1C36"/>
    <w:rsid w:val="004D1E38"/>
    <w:rsid w:val="004D356A"/>
    <w:rsid w:val="00533304"/>
    <w:rsid w:val="00542E94"/>
    <w:rsid w:val="005522E0"/>
    <w:rsid w:val="00564D70"/>
    <w:rsid w:val="00582912"/>
    <w:rsid w:val="00584F2C"/>
    <w:rsid w:val="00587B80"/>
    <w:rsid w:val="005A0CC6"/>
    <w:rsid w:val="005B0219"/>
    <w:rsid w:val="005B28C0"/>
    <w:rsid w:val="005D0C5C"/>
    <w:rsid w:val="005E0E60"/>
    <w:rsid w:val="00604249"/>
    <w:rsid w:val="00622F35"/>
    <w:rsid w:val="00631D24"/>
    <w:rsid w:val="00635038"/>
    <w:rsid w:val="006778B9"/>
    <w:rsid w:val="00692B7B"/>
    <w:rsid w:val="006C4821"/>
    <w:rsid w:val="006C4E81"/>
    <w:rsid w:val="006D2EA8"/>
    <w:rsid w:val="006F244C"/>
    <w:rsid w:val="00730038"/>
    <w:rsid w:val="00751503"/>
    <w:rsid w:val="0076491C"/>
    <w:rsid w:val="00766CDE"/>
    <w:rsid w:val="00774837"/>
    <w:rsid w:val="00775F53"/>
    <w:rsid w:val="007C46C0"/>
    <w:rsid w:val="007E5C84"/>
    <w:rsid w:val="008011A1"/>
    <w:rsid w:val="00824AE1"/>
    <w:rsid w:val="008409AD"/>
    <w:rsid w:val="0084477B"/>
    <w:rsid w:val="00852099"/>
    <w:rsid w:val="00862039"/>
    <w:rsid w:val="0087100F"/>
    <w:rsid w:val="008736D5"/>
    <w:rsid w:val="008936AC"/>
    <w:rsid w:val="008A1B5C"/>
    <w:rsid w:val="008C6687"/>
    <w:rsid w:val="008D1921"/>
    <w:rsid w:val="009120B5"/>
    <w:rsid w:val="0091427E"/>
    <w:rsid w:val="00917F1C"/>
    <w:rsid w:val="009271F6"/>
    <w:rsid w:val="009406CF"/>
    <w:rsid w:val="009576F9"/>
    <w:rsid w:val="009966A0"/>
    <w:rsid w:val="009A4344"/>
    <w:rsid w:val="009D6ED0"/>
    <w:rsid w:val="009E48F0"/>
    <w:rsid w:val="009F6A99"/>
    <w:rsid w:val="00A04D08"/>
    <w:rsid w:val="00A071D2"/>
    <w:rsid w:val="00A2087D"/>
    <w:rsid w:val="00A22FFA"/>
    <w:rsid w:val="00A369FF"/>
    <w:rsid w:val="00A37C9F"/>
    <w:rsid w:val="00A6639C"/>
    <w:rsid w:val="00A7060B"/>
    <w:rsid w:val="00AA03F5"/>
    <w:rsid w:val="00AB388B"/>
    <w:rsid w:val="00AF650C"/>
    <w:rsid w:val="00AF7846"/>
    <w:rsid w:val="00B0631F"/>
    <w:rsid w:val="00B1102F"/>
    <w:rsid w:val="00B35FB0"/>
    <w:rsid w:val="00B644C8"/>
    <w:rsid w:val="00B94BE6"/>
    <w:rsid w:val="00BB1446"/>
    <w:rsid w:val="00BB198A"/>
    <w:rsid w:val="00BD7174"/>
    <w:rsid w:val="00BE477C"/>
    <w:rsid w:val="00BE5BC7"/>
    <w:rsid w:val="00C10752"/>
    <w:rsid w:val="00C21323"/>
    <w:rsid w:val="00C268BF"/>
    <w:rsid w:val="00C312F5"/>
    <w:rsid w:val="00C36022"/>
    <w:rsid w:val="00C4756D"/>
    <w:rsid w:val="00C627F7"/>
    <w:rsid w:val="00C72854"/>
    <w:rsid w:val="00C87B3B"/>
    <w:rsid w:val="00CA6423"/>
    <w:rsid w:val="00CE0846"/>
    <w:rsid w:val="00D05EC0"/>
    <w:rsid w:val="00D15529"/>
    <w:rsid w:val="00D27FFD"/>
    <w:rsid w:val="00D44987"/>
    <w:rsid w:val="00D5097F"/>
    <w:rsid w:val="00DA7F99"/>
    <w:rsid w:val="00DB5B2D"/>
    <w:rsid w:val="00DF78F3"/>
    <w:rsid w:val="00E075AE"/>
    <w:rsid w:val="00E14C4D"/>
    <w:rsid w:val="00E33BC8"/>
    <w:rsid w:val="00E51377"/>
    <w:rsid w:val="00E55AB9"/>
    <w:rsid w:val="00E6183D"/>
    <w:rsid w:val="00E717FB"/>
    <w:rsid w:val="00E73784"/>
    <w:rsid w:val="00E92070"/>
    <w:rsid w:val="00ED232C"/>
    <w:rsid w:val="00EF615A"/>
    <w:rsid w:val="00F3031F"/>
    <w:rsid w:val="00F45C27"/>
    <w:rsid w:val="00F50901"/>
    <w:rsid w:val="00F56D73"/>
    <w:rsid w:val="00F57F78"/>
    <w:rsid w:val="00F94BEF"/>
    <w:rsid w:val="00FB14D7"/>
    <w:rsid w:val="00FB6909"/>
    <w:rsid w:val="00FD12D6"/>
    <w:rsid w:val="00FD28AC"/>
    <w:rsid w:val="00FD6090"/>
    <w:rsid w:val="00FE01E8"/>
    <w:rsid w:val="01313FDC"/>
    <w:rsid w:val="0262072C"/>
    <w:rsid w:val="03DB3586"/>
    <w:rsid w:val="07F85254"/>
    <w:rsid w:val="091C11FF"/>
    <w:rsid w:val="09E15941"/>
    <w:rsid w:val="0D2D3C1D"/>
    <w:rsid w:val="0E92115F"/>
    <w:rsid w:val="136F5456"/>
    <w:rsid w:val="20F0671E"/>
    <w:rsid w:val="22E64A07"/>
    <w:rsid w:val="23B07E03"/>
    <w:rsid w:val="2C762C2C"/>
    <w:rsid w:val="3333740C"/>
    <w:rsid w:val="389B393F"/>
    <w:rsid w:val="3A1F70F9"/>
    <w:rsid w:val="3F8C71BF"/>
    <w:rsid w:val="464E1FF0"/>
    <w:rsid w:val="479F0E8A"/>
    <w:rsid w:val="4C4C5224"/>
    <w:rsid w:val="4C583BC9"/>
    <w:rsid w:val="4CD55219"/>
    <w:rsid w:val="52D4387D"/>
    <w:rsid w:val="598261C2"/>
    <w:rsid w:val="5CE9323A"/>
    <w:rsid w:val="5EA44A4C"/>
    <w:rsid w:val="5F5E52EB"/>
    <w:rsid w:val="6A8861BE"/>
    <w:rsid w:val="6CF63C21"/>
    <w:rsid w:val="6DAD1516"/>
    <w:rsid w:val="6EDB0075"/>
    <w:rsid w:val="747F7695"/>
    <w:rsid w:val="75B90BFC"/>
    <w:rsid w:val="7A150C2B"/>
    <w:rsid w:val="7B576EF9"/>
    <w:rsid w:val="7D0B6CDE"/>
    <w:rsid w:val="7DDB01A1"/>
    <w:rsid w:val="7E024035"/>
    <w:rsid w:val="7E9D50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CE0846"/>
    <w:pPr>
      <w:jc w:val="left"/>
    </w:pPr>
  </w:style>
  <w:style w:type="paragraph" w:styleId="a4">
    <w:name w:val="Balloon Text"/>
    <w:basedOn w:val="a"/>
    <w:link w:val="Char"/>
    <w:uiPriority w:val="99"/>
    <w:semiHidden/>
    <w:unhideWhenUsed/>
    <w:qFormat/>
    <w:rsid w:val="00CE0846"/>
    <w:rPr>
      <w:sz w:val="18"/>
      <w:szCs w:val="18"/>
    </w:rPr>
  </w:style>
  <w:style w:type="paragraph" w:styleId="a5">
    <w:name w:val="footer"/>
    <w:basedOn w:val="a"/>
    <w:link w:val="Char0"/>
    <w:uiPriority w:val="99"/>
    <w:unhideWhenUsed/>
    <w:qFormat/>
    <w:rsid w:val="00CE084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CE084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CE0846"/>
    <w:rPr>
      <w:color w:val="0000FF" w:themeColor="hyperlink"/>
      <w:u w:val="single"/>
    </w:rPr>
  </w:style>
  <w:style w:type="character" w:styleId="a8">
    <w:name w:val="annotation reference"/>
    <w:basedOn w:val="a0"/>
    <w:uiPriority w:val="99"/>
    <w:semiHidden/>
    <w:unhideWhenUsed/>
    <w:rsid w:val="00CE0846"/>
    <w:rPr>
      <w:sz w:val="21"/>
      <w:szCs w:val="21"/>
    </w:rPr>
  </w:style>
  <w:style w:type="character" w:customStyle="1" w:styleId="Char1">
    <w:name w:val="页眉 Char"/>
    <w:basedOn w:val="a0"/>
    <w:link w:val="a6"/>
    <w:uiPriority w:val="99"/>
    <w:qFormat/>
    <w:rsid w:val="00CE0846"/>
    <w:rPr>
      <w:sz w:val="18"/>
      <w:szCs w:val="18"/>
    </w:rPr>
  </w:style>
  <w:style w:type="character" w:customStyle="1" w:styleId="Char0">
    <w:name w:val="页脚 Char"/>
    <w:basedOn w:val="a0"/>
    <w:link w:val="a5"/>
    <w:uiPriority w:val="99"/>
    <w:qFormat/>
    <w:rsid w:val="00CE0846"/>
    <w:rPr>
      <w:sz w:val="18"/>
      <w:szCs w:val="18"/>
    </w:rPr>
  </w:style>
  <w:style w:type="character" w:customStyle="1" w:styleId="Char">
    <w:name w:val="批注框文本 Char"/>
    <w:basedOn w:val="a0"/>
    <w:link w:val="a4"/>
    <w:uiPriority w:val="99"/>
    <w:semiHidden/>
    <w:qFormat/>
    <w:rsid w:val="00CE0846"/>
    <w:rPr>
      <w:sz w:val="18"/>
      <w:szCs w:val="18"/>
    </w:rPr>
  </w:style>
  <w:style w:type="paragraph" w:customStyle="1" w:styleId="Default">
    <w:name w:val="Default"/>
    <w:qFormat/>
    <w:rsid w:val="00CE0846"/>
    <w:pPr>
      <w:widowControl w:val="0"/>
      <w:autoSpaceDE w:val="0"/>
      <w:autoSpaceDN w:val="0"/>
      <w:adjustRightInd w:val="0"/>
    </w:pPr>
    <w:rPr>
      <w:rFonts w:ascii="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7202-077F-4548-AA86-71E5EC52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2873</Characters>
  <Application>Microsoft Office Word</Application>
  <DocSecurity>4</DocSecurity>
  <Lines>23</Lines>
  <Paragraphs>6</Paragraphs>
  <ScaleCrop>false</ScaleCrop>
  <Company>Hfzq LTD.</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郑经枢</dc:creator>
  <cp:lastModifiedBy>ZHONGM</cp:lastModifiedBy>
  <cp:revision>2</cp:revision>
  <dcterms:created xsi:type="dcterms:W3CDTF">2024-07-03T16:00:00Z</dcterms:created>
  <dcterms:modified xsi:type="dcterms:W3CDTF">2024-07-03T16:00:00Z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C040835967554901BC3E30CD2A0A12C7_13</vt:lpwstr>
  </property>
  <property fmtid="{D5CDD505-2E9C-101B-9397-08002B2CF9AE}" pid="4" name="commondata">
    <vt:lpwstr>eyJoZGlkIjoiM2NjMWMzYjIxZjQ3MWZlNjFjNGQxODFiM2VlYmRjMTcifQ==</vt:lpwstr>
  </property>
</Properties>
</file>