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2A48FF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关于汇添富纳斯达克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100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交易型开放式指数证券投资基金发起式联接基金（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QDII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）人民币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E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类份额暂停大额申购、定期定额投资业务的公告</w:t>
      </w:r>
    </w:p>
    <w:p w:rsidR="00745B42" w:rsidRPr="00745B42" w:rsidRDefault="002A48FF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07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02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745B42" w:rsidRPr="00745B42" w:rsidRDefault="002A48FF" w:rsidP="002A48FF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604"/>
        <w:gridCol w:w="1320"/>
        <w:gridCol w:w="1320"/>
        <w:gridCol w:w="1320"/>
        <w:gridCol w:w="1320"/>
        <w:gridCol w:w="1796"/>
      </w:tblGrid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31072" w:type="dxa"/>
            <w:gridSpan w:val="5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交易型开放式指数证券投资基金发起式联接基金（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31072" w:type="dxa"/>
            <w:gridSpan w:val="5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100ETF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发起式联接（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31072" w:type="dxa"/>
            <w:gridSpan w:val="5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018966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31072" w:type="dxa"/>
            <w:gridSpan w:val="5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31072" w:type="dxa"/>
            <w:gridSpan w:val="5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交易型开放式指数证券投资基金发起式联接基金（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7331F7">
        <w:tc>
          <w:tcPr>
            <w:tcW w:w="20000" w:type="dxa"/>
            <w:vMerge w:val="restart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31072" w:type="dxa"/>
            <w:gridSpan w:val="5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07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7331F7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31072" w:type="dxa"/>
            <w:gridSpan w:val="5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交易型开放式指数证券投资基金发起式联接基金（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100ETF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发起式联接（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100ETF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发起式联接（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100ETF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发起式联接（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）美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元现钞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100ETF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发起式联接（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）美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元现汇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汇添富纳斯达克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100ETF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发起式联接（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）人民币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018966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018967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018969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018968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021773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金额单位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</w:tr>
      <w:tr w:rsidR="007331F7">
        <w:tc>
          <w:tcPr>
            <w:tcW w:w="-25536" w:type="dxa"/>
            <w:gridSpan w:val="2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2A48F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2A48FF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</w:t>
      </w:r>
      <w:r w:rsidRPr="00745B42">
        <w:rPr>
          <w:rFonts w:ascii="宋体" w:eastAsia="宋体" w:hAnsi="宋体" w:cs="宋体"/>
          <w:color w:val="000000"/>
          <w:szCs w:val="21"/>
        </w:rPr>
        <w:t>1</w:t>
      </w:r>
      <w:r w:rsidRPr="00745B42">
        <w:rPr>
          <w:rFonts w:ascii="宋体" w:eastAsia="宋体" w:hAnsi="宋体" w:cs="宋体"/>
          <w:color w:val="000000"/>
          <w:szCs w:val="21"/>
        </w:rPr>
        <w:t>、汇添富纳斯达克</w:t>
      </w:r>
      <w:r w:rsidRPr="00745B42">
        <w:rPr>
          <w:rFonts w:ascii="宋体" w:eastAsia="宋体" w:hAnsi="宋体" w:cs="宋体"/>
          <w:color w:val="000000"/>
          <w:szCs w:val="21"/>
        </w:rPr>
        <w:t>100ETF</w:t>
      </w:r>
      <w:r w:rsidRPr="00745B42">
        <w:rPr>
          <w:rFonts w:ascii="宋体" w:eastAsia="宋体" w:hAnsi="宋体" w:cs="宋体"/>
          <w:color w:val="000000"/>
          <w:szCs w:val="21"/>
        </w:rPr>
        <w:t>发起式联接（</w:t>
      </w:r>
      <w:r w:rsidRPr="00745B42">
        <w:rPr>
          <w:rFonts w:ascii="宋体" w:eastAsia="宋体" w:hAnsi="宋体" w:cs="宋体"/>
          <w:color w:val="000000"/>
          <w:szCs w:val="21"/>
        </w:rPr>
        <w:t>QDII</w:t>
      </w:r>
      <w:r w:rsidRPr="00745B42">
        <w:rPr>
          <w:rFonts w:ascii="宋体" w:eastAsia="宋体" w:hAnsi="宋体" w:cs="宋体"/>
          <w:color w:val="000000"/>
          <w:szCs w:val="21"/>
        </w:rPr>
        <w:t>）人民币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、汇添富纳斯达克</w:t>
      </w:r>
      <w:r w:rsidRPr="00745B42">
        <w:rPr>
          <w:rFonts w:ascii="宋体" w:eastAsia="宋体" w:hAnsi="宋体" w:cs="宋体"/>
          <w:color w:val="000000"/>
          <w:szCs w:val="21"/>
        </w:rPr>
        <w:t>100ETF</w:t>
      </w:r>
      <w:r w:rsidRPr="00745B42">
        <w:rPr>
          <w:rFonts w:ascii="宋体" w:eastAsia="宋体" w:hAnsi="宋体" w:cs="宋体"/>
          <w:color w:val="000000"/>
          <w:szCs w:val="21"/>
        </w:rPr>
        <w:t>发起式联接（</w:t>
      </w:r>
      <w:r w:rsidRPr="00745B42">
        <w:rPr>
          <w:rFonts w:ascii="宋体" w:eastAsia="宋体" w:hAnsi="宋体" w:cs="宋体"/>
          <w:color w:val="000000"/>
          <w:szCs w:val="21"/>
        </w:rPr>
        <w:t>QDII</w:t>
      </w:r>
      <w:r w:rsidRPr="00745B42">
        <w:rPr>
          <w:rFonts w:ascii="宋体" w:eastAsia="宋体" w:hAnsi="宋体" w:cs="宋体"/>
          <w:color w:val="000000"/>
          <w:szCs w:val="21"/>
        </w:rPr>
        <w:t>）人民币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19</w:t>
      </w:r>
      <w:r w:rsidRPr="00745B42">
        <w:rPr>
          <w:rFonts w:ascii="宋体" w:eastAsia="宋体" w:hAnsi="宋体" w:cs="宋体"/>
          <w:color w:val="000000"/>
          <w:szCs w:val="21"/>
        </w:rPr>
        <w:t>日起限制大额申购、大额定期定额投资业务，限制金额为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人民币元，汇添富纳斯达克</w:t>
      </w:r>
      <w:r w:rsidRPr="00745B42">
        <w:rPr>
          <w:rFonts w:ascii="宋体" w:eastAsia="宋体" w:hAnsi="宋体" w:cs="宋体"/>
          <w:color w:val="000000"/>
          <w:szCs w:val="21"/>
        </w:rPr>
        <w:t>100ETF</w:t>
      </w:r>
      <w:r w:rsidRPr="00745B42">
        <w:rPr>
          <w:rFonts w:ascii="宋体" w:eastAsia="宋体" w:hAnsi="宋体" w:cs="宋体"/>
          <w:color w:val="000000"/>
          <w:szCs w:val="21"/>
        </w:rPr>
        <w:t>发起式联接（</w:t>
      </w:r>
      <w:r w:rsidRPr="00745B42">
        <w:rPr>
          <w:rFonts w:ascii="宋体" w:eastAsia="宋体" w:hAnsi="宋体" w:cs="宋体"/>
          <w:color w:val="000000"/>
          <w:szCs w:val="21"/>
        </w:rPr>
        <w:t>QDII</w:t>
      </w:r>
      <w:r w:rsidRPr="00745B42">
        <w:rPr>
          <w:rFonts w:ascii="宋体" w:eastAsia="宋体" w:hAnsi="宋体" w:cs="宋体"/>
          <w:color w:val="000000"/>
          <w:szCs w:val="21"/>
        </w:rPr>
        <w:t>）美元现钞、汇添富纳斯达克</w:t>
      </w:r>
      <w:r w:rsidRPr="00745B42">
        <w:rPr>
          <w:rFonts w:ascii="宋体" w:eastAsia="宋体" w:hAnsi="宋体" w:cs="宋体"/>
          <w:color w:val="000000"/>
          <w:szCs w:val="21"/>
        </w:rPr>
        <w:t>100ETF</w:t>
      </w:r>
      <w:r w:rsidRPr="00745B42">
        <w:rPr>
          <w:rFonts w:ascii="宋体" w:eastAsia="宋体" w:hAnsi="宋体" w:cs="宋体"/>
          <w:color w:val="000000"/>
          <w:szCs w:val="21"/>
        </w:rPr>
        <w:t>发起式联接（</w:t>
      </w:r>
      <w:r w:rsidRPr="00745B42">
        <w:rPr>
          <w:rFonts w:ascii="宋体" w:eastAsia="宋体" w:hAnsi="宋体" w:cs="宋体"/>
          <w:color w:val="000000"/>
          <w:szCs w:val="21"/>
        </w:rPr>
        <w:t>QDII</w:t>
      </w:r>
      <w:r w:rsidRPr="00745B42">
        <w:rPr>
          <w:rFonts w:ascii="宋体" w:eastAsia="宋体" w:hAnsi="宋体" w:cs="宋体"/>
          <w:color w:val="000000"/>
          <w:szCs w:val="21"/>
        </w:rPr>
        <w:t>）美元现汇自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19</w:t>
      </w:r>
      <w:r w:rsidRPr="00745B42">
        <w:rPr>
          <w:rFonts w:ascii="宋体" w:eastAsia="宋体" w:hAnsi="宋体" w:cs="宋体"/>
          <w:color w:val="000000"/>
          <w:szCs w:val="21"/>
        </w:rPr>
        <w:t>日起限制大额申购、大额定期定额投资业务，限制金额为</w:t>
      </w:r>
      <w:r w:rsidRPr="00745B42">
        <w:rPr>
          <w:rFonts w:ascii="宋体" w:eastAsia="宋体" w:hAnsi="宋体" w:cs="宋体"/>
          <w:color w:val="000000"/>
          <w:szCs w:val="21"/>
        </w:rPr>
        <w:t>400000</w:t>
      </w:r>
      <w:r w:rsidRPr="00745B42">
        <w:rPr>
          <w:rFonts w:ascii="宋体" w:eastAsia="宋体" w:hAnsi="宋体" w:cs="宋体"/>
          <w:color w:val="000000"/>
          <w:szCs w:val="21"/>
        </w:rPr>
        <w:t>美元，详见本公司于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18</w:t>
      </w:r>
      <w:r w:rsidRPr="00745B42">
        <w:rPr>
          <w:rFonts w:ascii="宋体" w:eastAsia="宋体" w:hAnsi="宋体" w:cs="宋体"/>
          <w:color w:val="000000"/>
          <w:szCs w:val="21"/>
        </w:rPr>
        <w:t>日发布的《关于汇添富纳斯达克</w:t>
      </w:r>
      <w:r w:rsidRPr="00745B42">
        <w:rPr>
          <w:rFonts w:ascii="宋体" w:eastAsia="宋体" w:hAnsi="宋体" w:cs="宋体"/>
          <w:color w:val="000000"/>
          <w:szCs w:val="21"/>
        </w:rPr>
        <w:t>100</w:t>
      </w:r>
      <w:r w:rsidRPr="00745B42">
        <w:rPr>
          <w:rFonts w:ascii="宋体" w:eastAsia="宋体" w:hAnsi="宋体" w:cs="宋体"/>
          <w:color w:val="000000"/>
          <w:szCs w:val="21"/>
        </w:rPr>
        <w:t>交易型开放式指数证券投资</w:t>
      </w:r>
      <w:r w:rsidRPr="00745B42">
        <w:rPr>
          <w:rFonts w:ascii="宋体" w:eastAsia="宋体" w:hAnsi="宋体" w:cs="宋体"/>
          <w:color w:val="000000"/>
          <w:szCs w:val="21"/>
        </w:rPr>
        <w:t>基金发起式联接基金（</w:t>
      </w:r>
      <w:r w:rsidRPr="00745B42">
        <w:rPr>
          <w:rFonts w:ascii="宋体" w:eastAsia="宋体" w:hAnsi="宋体" w:cs="宋体"/>
          <w:color w:val="000000"/>
          <w:szCs w:val="21"/>
        </w:rPr>
        <w:t>QDII</w:t>
      </w:r>
      <w:r w:rsidRPr="00745B42">
        <w:rPr>
          <w:rFonts w:ascii="宋体" w:eastAsia="宋体" w:hAnsi="宋体" w:cs="宋体"/>
          <w:color w:val="000000"/>
          <w:szCs w:val="21"/>
        </w:rPr>
        <w:t>）调整大额申购、定期定额投资业务限制金额的公告》。</w:t>
      </w:r>
    </w:p>
    <w:p w:rsidR="00745B42" w:rsidRPr="00745B42" w:rsidRDefault="002A48FF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07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03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07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03</w:t>
      </w:r>
      <w:r w:rsidRPr="00745B42">
        <w:rPr>
          <w:rFonts w:ascii="宋体" w:eastAsia="宋体" w:hAnsi="宋体" w:cs="宋体"/>
          <w:color w:val="000000"/>
          <w:szCs w:val="21"/>
        </w:rPr>
        <w:t>日），汇添富纳斯达克</w:t>
      </w:r>
      <w:r w:rsidRPr="00745B42">
        <w:rPr>
          <w:rFonts w:ascii="宋体" w:eastAsia="宋体" w:hAnsi="宋体" w:cs="宋体"/>
          <w:color w:val="000000"/>
          <w:szCs w:val="21"/>
        </w:rPr>
        <w:t>100ETF</w:t>
      </w:r>
      <w:r w:rsidRPr="00745B42">
        <w:rPr>
          <w:rFonts w:ascii="宋体" w:eastAsia="宋体" w:hAnsi="宋体" w:cs="宋体"/>
          <w:color w:val="000000"/>
          <w:szCs w:val="21"/>
        </w:rPr>
        <w:t>发起式联接（</w:t>
      </w:r>
      <w:r w:rsidRPr="00745B42">
        <w:rPr>
          <w:rFonts w:ascii="宋体" w:eastAsia="宋体" w:hAnsi="宋体" w:cs="宋体"/>
          <w:color w:val="000000"/>
          <w:szCs w:val="21"/>
        </w:rPr>
        <w:t>QDII</w:t>
      </w:r>
      <w:r w:rsidRPr="00745B42">
        <w:rPr>
          <w:rFonts w:ascii="宋体" w:eastAsia="宋体" w:hAnsi="宋体" w:cs="宋体"/>
          <w:color w:val="000000"/>
          <w:szCs w:val="21"/>
        </w:rPr>
        <w:t>）人民币</w:t>
      </w:r>
      <w:r w:rsidRPr="00745B42">
        <w:rPr>
          <w:rFonts w:ascii="宋体" w:eastAsia="宋体" w:hAnsi="宋体" w:cs="宋体"/>
          <w:color w:val="000000"/>
          <w:szCs w:val="21"/>
        </w:rPr>
        <w:t>E</w:t>
      </w:r>
      <w:r w:rsidRPr="00745B42">
        <w:rPr>
          <w:rFonts w:ascii="宋体" w:eastAsia="宋体" w:hAnsi="宋体" w:cs="宋体"/>
          <w:color w:val="000000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</w:t>
      </w:r>
      <w:r w:rsidRPr="00745B42">
        <w:rPr>
          <w:rFonts w:ascii="宋体" w:eastAsia="宋体" w:hAnsi="宋体" w:cs="宋体"/>
          <w:color w:val="000000"/>
          <w:szCs w:val="21"/>
        </w:rPr>
        <w:t>汇添富纳斯达克</w:t>
      </w:r>
      <w:r w:rsidRPr="00745B42">
        <w:rPr>
          <w:rFonts w:ascii="宋体" w:eastAsia="宋体" w:hAnsi="宋体" w:cs="宋体"/>
          <w:color w:val="000000"/>
          <w:szCs w:val="21"/>
        </w:rPr>
        <w:t>100ETF</w:t>
      </w:r>
      <w:r w:rsidRPr="00745B42">
        <w:rPr>
          <w:rFonts w:ascii="宋体" w:eastAsia="宋体" w:hAnsi="宋体" w:cs="宋体"/>
          <w:color w:val="000000"/>
          <w:szCs w:val="21"/>
        </w:rPr>
        <w:t>发起式联接（</w:t>
      </w:r>
      <w:r w:rsidRPr="00745B42">
        <w:rPr>
          <w:rFonts w:ascii="宋体" w:eastAsia="宋体" w:hAnsi="宋体" w:cs="宋体"/>
          <w:color w:val="000000"/>
          <w:szCs w:val="21"/>
        </w:rPr>
        <w:t>QDII</w:t>
      </w:r>
      <w:r w:rsidRPr="00745B42">
        <w:rPr>
          <w:rFonts w:ascii="宋体" w:eastAsia="宋体" w:hAnsi="宋体" w:cs="宋体"/>
          <w:color w:val="000000"/>
          <w:szCs w:val="21"/>
        </w:rPr>
        <w:t>）人民币</w:t>
      </w:r>
      <w:r w:rsidRPr="00745B42">
        <w:rPr>
          <w:rFonts w:ascii="宋体" w:eastAsia="宋体" w:hAnsi="宋体" w:cs="宋体"/>
          <w:color w:val="000000"/>
          <w:szCs w:val="21"/>
        </w:rPr>
        <w:t>E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恢复大额申购、大额定期定额投资业务的具体时间将另行公告。</w:t>
      </w:r>
    </w:p>
    <w:p w:rsidR="00745B42" w:rsidRPr="00745B42" w:rsidRDefault="002A48FF" w:rsidP="002A48FF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2A48FF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2A48FF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</w:t>
      </w: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>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2A48FF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2A48FF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bookmarkStart w:id="2" w:name="_GoBack"/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2A48FF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07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02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2A48FF"/>
    <w:rsid w:val="00650CB3"/>
    <w:rsid w:val="007331F7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4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2024-07-01T16:02:00Z</dcterms:created>
  <dcterms:modified xsi:type="dcterms:W3CDTF">2024-07-01T16:02:00Z</dcterms:modified>
</cp:coreProperties>
</file>