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54" w:rsidRPr="00F72B49" w:rsidRDefault="00183654" w:rsidP="005F7B77">
      <w:pPr>
        <w:spacing w:line="360" w:lineRule="auto"/>
        <w:jc w:val="center"/>
        <w:rPr>
          <w:rFonts w:ascii="Times New Roman" w:eastAsia="宋体" w:hAnsi="Times New Roman"/>
          <w:b/>
          <w:sz w:val="28"/>
          <w:szCs w:val="24"/>
        </w:rPr>
      </w:pPr>
      <w:r w:rsidRPr="00F72B49">
        <w:rPr>
          <w:rFonts w:ascii="Times New Roman" w:eastAsia="宋体" w:hAnsi="Times New Roman" w:hint="eastAsia"/>
          <w:b/>
          <w:sz w:val="28"/>
          <w:szCs w:val="24"/>
        </w:rPr>
        <w:t>关于调整</w:t>
      </w:r>
      <w:r w:rsidR="00FF4CB3" w:rsidRPr="00F72B49">
        <w:rPr>
          <w:rFonts w:ascii="Times New Roman" w:eastAsia="宋体" w:hAnsi="Times New Roman" w:hint="eastAsia"/>
          <w:b/>
          <w:sz w:val="28"/>
          <w:szCs w:val="24"/>
        </w:rPr>
        <w:t>旗下部分基金</w:t>
      </w:r>
      <w:r w:rsidR="005F7B77" w:rsidRPr="00F72B49">
        <w:rPr>
          <w:rFonts w:ascii="Times New Roman" w:eastAsia="宋体" w:hAnsi="Times New Roman" w:hint="eastAsia"/>
          <w:b/>
          <w:sz w:val="28"/>
          <w:szCs w:val="24"/>
        </w:rPr>
        <w:t>最低申购金额、最低赎回份额和最低持有份额数量限制</w:t>
      </w:r>
      <w:r w:rsidRPr="00F72B49">
        <w:rPr>
          <w:rFonts w:ascii="Times New Roman" w:eastAsia="宋体" w:hAnsi="Times New Roman" w:hint="eastAsia"/>
          <w:b/>
          <w:sz w:val="28"/>
          <w:szCs w:val="24"/>
        </w:rPr>
        <w:t>的公告</w:t>
      </w:r>
    </w:p>
    <w:p w:rsidR="00183654" w:rsidRPr="00F72B49" w:rsidRDefault="00183654" w:rsidP="008C6A27">
      <w:pPr>
        <w:spacing w:line="360" w:lineRule="auto"/>
        <w:rPr>
          <w:rFonts w:ascii="Times New Roman" w:eastAsia="宋体" w:hAnsi="Times New Roman"/>
          <w:sz w:val="24"/>
          <w:szCs w:val="24"/>
        </w:rPr>
      </w:pPr>
    </w:p>
    <w:p w:rsidR="000D70DB" w:rsidRPr="00F72B49" w:rsidRDefault="00183654" w:rsidP="00422B44">
      <w:pPr>
        <w:spacing w:line="360" w:lineRule="auto"/>
        <w:ind w:firstLine="420"/>
        <w:rPr>
          <w:rFonts w:ascii="Times New Roman" w:eastAsia="宋体" w:hAnsi="Times New Roman"/>
          <w:sz w:val="24"/>
          <w:szCs w:val="24"/>
        </w:rPr>
      </w:pPr>
      <w:r w:rsidRPr="00F72B49">
        <w:rPr>
          <w:rFonts w:ascii="Times New Roman" w:eastAsia="宋体" w:hAnsi="Times New Roman"/>
          <w:sz w:val="24"/>
          <w:szCs w:val="24"/>
        </w:rPr>
        <w:t>为更好地满足投资者的理财需求，</w:t>
      </w:r>
      <w:r w:rsidR="00F86787" w:rsidRPr="00F72B49">
        <w:rPr>
          <w:rFonts w:ascii="Times New Roman" w:eastAsia="宋体" w:hAnsi="Times New Roman" w:hint="eastAsia"/>
          <w:sz w:val="24"/>
          <w:szCs w:val="24"/>
        </w:rPr>
        <w:t>民生加银</w:t>
      </w:r>
      <w:r w:rsidR="00127EF1" w:rsidRPr="00F72B49">
        <w:rPr>
          <w:rFonts w:ascii="Times New Roman" w:eastAsia="宋体" w:hAnsi="Times New Roman" w:hint="eastAsia"/>
          <w:sz w:val="24"/>
          <w:szCs w:val="24"/>
        </w:rPr>
        <w:t>基金</w:t>
      </w:r>
      <w:r w:rsidRPr="00F72B49">
        <w:rPr>
          <w:rFonts w:ascii="Times New Roman" w:eastAsia="宋体" w:hAnsi="Times New Roman"/>
          <w:sz w:val="24"/>
          <w:szCs w:val="24"/>
        </w:rPr>
        <w:t>管理有限公司（以下简称</w:t>
      </w:r>
      <w:r w:rsidRPr="00F72B49">
        <w:rPr>
          <w:rFonts w:ascii="Times New Roman" w:eastAsia="宋体" w:hAnsi="Times New Roman"/>
          <w:sz w:val="24"/>
          <w:szCs w:val="24"/>
        </w:rPr>
        <w:t>“</w:t>
      </w:r>
      <w:r w:rsidRPr="00F72B49">
        <w:rPr>
          <w:rFonts w:ascii="Times New Roman" w:eastAsia="宋体" w:hAnsi="Times New Roman"/>
          <w:sz w:val="24"/>
          <w:szCs w:val="24"/>
        </w:rPr>
        <w:t>本公司</w:t>
      </w:r>
      <w:r w:rsidRPr="00F72B49">
        <w:rPr>
          <w:rFonts w:ascii="Times New Roman" w:eastAsia="宋体" w:hAnsi="Times New Roman"/>
          <w:sz w:val="24"/>
          <w:szCs w:val="24"/>
        </w:rPr>
        <w:t>”</w:t>
      </w:r>
      <w:r w:rsidRPr="00F72B49">
        <w:rPr>
          <w:rFonts w:ascii="Times New Roman" w:eastAsia="宋体" w:hAnsi="Times New Roman"/>
          <w:sz w:val="24"/>
          <w:szCs w:val="24"/>
        </w:rPr>
        <w:t>）决定自</w:t>
      </w:r>
      <w:r w:rsidR="00422B44" w:rsidRPr="00F72B49">
        <w:rPr>
          <w:rFonts w:ascii="Times New Roman" w:eastAsia="宋体" w:hAnsi="Times New Roman"/>
          <w:sz w:val="24"/>
          <w:szCs w:val="24"/>
        </w:rPr>
        <w:t>202</w:t>
      </w:r>
      <w:r w:rsidR="00422B44">
        <w:rPr>
          <w:rFonts w:ascii="Times New Roman" w:eastAsia="宋体" w:hAnsi="Times New Roman"/>
          <w:sz w:val="24"/>
          <w:szCs w:val="24"/>
        </w:rPr>
        <w:t>4</w:t>
      </w:r>
      <w:r w:rsidR="00985B32" w:rsidRPr="00F72B49">
        <w:rPr>
          <w:rFonts w:ascii="Times New Roman" w:eastAsia="宋体" w:hAnsi="Times New Roman"/>
          <w:sz w:val="24"/>
          <w:szCs w:val="24"/>
        </w:rPr>
        <w:t>年</w:t>
      </w:r>
      <w:r w:rsidR="00422B44">
        <w:rPr>
          <w:rFonts w:ascii="Times New Roman" w:eastAsia="宋体" w:hAnsi="Times New Roman"/>
          <w:sz w:val="24"/>
          <w:szCs w:val="24"/>
        </w:rPr>
        <w:t>7</w:t>
      </w:r>
      <w:r w:rsidR="00985B32" w:rsidRPr="00F72B49">
        <w:rPr>
          <w:rFonts w:ascii="Times New Roman" w:eastAsia="宋体" w:hAnsi="Times New Roman"/>
          <w:sz w:val="24"/>
          <w:szCs w:val="24"/>
        </w:rPr>
        <w:t>月</w:t>
      </w:r>
      <w:r w:rsidR="00513A84">
        <w:rPr>
          <w:rFonts w:ascii="Times New Roman" w:eastAsia="宋体" w:hAnsi="Times New Roman" w:hint="eastAsia"/>
          <w:sz w:val="24"/>
          <w:szCs w:val="24"/>
        </w:rPr>
        <w:t>2</w:t>
      </w:r>
      <w:r w:rsidRPr="00F72B49">
        <w:rPr>
          <w:rFonts w:ascii="Times New Roman" w:eastAsia="宋体" w:hAnsi="Times New Roman"/>
          <w:sz w:val="24"/>
          <w:szCs w:val="24"/>
        </w:rPr>
        <w:t>日起，调整本公司旗</w:t>
      </w:r>
      <w:bookmarkStart w:id="0" w:name="_GoBack"/>
      <w:bookmarkEnd w:id="0"/>
      <w:r w:rsidRPr="00F72B49">
        <w:rPr>
          <w:rFonts w:ascii="Times New Roman" w:eastAsia="宋体" w:hAnsi="Times New Roman"/>
          <w:sz w:val="24"/>
          <w:szCs w:val="24"/>
        </w:rPr>
        <w:t>下</w:t>
      </w:r>
      <w:r w:rsidR="00FF4CB3" w:rsidRPr="00F72B49">
        <w:rPr>
          <w:rFonts w:ascii="Times New Roman" w:eastAsia="宋体" w:hAnsi="Times New Roman" w:hint="eastAsia"/>
          <w:sz w:val="24"/>
          <w:szCs w:val="24"/>
        </w:rPr>
        <w:t>部分基金</w:t>
      </w:r>
      <w:r w:rsidR="00340E09" w:rsidRPr="00F72B49">
        <w:rPr>
          <w:rFonts w:ascii="Times New Roman" w:eastAsia="宋体" w:hAnsi="Times New Roman" w:hint="eastAsia"/>
          <w:sz w:val="24"/>
          <w:szCs w:val="24"/>
        </w:rPr>
        <w:t>最低申购金额、最低赎回份额和最低持有份额数量限制</w:t>
      </w:r>
      <w:r w:rsidRPr="00F72B49">
        <w:rPr>
          <w:rFonts w:ascii="Times New Roman" w:eastAsia="宋体" w:hAnsi="Times New Roman"/>
          <w:sz w:val="24"/>
          <w:szCs w:val="24"/>
        </w:rPr>
        <w:t>，现将相关事项公告如下：</w:t>
      </w:r>
    </w:p>
    <w:p w:rsidR="00183654" w:rsidRPr="00F72B49" w:rsidRDefault="00183654" w:rsidP="008C6A27">
      <w:pPr>
        <w:spacing w:line="360" w:lineRule="auto"/>
        <w:rPr>
          <w:rFonts w:ascii="Times New Roman" w:eastAsia="宋体" w:hAnsi="Times New Roman"/>
          <w:sz w:val="24"/>
          <w:szCs w:val="24"/>
        </w:rPr>
      </w:pPr>
    </w:p>
    <w:p w:rsidR="00183654" w:rsidRPr="00F72B49" w:rsidRDefault="00165D44" w:rsidP="00422B44">
      <w:pPr>
        <w:spacing w:line="360" w:lineRule="auto"/>
        <w:rPr>
          <w:rFonts w:ascii="Times New Roman" w:eastAsia="宋体" w:hAnsi="Times New Roman"/>
          <w:b/>
          <w:sz w:val="24"/>
          <w:szCs w:val="24"/>
        </w:rPr>
      </w:pPr>
      <w:r w:rsidRPr="00F72B49">
        <w:rPr>
          <w:rFonts w:ascii="Times New Roman" w:eastAsia="宋体" w:hAnsi="Times New Roman" w:hint="eastAsia"/>
          <w:b/>
          <w:sz w:val="24"/>
          <w:szCs w:val="24"/>
        </w:rPr>
        <w:t>一、</w:t>
      </w:r>
      <w:r w:rsidR="006A034A" w:rsidRPr="00F72B49">
        <w:rPr>
          <w:rFonts w:ascii="Times New Roman" w:eastAsia="宋体" w:hAnsi="Times New Roman" w:hint="eastAsia"/>
          <w:b/>
          <w:sz w:val="24"/>
          <w:szCs w:val="24"/>
        </w:rPr>
        <w:t>适用基金</w:t>
      </w:r>
    </w:p>
    <w:tbl>
      <w:tblPr>
        <w:tblStyle w:val="a5"/>
        <w:tblW w:w="8364" w:type="dxa"/>
        <w:tblInd w:w="-5" w:type="dxa"/>
        <w:tblLayout w:type="fixed"/>
        <w:tblLook w:val="04A0"/>
      </w:tblPr>
      <w:tblGrid>
        <w:gridCol w:w="1560"/>
        <w:gridCol w:w="6804"/>
      </w:tblGrid>
      <w:tr w:rsidR="00985B32" w:rsidRPr="00F72B49" w:rsidTr="002D4EDA">
        <w:trPr>
          <w:trHeight w:val="272"/>
        </w:trPr>
        <w:tc>
          <w:tcPr>
            <w:tcW w:w="1560" w:type="dxa"/>
          </w:tcPr>
          <w:p w:rsidR="00985B32" w:rsidRPr="00F72B49" w:rsidRDefault="00985B32" w:rsidP="00FD11A9">
            <w:pPr>
              <w:spacing w:line="360" w:lineRule="auto"/>
              <w:rPr>
                <w:rFonts w:ascii="Times New Roman" w:eastAsia="宋体" w:hAnsi="Times New Roman"/>
                <w:b/>
                <w:sz w:val="22"/>
                <w:szCs w:val="21"/>
              </w:rPr>
            </w:pPr>
            <w:r w:rsidRPr="00F72B49">
              <w:rPr>
                <w:rFonts w:ascii="Times New Roman" w:eastAsia="宋体" w:hAnsi="Times New Roman" w:cs="宋体" w:hint="eastAsia"/>
                <w:b/>
                <w:color w:val="000000"/>
                <w:kern w:val="0"/>
                <w:sz w:val="22"/>
                <w:szCs w:val="21"/>
              </w:rPr>
              <w:t>基金代码</w:t>
            </w:r>
          </w:p>
        </w:tc>
        <w:tc>
          <w:tcPr>
            <w:tcW w:w="6804" w:type="dxa"/>
          </w:tcPr>
          <w:p w:rsidR="00985B32" w:rsidRPr="00F72B49" w:rsidRDefault="00985B32" w:rsidP="00FD11A9">
            <w:pPr>
              <w:spacing w:line="360" w:lineRule="auto"/>
              <w:rPr>
                <w:rFonts w:ascii="Times New Roman" w:eastAsia="宋体" w:hAnsi="Times New Roman"/>
                <w:b/>
                <w:sz w:val="22"/>
                <w:szCs w:val="21"/>
              </w:rPr>
            </w:pPr>
            <w:r w:rsidRPr="00F72B49">
              <w:rPr>
                <w:rFonts w:ascii="Times New Roman" w:eastAsia="宋体" w:hAnsi="Times New Roman" w:cs="宋体" w:hint="eastAsia"/>
                <w:b/>
                <w:color w:val="000000"/>
                <w:kern w:val="0"/>
                <w:sz w:val="22"/>
                <w:szCs w:val="21"/>
              </w:rPr>
              <w:t>基金名称</w:t>
            </w:r>
          </w:p>
        </w:tc>
      </w:tr>
      <w:tr w:rsidR="003D25DC" w:rsidRPr="00F72B49" w:rsidTr="002D4EDA">
        <w:trPr>
          <w:trHeight w:val="399"/>
        </w:trPr>
        <w:tc>
          <w:tcPr>
            <w:tcW w:w="1560" w:type="dxa"/>
            <w:noWrap/>
            <w:hideMark/>
          </w:tcPr>
          <w:p w:rsidR="003D25DC" w:rsidRPr="00F72B49" w:rsidRDefault="00C03049" w:rsidP="00FD11A9">
            <w:pPr>
              <w:spacing w:line="360" w:lineRule="auto"/>
              <w:rPr>
                <w:rFonts w:ascii="Times New Roman" w:eastAsia="宋体" w:hAnsi="Times New Roman" w:cs="宋体"/>
                <w:color w:val="000000"/>
                <w:kern w:val="0"/>
                <w:sz w:val="24"/>
                <w:szCs w:val="24"/>
              </w:rPr>
            </w:pPr>
            <w:r>
              <w:rPr>
                <w:rFonts w:ascii="Times New Roman" w:eastAsia="宋体" w:hAnsi="Times New Roman"/>
                <w:sz w:val="24"/>
                <w:szCs w:val="24"/>
              </w:rPr>
              <w:t>003656</w:t>
            </w:r>
          </w:p>
        </w:tc>
        <w:tc>
          <w:tcPr>
            <w:tcW w:w="6804" w:type="dxa"/>
            <w:hideMark/>
          </w:tcPr>
          <w:p w:rsidR="003D25DC" w:rsidRPr="00F72B49" w:rsidRDefault="00C03049" w:rsidP="00FD11A9">
            <w:pPr>
              <w:spacing w:line="360" w:lineRule="auto"/>
              <w:rPr>
                <w:rFonts w:ascii="Times New Roman" w:eastAsia="宋体" w:hAnsi="Times New Roman" w:cs="宋体"/>
                <w:color w:val="333333"/>
                <w:kern w:val="0"/>
                <w:sz w:val="24"/>
                <w:szCs w:val="24"/>
              </w:rPr>
            </w:pPr>
            <w:r w:rsidRPr="00C03049">
              <w:rPr>
                <w:rFonts w:ascii="Times New Roman" w:eastAsia="宋体" w:hAnsi="Times New Roman" w:hint="eastAsia"/>
                <w:sz w:val="24"/>
                <w:szCs w:val="24"/>
              </w:rPr>
              <w:t>民生加银鑫元纯债债券型证券投资基金</w:t>
            </w:r>
            <w:r w:rsidR="003D25DC" w:rsidRPr="00F72B49">
              <w:rPr>
                <w:rFonts w:ascii="Times New Roman" w:eastAsia="宋体" w:hAnsi="Times New Roman" w:hint="eastAsia"/>
                <w:sz w:val="24"/>
                <w:szCs w:val="24"/>
              </w:rPr>
              <w:t>A</w:t>
            </w:r>
          </w:p>
        </w:tc>
      </w:tr>
      <w:tr w:rsidR="003D25DC" w:rsidRPr="00F72B49" w:rsidTr="002D4EDA">
        <w:trPr>
          <w:trHeight w:val="399"/>
        </w:trPr>
        <w:tc>
          <w:tcPr>
            <w:tcW w:w="1560" w:type="dxa"/>
            <w:noWrap/>
          </w:tcPr>
          <w:p w:rsidR="003D25DC" w:rsidRPr="00F72B49" w:rsidRDefault="00C03049" w:rsidP="00FD11A9">
            <w:pPr>
              <w:spacing w:line="360" w:lineRule="auto"/>
              <w:rPr>
                <w:rFonts w:ascii="Times New Roman" w:eastAsia="宋体" w:hAnsi="Times New Roman" w:cs="宋体"/>
                <w:color w:val="000000"/>
                <w:kern w:val="0"/>
                <w:sz w:val="24"/>
                <w:szCs w:val="24"/>
              </w:rPr>
            </w:pPr>
            <w:r>
              <w:rPr>
                <w:rFonts w:ascii="Times New Roman" w:eastAsia="宋体" w:hAnsi="Times New Roman"/>
                <w:sz w:val="24"/>
                <w:szCs w:val="24"/>
              </w:rPr>
              <w:t>003657</w:t>
            </w:r>
          </w:p>
        </w:tc>
        <w:tc>
          <w:tcPr>
            <w:tcW w:w="6804" w:type="dxa"/>
          </w:tcPr>
          <w:p w:rsidR="003D25DC" w:rsidRPr="00F72B49" w:rsidRDefault="00CA7E54" w:rsidP="00FD11A9">
            <w:pPr>
              <w:spacing w:line="360" w:lineRule="auto"/>
              <w:rPr>
                <w:rFonts w:ascii="Times New Roman" w:eastAsia="宋体" w:hAnsi="Times New Roman" w:cs="宋体"/>
                <w:color w:val="333333"/>
                <w:kern w:val="0"/>
                <w:sz w:val="24"/>
                <w:szCs w:val="24"/>
              </w:rPr>
            </w:pPr>
            <w:r w:rsidRPr="00CA7E54">
              <w:rPr>
                <w:rFonts w:ascii="Times New Roman" w:eastAsia="宋体" w:hAnsi="Times New Roman" w:hint="eastAsia"/>
                <w:sz w:val="24"/>
                <w:szCs w:val="24"/>
              </w:rPr>
              <w:t>民生加银鑫元纯债债券型证券投资基金</w:t>
            </w:r>
            <w:r w:rsidR="003D25DC" w:rsidRPr="00F72B49">
              <w:rPr>
                <w:rFonts w:ascii="Times New Roman" w:eastAsia="宋体" w:hAnsi="Times New Roman" w:hint="eastAsia"/>
                <w:sz w:val="24"/>
                <w:szCs w:val="24"/>
              </w:rPr>
              <w:t>C</w:t>
            </w:r>
          </w:p>
        </w:tc>
      </w:tr>
    </w:tbl>
    <w:p w:rsidR="00C03049" w:rsidRPr="00FD11A9" w:rsidRDefault="00C03049" w:rsidP="00C03049">
      <w:pPr>
        <w:spacing w:line="360" w:lineRule="auto"/>
        <w:rPr>
          <w:rFonts w:ascii="Times New Roman" w:eastAsia="宋体" w:hAnsi="Times New Roman"/>
          <w:b/>
          <w:sz w:val="24"/>
          <w:szCs w:val="24"/>
        </w:rPr>
      </w:pPr>
    </w:p>
    <w:p w:rsidR="006A034A" w:rsidRPr="00F72B49" w:rsidRDefault="00C03049" w:rsidP="00C03049">
      <w:pPr>
        <w:spacing w:line="360" w:lineRule="auto"/>
        <w:rPr>
          <w:rFonts w:ascii="Times New Roman" w:eastAsia="宋体" w:hAnsi="Times New Roman"/>
          <w:b/>
          <w:sz w:val="24"/>
          <w:szCs w:val="24"/>
        </w:rPr>
      </w:pPr>
      <w:r>
        <w:rPr>
          <w:rFonts w:ascii="Times New Roman" w:eastAsia="宋体" w:hAnsi="Times New Roman" w:hint="eastAsia"/>
          <w:b/>
          <w:sz w:val="24"/>
          <w:szCs w:val="24"/>
        </w:rPr>
        <w:t>二</w:t>
      </w:r>
      <w:r w:rsidR="00422B44" w:rsidRPr="00FD11A9">
        <w:rPr>
          <w:rFonts w:ascii="Times New Roman" w:eastAsia="宋体" w:hAnsi="Times New Roman" w:hint="eastAsia"/>
          <w:b/>
          <w:sz w:val="24"/>
          <w:szCs w:val="24"/>
        </w:rPr>
        <w:t>、</w:t>
      </w:r>
      <w:r w:rsidR="006A034A" w:rsidRPr="00F72B49">
        <w:rPr>
          <w:rFonts w:ascii="Times New Roman" w:eastAsia="宋体" w:hAnsi="Times New Roman" w:hint="eastAsia"/>
          <w:b/>
          <w:sz w:val="24"/>
          <w:szCs w:val="24"/>
        </w:rPr>
        <w:t>调整方案</w:t>
      </w:r>
    </w:p>
    <w:p w:rsidR="005143C0" w:rsidRPr="00F72B49" w:rsidRDefault="005143C0" w:rsidP="00165D44">
      <w:pPr>
        <w:spacing w:line="360" w:lineRule="auto"/>
        <w:ind w:firstLineChars="200" w:firstLine="480"/>
        <w:rPr>
          <w:rFonts w:ascii="Times New Roman" w:eastAsia="宋体" w:hAnsi="Times New Roman"/>
          <w:sz w:val="24"/>
          <w:szCs w:val="24"/>
        </w:rPr>
      </w:pPr>
      <w:r w:rsidRPr="00F72B49">
        <w:rPr>
          <w:rFonts w:ascii="Times New Roman" w:eastAsia="宋体" w:hAnsi="Times New Roman" w:hint="eastAsia"/>
          <w:sz w:val="24"/>
          <w:szCs w:val="24"/>
        </w:rPr>
        <w:t>1</w:t>
      </w:r>
      <w:r w:rsidRPr="00F72B49">
        <w:rPr>
          <w:rFonts w:ascii="Times New Roman" w:eastAsia="宋体" w:hAnsi="Times New Roman" w:hint="eastAsia"/>
          <w:sz w:val="24"/>
          <w:szCs w:val="24"/>
        </w:rPr>
        <w:t>、申请申购基金的最低金额限制</w:t>
      </w:r>
    </w:p>
    <w:p w:rsidR="005143C0" w:rsidRPr="00F72B49" w:rsidRDefault="005143C0" w:rsidP="00165D44">
      <w:pPr>
        <w:spacing w:line="360" w:lineRule="auto"/>
        <w:ind w:firstLineChars="200" w:firstLine="480"/>
        <w:rPr>
          <w:rFonts w:ascii="Times New Roman" w:eastAsia="宋体" w:hAnsi="Times New Roman"/>
          <w:sz w:val="24"/>
          <w:szCs w:val="24"/>
        </w:rPr>
      </w:pPr>
      <w:r w:rsidRPr="00F72B49">
        <w:rPr>
          <w:rFonts w:ascii="Times New Roman" w:eastAsia="宋体" w:hAnsi="Times New Roman" w:hint="eastAsia"/>
          <w:sz w:val="24"/>
          <w:szCs w:val="24"/>
        </w:rPr>
        <w:t>投资者申购本基金份额时，通过销售机构每笔申购金额不得低于</w:t>
      </w:r>
      <w:r w:rsidR="00165D44" w:rsidRPr="00F72B49">
        <w:rPr>
          <w:rFonts w:ascii="Times New Roman" w:eastAsia="宋体" w:hAnsi="Times New Roman" w:hint="eastAsia"/>
          <w:sz w:val="24"/>
          <w:szCs w:val="24"/>
        </w:rPr>
        <w:t>1</w:t>
      </w:r>
      <w:r w:rsidR="00422B44">
        <w:rPr>
          <w:rFonts w:ascii="Times New Roman" w:eastAsia="宋体" w:hAnsi="Times New Roman"/>
          <w:sz w:val="24"/>
          <w:szCs w:val="24"/>
        </w:rPr>
        <w:t>0</w:t>
      </w:r>
      <w:r w:rsidRPr="00F72B49">
        <w:rPr>
          <w:rFonts w:ascii="Times New Roman" w:eastAsia="宋体" w:hAnsi="Times New Roman" w:hint="eastAsia"/>
          <w:sz w:val="24"/>
          <w:szCs w:val="24"/>
        </w:rPr>
        <w:t>元</w:t>
      </w:r>
      <w:r w:rsidRPr="00F72B49">
        <w:rPr>
          <w:rFonts w:ascii="Times New Roman" w:eastAsia="宋体" w:hAnsi="Times New Roman" w:hint="eastAsia"/>
          <w:sz w:val="24"/>
          <w:szCs w:val="24"/>
        </w:rPr>
        <w:t>(</w:t>
      </w:r>
      <w:r w:rsidRPr="00F72B49">
        <w:rPr>
          <w:rFonts w:ascii="Times New Roman" w:eastAsia="宋体" w:hAnsi="Times New Roman" w:hint="eastAsia"/>
          <w:sz w:val="24"/>
          <w:szCs w:val="24"/>
        </w:rPr>
        <w:t>含申购费</w:t>
      </w:r>
      <w:r w:rsidRPr="00F72B49">
        <w:rPr>
          <w:rFonts w:ascii="Times New Roman" w:eastAsia="宋体" w:hAnsi="Times New Roman" w:hint="eastAsia"/>
          <w:sz w:val="24"/>
          <w:szCs w:val="24"/>
        </w:rPr>
        <w:t>)</w:t>
      </w:r>
      <w:r w:rsidRPr="00F72B49">
        <w:rPr>
          <w:rFonts w:ascii="Times New Roman" w:eastAsia="宋体" w:hAnsi="Times New Roman" w:hint="eastAsia"/>
          <w:sz w:val="24"/>
          <w:szCs w:val="24"/>
        </w:rPr>
        <w:t>，通过民生加银基金直销机构每笔申购金额不得低于</w:t>
      </w:r>
      <w:r w:rsidRPr="00F72B49">
        <w:rPr>
          <w:rFonts w:ascii="Times New Roman" w:eastAsia="宋体" w:hAnsi="Times New Roman" w:hint="eastAsia"/>
          <w:sz w:val="24"/>
          <w:szCs w:val="24"/>
        </w:rPr>
        <w:t>1</w:t>
      </w:r>
      <w:r w:rsidR="00422B44">
        <w:rPr>
          <w:rFonts w:ascii="Times New Roman" w:eastAsia="宋体" w:hAnsi="Times New Roman"/>
          <w:sz w:val="24"/>
          <w:szCs w:val="24"/>
        </w:rPr>
        <w:t>0</w:t>
      </w:r>
      <w:r w:rsidRPr="00F72B49">
        <w:rPr>
          <w:rFonts w:ascii="Times New Roman" w:eastAsia="宋体" w:hAnsi="Times New Roman" w:hint="eastAsia"/>
          <w:sz w:val="24"/>
          <w:szCs w:val="24"/>
        </w:rPr>
        <w:t>元</w:t>
      </w:r>
      <w:r w:rsidRPr="00F72B49">
        <w:rPr>
          <w:rFonts w:ascii="Times New Roman" w:eastAsia="宋体" w:hAnsi="Times New Roman" w:hint="eastAsia"/>
          <w:sz w:val="24"/>
          <w:szCs w:val="24"/>
        </w:rPr>
        <w:t>(</w:t>
      </w:r>
      <w:r w:rsidRPr="00F72B49">
        <w:rPr>
          <w:rFonts w:ascii="Times New Roman" w:eastAsia="宋体" w:hAnsi="Times New Roman" w:hint="eastAsia"/>
          <w:sz w:val="24"/>
          <w:szCs w:val="24"/>
        </w:rPr>
        <w:t>含申购费</w:t>
      </w:r>
      <w:r w:rsidRPr="00F72B49">
        <w:rPr>
          <w:rFonts w:ascii="Times New Roman" w:eastAsia="宋体" w:hAnsi="Times New Roman" w:hint="eastAsia"/>
          <w:sz w:val="24"/>
          <w:szCs w:val="24"/>
        </w:rPr>
        <w:t>)</w:t>
      </w:r>
      <w:r w:rsidRPr="00F72B49">
        <w:rPr>
          <w:rFonts w:ascii="Times New Roman" w:eastAsia="宋体" w:hAnsi="Times New Roman" w:hint="eastAsia"/>
          <w:sz w:val="24"/>
          <w:szCs w:val="24"/>
        </w:rPr>
        <w:t>，超过最低申购金额的部分不设金额级差；定期定额投资计划、比例配售和红利再投资不受此最低申购金额规定限制</w:t>
      </w:r>
      <w:r w:rsidR="00003359">
        <w:rPr>
          <w:rFonts w:ascii="Times New Roman" w:eastAsia="宋体" w:hAnsi="Times New Roman" w:hint="eastAsia"/>
          <w:sz w:val="24"/>
          <w:szCs w:val="24"/>
        </w:rPr>
        <w:t>；</w:t>
      </w:r>
      <w:r w:rsidRPr="00F72B49">
        <w:rPr>
          <w:rFonts w:ascii="Times New Roman" w:eastAsia="宋体" w:hAnsi="Times New Roman" w:hint="eastAsia"/>
          <w:sz w:val="24"/>
          <w:szCs w:val="24"/>
        </w:rPr>
        <w:t>销售机构若有不同规定，以销售机构规定为准</w:t>
      </w:r>
      <w:r w:rsidR="00135867">
        <w:rPr>
          <w:rFonts w:ascii="Times New Roman" w:eastAsia="宋体" w:hAnsi="Times New Roman" w:hint="eastAsia"/>
          <w:sz w:val="24"/>
          <w:szCs w:val="24"/>
        </w:rPr>
        <w:t>，</w:t>
      </w:r>
      <w:r w:rsidR="00F70422" w:rsidRPr="00F70422">
        <w:rPr>
          <w:rFonts w:ascii="Times New Roman" w:eastAsia="宋体" w:hAnsi="Times New Roman" w:hint="eastAsia"/>
          <w:sz w:val="24"/>
          <w:szCs w:val="24"/>
        </w:rPr>
        <w:t>但不得低于</w:t>
      </w:r>
      <w:r w:rsidR="00F70422" w:rsidRPr="00F70422">
        <w:rPr>
          <w:rFonts w:ascii="Times New Roman" w:eastAsia="宋体" w:hAnsi="Times New Roman" w:hint="eastAsia"/>
          <w:sz w:val="24"/>
          <w:szCs w:val="24"/>
        </w:rPr>
        <w:t>10</w:t>
      </w:r>
      <w:r w:rsidR="00F70422" w:rsidRPr="00F70422">
        <w:rPr>
          <w:rFonts w:ascii="Times New Roman" w:eastAsia="宋体" w:hAnsi="Times New Roman" w:hint="eastAsia"/>
          <w:sz w:val="24"/>
          <w:szCs w:val="24"/>
        </w:rPr>
        <w:t>元的最低限额规定</w:t>
      </w:r>
      <w:r w:rsidRPr="00F72B49">
        <w:rPr>
          <w:rFonts w:ascii="Times New Roman" w:eastAsia="宋体" w:hAnsi="Times New Roman" w:hint="eastAsia"/>
          <w:sz w:val="24"/>
          <w:szCs w:val="24"/>
        </w:rPr>
        <w:t>。</w:t>
      </w:r>
    </w:p>
    <w:p w:rsidR="005143C0" w:rsidRPr="00F72B49" w:rsidRDefault="005143C0" w:rsidP="00165D44">
      <w:pPr>
        <w:spacing w:line="360" w:lineRule="auto"/>
        <w:ind w:firstLineChars="200" w:firstLine="480"/>
        <w:rPr>
          <w:rFonts w:ascii="Times New Roman" w:eastAsia="宋体" w:hAnsi="Times New Roman"/>
          <w:sz w:val="24"/>
          <w:szCs w:val="24"/>
        </w:rPr>
      </w:pPr>
      <w:r w:rsidRPr="00F72B49">
        <w:rPr>
          <w:rFonts w:ascii="Times New Roman" w:eastAsia="宋体" w:hAnsi="Times New Roman" w:hint="eastAsia"/>
          <w:sz w:val="24"/>
          <w:szCs w:val="24"/>
        </w:rPr>
        <w:t>2</w:t>
      </w:r>
      <w:r w:rsidRPr="00F72B49">
        <w:rPr>
          <w:rFonts w:ascii="Times New Roman" w:eastAsia="宋体" w:hAnsi="Times New Roman" w:hint="eastAsia"/>
          <w:sz w:val="24"/>
          <w:szCs w:val="24"/>
        </w:rPr>
        <w:t>、申请赎回基金的份额</w:t>
      </w:r>
      <w:r w:rsidR="00DE5FBD">
        <w:rPr>
          <w:rFonts w:ascii="Times New Roman" w:eastAsia="宋体" w:hAnsi="Times New Roman" w:hint="eastAsia"/>
          <w:sz w:val="24"/>
          <w:szCs w:val="24"/>
        </w:rPr>
        <w:t>及在销售机构保留的基金份额数量限制</w:t>
      </w:r>
    </w:p>
    <w:p w:rsidR="00003359" w:rsidRDefault="005143C0" w:rsidP="00165D44">
      <w:pPr>
        <w:spacing w:line="360" w:lineRule="auto"/>
        <w:ind w:firstLineChars="200" w:firstLine="480"/>
        <w:rPr>
          <w:rFonts w:ascii="Times New Roman" w:eastAsia="宋体" w:hAnsi="Times New Roman"/>
          <w:sz w:val="24"/>
          <w:szCs w:val="24"/>
        </w:rPr>
      </w:pPr>
      <w:r w:rsidRPr="00F72B49">
        <w:rPr>
          <w:rFonts w:ascii="Times New Roman" w:eastAsia="宋体" w:hAnsi="Times New Roman" w:hint="eastAsia"/>
          <w:sz w:val="24"/>
          <w:szCs w:val="24"/>
        </w:rPr>
        <w:t>投资者赎回本基金份额时，可申请将其持有的部分或全部基金份额赎回。</w:t>
      </w:r>
    </w:p>
    <w:p w:rsidR="005143C0" w:rsidRPr="00F72B49" w:rsidRDefault="005143C0" w:rsidP="00165D44">
      <w:pPr>
        <w:spacing w:line="360" w:lineRule="auto"/>
        <w:ind w:firstLineChars="200" w:firstLine="480"/>
        <w:rPr>
          <w:rFonts w:ascii="Times New Roman" w:eastAsia="宋体" w:hAnsi="Times New Roman"/>
          <w:sz w:val="24"/>
          <w:szCs w:val="24"/>
        </w:rPr>
      </w:pPr>
      <w:r w:rsidRPr="00F72B49">
        <w:rPr>
          <w:rFonts w:ascii="Times New Roman" w:eastAsia="宋体" w:hAnsi="Times New Roman" w:hint="eastAsia"/>
          <w:sz w:val="24"/>
          <w:szCs w:val="24"/>
        </w:rPr>
        <w:t>本基金的投资者每个交易账户</w:t>
      </w:r>
      <w:r w:rsidR="00003359">
        <w:rPr>
          <w:rFonts w:ascii="Times New Roman" w:eastAsia="宋体" w:hAnsi="Times New Roman" w:hint="eastAsia"/>
          <w:sz w:val="24"/>
          <w:szCs w:val="24"/>
        </w:rPr>
        <w:t>的最低基金份额余额和</w:t>
      </w:r>
      <w:r w:rsidRPr="00F72B49">
        <w:rPr>
          <w:rFonts w:ascii="Times New Roman" w:eastAsia="宋体" w:hAnsi="Times New Roman" w:hint="eastAsia"/>
          <w:sz w:val="24"/>
          <w:szCs w:val="24"/>
        </w:rPr>
        <w:t>每笔最低赎回份额</w:t>
      </w:r>
      <w:r w:rsidR="00003359">
        <w:rPr>
          <w:rFonts w:ascii="Times New Roman" w:eastAsia="宋体" w:hAnsi="Times New Roman" w:hint="eastAsia"/>
          <w:sz w:val="24"/>
          <w:szCs w:val="24"/>
        </w:rPr>
        <w:t>均</w:t>
      </w:r>
      <w:r w:rsidRPr="00F72B49">
        <w:rPr>
          <w:rFonts w:ascii="Times New Roman" w:eastAsia="宋体" w:hAnsi="Times New Roman" w:hint="eastAsia"/>
          <w:sz w:val="24"/>
          <w:szCs w:val="24"/>
        </w:rPr>
        <w:t>为</w:t>
      </w:r>
      <w:r w:rsidRPr="00F72B49">
        <w:rPr>
          <w:rFonts w:ascii="Times New Roman" w:eastAsia="宋体" w:hAnsi="Times New Roman" w:hint="eastAsia"/>
          <w:sz w:val="24"/>
          <w:szCs w:val="24"/>
        </w:rPr>
        <w:t>1</w:t>
      </w:r>
      <w:r w:rsidR="00422B44">
        <w:rPr>
          <w:rFonts w:ascii="Times New Roman" w:eastAsia="宋体" w:hAnsi="Times New Roman"/>
          <w:sz w:val="24"/>
          <w:szCs w:val="24"/>
        </w:rPr>
        <w:t>0</w:t>
      </w:r>
      <w:r w:rsidRPr="00F72B49">
        <w:rPr>
          <w:rFonts w:ascii="Times New Roman" w:eastAsia="宋体" w:hAnsi="Times New Roman" w:hint="eastAsia"/>
          <w:sz w:val="24"/>
          <w:szCs w:val="24"/>
        </w:rPr>
        <w:t>份，</w:t>
      </w:r>
      <w:r w:rsidR="00003359">
        <w:rPr>
          <w:rFonts w:ascii="Times New Roman" w:eastAsia="宋体" w:hAnsi="Times New Roman" w:hint="eastAsia"/>
          <w:sz w:val="24"/>
          <w:szCs w:val="24"/>
        </w:rPr>
        <w:t>本基金不对单个投资者累计持有的基金份额上限进行限制；</w:t>
      </w:r>
      <w:r w:rsidRPr="00F72B49">
        <w:rPr>
          <w:rFonts w:ascii="Times New Roman" w:eastAsia="宋体" w:hAnsi="Times New Roman" w:hint="eastAsia"/>
          <w:sz w:val="24"/>
          <w:szCs w:val="24"/>
        </w:rPr>
        <w:t>销售机构若有不同规定，以销售机构规定为准，但不得低于</w:t>
      </w:r>
      <w:r w:rsidRPr="00F72B49">
        <w:rPr>
          <w:rFonts w:ascii="Times New Roman" w:eastAsia="宋体" w:hAnsi="Times New Roman" w:hint="eastAsia"/>
          <w:sz w:val="24"/>
          <w:szCs w:val="24"/>
        </w:rPr>
        <w:t>1</w:t>
      </w:r>
      <w:r w:rsidR="00422B44">
        <w:rPr>
          <w:rFonts w:ascii="Times New Roman" w:eastAsia="宋体" w:hAnsi="Times New Roman"/>
          <w:sz w:val="24"/>
          <w:szCs w:val="24"/>
        </w:rPr>
        <w:t>0</w:t>
      </w:r>
      <w:r w:rsidRPr="00F72B49">
        <w:rPr>
          <w:rFonts w:ascii="Times New Roman" w:eastAsia="宋体" w:hAnsi="Times New Roman" w:hint="eastAsia"/>
          <w:sz w:val="24"/>
          <w:szCs w:val="24"/>
        </w:rPr>
        <w:t>份的最低限额规定。</w:t>
      </w:r>
    </w:p>
    <w:p w:rsidR="00F86787" w:rsidRPr="00F72B49" w:rsidRDefault="00F86787" w:rsidP="00165D44">
      <w:pPr>
        <w:spacing w:line="360" w:lineRule="auto"/>
        <w:ind w:firstLineChars="200" w:firstLine="480"/>
        <w:rPr>
          <w:rFonts w:ascii="Times New Roman" w:eastAsia="宋体" w:hAnsi="Times New Roman"/>
          <w:sz w:val="24"/>
          <w:szCs w:val="24"/>
        </w:rPr>
      </w:pPr>
    </w:p>
    <w:p w:rsidR="00183654" w:rsidRPr="00F72B49" w:rsidRDefault="006A034A" w:rsidP="008C6A27">
      <w:pPr>
        <w:spacing w:line="360" w:lineRule="auto"/>
        <w:rPr>
          <w:rFonts w:ascii="Times New Roman" w:eastAsia="宋体" w:hAnsi="Times New Roman"/>
          <w:b/>
          <w:sz w:val="24"/>
          <w:szCs w:val="24"/>
        </w:rPr>
      </w:pPr>
      <w:r w:rsidRPr="00F72B49">
        <w:rPr>
          <w:rFonts w:ascii="Times New Roman" w:eastAsia="宋体" w:hAnsi="Times New Roman" w:hint="eastAsia"/>
          <w:b/>
          <w:sz w:val="24"/>
          <w:szCs w:val="24"/>
        </w:rPr>
        <w:t>三、</w:t>
      </w:r>
      <w:r w:rsidR="00183654" w:rsidRPr="00F72B49">
        <w:rPr>
          <w:rFonts w:ascii="Times New Roman" w:eastAsia="宋体" w:hAnsi="Times New Roman"/>
          <w:b/>
          <w:sz w:val="24"/>
          <w:szCs w:val="24"/>
        </w:rPr>
        <w:t>其他需要注意的事项</w:t>
      </w:r>
    </w:p>
    <w:p w:rsidR="00183654" w:rsidRPr="00F72B49" w:rsidRDefault="00183654" w:rsidP="00F573BB">
      <w:pPr>
        <w:spacing w:line="360" w:lineRule="auto"/>
        <w:ind w:firstLine="480"/>
        <w:rPr>
          <w:rFonts w:ascii="Times New Roman" w:eastAsia="宋体" w:hAnsi="Times New Roman"/>
          <w:sz w:val="24"/>
          <w:szCs w:val="24"/>
        </w:rPr>
      </w:pPr>
      <w:r w:rsidRPr="00F72B49">
        <w:rPr>
          <w:rFonts w:ascii="Times New Roman" w:eastAsia="宋体" w:hAnsi="Times New Roman"/>
          <w:sz w:val="24"/>
          <w:szCs w:val="24"/>
        </w:rPr>
        <w:t>1</w:t>
      </w:r>
      <w:r w:rsidRPr="00F72B49">
        <w:rPr>
          <w:rFonts w:ascii="Times New Roman" w:eastAsia="宋体" w:hAnsi="Times New Roman"/>
          <w:sz w:val="24"/>
          <w:szCs w:val="24"/>
        </w:rPr>
        <w:t>、</w:t>
      </w:r>
      <w:r w:rsidR="00CD5AE2" w:rsidRPr="00F72B49">
        <w:rPr>
          <w:rFonts w:ascii="Times New Roman" w:eastAsia="宋体" w:hAnsi="Times New Roman" w:hint="eastAsia"/>
          <w:sz w:val="24"/>
          <w:szCs w:val="24"/>
        </w:rPr>
        <w:t>本公司各基金销售机构有不同规定的</w:t>
      </w:r>
      <w:r w:rsidRPr="00F72B49">
        <w:rPr>
          <w:rFonts w:ascii="Times New Roman" w:eastAsia="宋体" w:hAnsi="Times New Roman"/>
          <w:sz w:val="24"/>
          <w:szCs w:val="24"/>
        </w:rPr>
        <w:t>，投资者在该销售机构办理上述业务时，需同时遵循销售机构的相关业务规定。</w:t>
      </w:r>
    </w:p>
    <w:p w:rsidR="00183654" w:rsidRPr="00F72B49" w:rsidRDefault="00DE5FBD" w:rsidP="0078767A">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2</w:t>
      </w:r>
      <w:r w:rsidR="00183654" w:rsidRPr="00F72B49">
        <w:rPr>
          <w:rFonts w:ascii="Times New Roman" w:eastAsia="宋体" w:hAnsi="Times New Roman"/>
          <w:sz w:val="24"/>
          <w:szCs w:val="24"/>
        </w:rPr>
        <w:t>、本次调整方案所涉及的招募说明书相关内容，将在招募说明书</w:t>
      </w:r>
      <w:r w:rsidR="00777892" w:rsidRPr="00F72B49">
        <w:rPr>
          <w:rFonts w:ascii="Times New Roman" w:eastAsia="宋体" w:hAnsi="Times New Roman" w:hint="eastAsia"/>
          <w:sz w:val="24"/>
          <w:szCs w:val="24"/>
        </w:rPr>
        <w:t>更新时</w:t>
      </w:r>
      <w:r w:rsidR="00370D9F" w:rsidRPr="00F72B49">
        <w:rPr>
          <w:rFonts w:ascii="Times New Roman" w:eastAsia="宋体" w:hAnsi="Times New Roman" w:hint="eastAsia"/>
          <w:sz w:val="24"/>
          <w:szCs w:val="24"/>
        </w:rPr>
        <w:t>进</w:t>
      </w:r>
      <w:r w:rsidR="00370D9F" w:rsidRPr="00F72B49">
        <w:rPr>
          <w:rFonts w:ascii="Times New Roman" w:eastAsia="宋体" w:hAnsi="Times New Roman" w:hint="eastAsia"/>
          <w:sz w:val="24"/>
          <w:szCs w:val="24"/>
        </w:rPr>
        <w:lastRenderedPageBreak/>
        <w:t>行相应</w:t>
      </w:r>
      <w:r w:rsidR="00777892" w:rsidRPr="00F72B49">
        <w:rPr>
          <w:rFonts w:ascii="Times New Roman" w:eastAsia="宋体" w:hAnsi="Times New Roman" w:hint="eastAsia"/>
          <w:sz w:val="24"/>
          <w:szCs w:val="24"/>
        </w:rPr>
        <w:t>调整</w:t>
      </w:r>
      <w:r w:rsidR="00183654" w:rsidRPr="00F72B49">
        <w:rPr>
          <w:rFonts w:ascii="Times New Roman" w:eastAsia="宋体" w:hAnsi="Times New Roman"/>
          <w:sz w:val="24"/>
          <w:szCs w:val="24"/>
        </w:rPr>
        <w:t>。</w:t>
      </w:r>
    </w:p>
    <w:p w:rsidR="00183654" w:rsidRPr="00F72B49" w:rsidRDefault="00DE5FBD" w:rsidP="00FD11A9">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sidR="00183654" w:rsidRPr="00F72B49">
        <w:rPr>
          <w:rFonts w:ascii="Times New Roman" w:eastAsia="宋体" w:hAnsi="Times New Roman"/>
          <w:sz w:val="24"/>
          <w:szCs w:val="24"/>
        </w:rPr>
        <w:t>、本公告涉及上述业务的最终解释权归本公司。</w:t>
      </w:r>
    </w:p>
    <w:p w:rsidR="00F86787" w:rsidRPr="00F72B49" w:rsidRDefault="00DE5FBD" w:rsidP="00324CF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sidR="00183654" w:rsidRPr="00F72B49">
        <w:rPr>
          <w:rFonts w:ascii="Times New Roman" w:eastAsia="宋体" w:hAnsi="Times New Roman"/>
          <w:sz w:val="24"/>
          <w:szCs w:val="24"/>
        </w:rPr>
        <w:t>、</w:t>
      </w:r>
      <w:r w:rsidR="00F86787" w:rsidRPr="00F72B49">
        <w:rPr>
          <w:rFonts w:ascii="Times New Roman" w:eastAsia="宋体" w:hAnsi="Times New Roman" w:hint="eastAsia"/>
          <w:sz w:val="24"/>
          <w:szCs w:val="24"/>
        </w:rPr>
        <w:t>投资者可通过以下途径了解或咨询详情：</w:t>
      </w:r>
    </w:p>
    <w:p w:rsidR="00F86787" w:rsidRPr="00F72B49" w:rsidRDefault="00F86787" w:rsidP="008C6A27">
      <w:pPr>
        <w:spacing w:line="360" w:lineRule="auto"/>
        <w:ind w:leftChars="100" w:left="210" w:firstLineChars="200" w:firstLine="480"/>
        <w:rPr>
          <w:rFonts w:ascii="Times New Roman" w:eastAsia="宋体" w:hAnsi="Times New Roman"/>
          <w:sz w:val="24"/>
          <w:szCs w:val="24"/>
        </w:rPr>
      </w:pPr>
      <w:r w:rsidRPr="00F72B49">
        <w:rPr>
          <w:rFonts w:ascii="Times New Roman" w:eastAsia="宋体" w:hAnsi="Times New Roman" w:hint="eastAsia"/>
          <w:sz w:val="24"/>
          <w:szCs w:val="24"/>
        </w:rPr>
        <w:t>1</w:t>
      </w:r>
      <w:r w:rsidRPr="00F72B49">
        <w:rPr>
          <w:rFonts w:ascii="Times New Roman" w:eastAsia="宋体" w:hAnsi="Times New Roman" w:hint="eastAsia"/>
          <w:sz w:val="24"/>
          <w:szCs w:val="24"/>
        </w:rPr>
        <w:t>）本公司网站</w:t>
      </w:r>
      <w:r w:rsidRPr="00F72B49">
        <w:rPr>
          <w:rFonts w:ascii="Times New Roman" w:eastAsia="宋体" w:hAnsi="Times New Roman" w:hint="eastAsia"/>
          <w:sz w:val="24"/>
          <w:szCs w:val="24"/>
        </w:rPr>
        <w:t>:</w:t>
      </w:r>
      <w:r w:rsidR="00EC74BD" w:rsidRPr="00F72B49" w:rsidDel="00EC74BD">
        <w:rPr>
          <w:rFonts w:ascii="Times New Roman" w:eastAsia="宋体" w:hAnsi="Times New Roman" w:hint="eastAsia"/>
          <w:sz w:val="24"/>
          <w:szCs w:val="24"/>
        </w:rPr>
        <w:t xml:space="preserve"> </w:t>
      </w:r>
      <w:r w:rsidRPr="00F72B49">
        <w:rPr>
          <w:rFonts w:ascii="Times New Roman" w:eastAsia="宋体" w:hAnsi="Times New Roman" w:hint="eastAsia"/>
          <w:sz w:val="24"/>
          <w:szCs w:val="24"/>
        </w:rPr>
        <w:t>www.msjyfund.com.cn </w:t>
      </w:r>
    </w:p>
    <w:p w:rsidR="00F86787" w:rsidRPr="00F72B49" w:rsidRDefault="00F86787" w:rsidP="008C6A27">
      <w:pPr>
        <w:spacing w:line="360" w:lineRule="auto"/>
        <w:ind w:leftChars="100" w:left="210" w:firstLineChars="200" w:firstLine="480"/>
        <w:rPr>
          <w:rFonts w:ascii="Times New Roman" w:eastAsia="宋体" w:hAnsi="Times New Roman"/>
          <w:sz w:val="24"/>
          <w:szCs w:val="24"/>
        </w:rPr>
      </w:pPr>
      <w:r w:rsidRPr="00F72B49">
        <w:rPr>
          <w:rFonts w:ascii="Times New Roman" w:eastAsia="宋体" w:hAnsi="Times New Roman" w:hint="eastAsia"/>
          <w:sz w:val="24"/>
          <w:szCs w:val="24"/>
        </w:rPr>
        <w:t>2</w:t>
      </w:r>
      <w:r w:rsidRPr="00F72B49">
        <w:rPr>
          <w:rFonts w:ascii="Times New Roman" w:eastAsia="宋体" w:hAnsi="Times New Roman" w:hint="eastAsia"/>
          <w:sz w:val="24"/>
          <w:szCs w:val="24"/>
        </w:rPr>
        <w:t>）客户服务电话</w:t>
      </w:r>
      <w:r w:rsidRPr="00F72B49">
        <w:rPr>
          <w:rFonts w:ascii="Times New Roman" w:eastAsia="宋体" w:hAnsi="Times New Roman" w:hint="eastAsia"/>
          <w:sz w:val="24"/>
          <w:szCs w:val="24"/>
        </w:rPr>
        <w:t>:</w:t>
      </w:r>
      <w:r w:rsidR="00F72B49">
        <w:rPr>
          <w:rFonts w:ascii="Times New Roman" w:eastAsia="宋体" w:hAnsi="Times New Roman"/>
          <w:sz w:val="24"/>
          <w:szCs w:val="24"/>
        </w:rPr>
        <w:t xml:space="preserve"> </w:t>
      </w:r>
      <w:r w:rsidRPr="00F72B49">
        <w:rPr>
          <w:rFonts w:ascii="Times New Roman" w:eastAsia="宋体" w:hAnsi="Times New Roman" w:hint="eastAsia"/>
          <w:sz w:val="24"/>
          <w:szCs w:val="24"/>
        </w:rPr>
        <w:t>400-8888-388</w:t>
      </w:r>
      <w:r w:rsidRPr="00F72B49">
        <w:rPr>
          <w:rFonts w:ascii="Times New Roman" w:eastAsia="宋体" w:hAnsi="Times New Roman" w:hint="eastAsia"/>
          <w:sz w:val="24"/>
          <w:szCs w:val="24"/>
        </w:rPr>
        <w:t>（免长话费）</w:t>
      </w:r>
    </w:p>
    <w:p w:rsidR="00F86787" w:rsidRPr="00F72B49" w:rsidRDefault="00F86787" w:rsidP="008C6A27">
      <w:pPr>
        <w:spacing w:line="360" w:lineRule="auto"/>
        <w:ind w:leftChars="100" w:left="210" w:firstLineChars="200" w:firstLine="480"/>
        <w:rPr>
          <w:rFonts w:ascii="Times New Roman" w:eastAsia="宋体" w:hAnsi="Times New Roman"/>
          <w:sz w:val="24"/>
          <w:szCs w:val="24"/>
        </w:rPr>
      </w:pPr>
      <w:r w:rsidRPr="00F72B49">
        <w:rPr>
          <w:rFonts w:ascii="Times New Roman" w:eastAsia="宋体" w:hAnsi="Times New Roman" w:hint="eastAsia"/>
          <w:sz w:val="24"/>
          <w:szCs w:val="24"/>
        </w:rPr>
        <w:t>3</w:t>
      </w:r>
      <w:r w:rsidRPr="00F72B49">
        <w:rPr>
          <w:rFonts w:ascii="Times New Roman" w:eastAsia="宋体" w:hAnsi="Times New Roman" w:hint="eastAsia"/>
          <w:sz w:val="24"/>
          <w:szCs w:val="24"/>
        </w:rPr>
        <w:t>）客户服务邮箱</w:t>
      </w:r>
      <w:r w:rsidRPr="00F72B49">
        <w:rPr>
          <w:rFonts w:ascii="Times New Roman" w:eastAsia="宋体" w:hAnsi="Times New Roman" w:hint="eastAsia"/>
          <w:sz w:val="24"/>
          <w:szCs w:val="24"/>
        </w:rPr>
        <w:t>:</w:t>
      </w:r>
      <w:r w:rsidR="00F72B49">
        <w:rPr>
          <w:rFonts w:ascii="Times New Roman" w:eastAsia="宋体" w:hAnsi="Times New Roman"/>
          <w:sz w:val="24"/>
          <w:szCs w:val="24"/>
        </w:rPr>
        <w:t xml:space="preserve"> </w:t>
      </w:r>
      <w:r w:rsidRPr="00F72B49">
        <w:rPr>
          <w:rFonts w:ascii="Times New Roman" w:eastAsia="宋体" w:hAnsi="Times New Roman" w:hint="eastAsia"/>
          <w:sz w:val="24"/>
          <w:szCs w:val="24"/>
        </w:rPr>
        <w:t>services@msjyfund.com.cn</w:t>
      </w:r>
    </w:p>
    <w:p w:rsidR="00FB21B1" w:rsidRPr="00F72B49" w:rsidRDefault="00DE5FBD" w:rsidP="00F72B49">
      <w:pPr>
        <w:spacing w:line="360" w:lineRule="auto"/>
        <w:ind w:firstLine="504"/>
        <w:rPr>
          <w:rFonts w:ascii="Times New Roman" w:eastAsia="宋体" w:hAnsi="Times New Roman"/>
          <w:b/>
          <w:sz w:val="24"/>
          <w:szCs w:val="24"/>
        </w:rPr>
      </w:pPr>
      <w:r>
        <w:rPr>
          <w:rFonts w:ascii="Times New Roman" w:eastAsia="宋体" w:hAnsi="Times New Roman" w:hint="eastAsia"/>
          <w:b/>
          <w:sz w:val="24"/>
          <w:szCs w:val="24"/>
        </w:rPr>
        <w:t>5</w:t>
      </w:r>
      <w:r w:rsidR="00183654" w:rsidRPr="00F72B49">
        <w:rPr>
          <w:rFonts w:ascii="Times New Roman" w:eastAsia="宋体" w:hAnsi="Times New Roman"/>
          <w:b/>
          <w:sz w:val="24"/>
          <w:szCs w:val="24"/>
        </w:rPr>
        <w:t>、风险提示：</w:t>
      </w:r>
      <w:r w:rsidR="00FB21B1" w:rsidRPr="00F72B49">
        <w:rPr>
          <w:rFonts w:ascii="Times New Roman" w:eastAsia="宋体" w:hAnsi="Times New Roman" w:hint="eastAsia"/>
          <w:b/>
          <w:sz w:val="24"/>
          <w:szCs w:val="24"/>
        </w:rPr>
        <w:t>基金管理人承诺以诚实信用、勤勉尽责的原则管理和运用基金资产，但不保证基金一定盈利，也不保证最低收益。基金的过往业绩及其净值高低并不预示其未来业绩表现，基金管理人管理的其他基金的业绩也不构成对本基金业绩表现的保证。投资者投资于基金前应认真阅读基金的基金合同和招募说明书等资料，了解所投资基金的风险收益特征，并根据自身情况购买与本人风险承受能力相匹配的产品。敬请投资者注意投资风险。</w:t>
      </w:r>
    </w:p>
    <w:p w:rsidR="00183654" w:rsidRPr="00F72B49" w:rsidRDefault="00183654" w:rsidP="00F72B49">
      <w:pPr>
        <w:spacing w:line="360" w:lineRule="auto"/>
        <w:ind w:firstLine="490"/>
        <w:rPr>
          <w:rFonts w:ascii="Times New Roman" w:eastAsia="宋体" w:hAnsi="Times New Roman"/>
          <w:sz w:val="24"/>
          <w:szCs w:val="24"/>
        </w:rPr>
      </w:pPr>
      <w:r w:rsidRPr="00F72B49">
        <w:rPr>
          <w:rFonts w:ascii="Times New Roman" w:eastAsia="宋体" w:hAnsi="Times New Roman"/>
          <w:sz w:val="24"/>
          <w:szCs w:val="24"/>
        </w:rPr>
        <w:t>特此公告。</w:t>
      </w:r>
    </w:p>
    <w:p w:rsidR="00C03049" w:rsidRDefault="00C03049" w:rsidP="008C6A27">
      <w:pPr>
        <w:spacing w:line="360" w:lineRule="auto"/>
        <w:jc w:val="right"/>
        <w:rPr>
          <w:rFonts w:ascii="Times New Roman" w:eastAsia="宋体" w:hAnsi="Times New Roman"/>
          <w:sz w:val="24"/>
          <w:szCs w:val="24"/>
        </w:rPr>
      </w:pPr>
    </w:p>
    <w:p w:rsidR="00183654" w:rsidRPr="00F72B49" w:rsidRDefault="00F86787" w:rsidP="008C6A27">
      <w:pPr>
        <w:spacing w:line="360" w:lineRule="auto"/>
        <w:jc w:val="right"/>
        <w:rPr>
          <w:rFonts w:ascii="Times New Roman" w:eastAsia="宋体" w:hAnsi="Times New Roman"/>
          <w:sz w:val="24"/>
          <w:szCs w:val="24"/>
        </w:rPr>
      </w:pPr>
      <w:r w:rsidRPr="00F72B49">
        <w:rPr>
          <w:rFonts w:ascii="Times New Roman" w:eastAsia="宋体" w:hAnsi="Times New Roman" w:hint="eastAsia"/>
          <w:sz w:val="24"/>
          <w:szCs w:val="24"/>
        </w:rPr>
        <w:t>民生加银</w:t>
      </w:r>
      <w:r w:rsidR="00183654" w:rsidRPr="00F72B49">
        <w:rPr>
          <w:rFonts w:ascii="Times New Roman" w:eastAsia="宋体" w:hAnsi="Times New Roman"/>
          <w:sz w:val="24"/>
          <w:szCs w:val="24"/>
        </w:rPr>
        <w:t>基金管理有限公司</w:t>
      </w:r>
    </w:p>
    <w:p w:rsidR="00183654" w:rsidRPr="00F72B49" w:rsidRDefault="003D25DC" w:rsidP="00F72B49">
      <w:pPr>
        <w:spacing w:line="360" w:lineRule="auto"/>
        <w:jc w:val="right"/>
        <w:rPr>
          <w:rFonts w:ascii="Times New Roman" w:eastAsia="宋体" w:hAnsi="Times New Roman"/>
          <w:sz w:val="24"/>
          <w:szCs w:val="24"/>
        </w:rPr>
      </w:pPr>
      <w:r w:rsidRPr="00F72B49">
        <w:rPr>
          <w:rFonts w:ascii="Times New Roman" w:eastAsia="宋体" w:hAnsi="Times New Roman"/>
          <w:sz w:val="24"/>
          <w:szCs w:val="24"/>
        </w:rPr>
        <w:t>202</w:t>
      </w:r>
      <w:r w:rsidR="00C03049">
        <w:rPr>
          <w:rFonts w:ascii="Times New Roman" w:eastAsia="宋体" w:hAnsi="Times New Roman"/>
          <w:sz w:val="24"/>
          <w:szCs w:val="24"/>
        </w:rPr>
        <w:t>4</w:t>
      </w:r>
      <w:r w:rsidRPr="00F72B49">
        <w:rPr>
          <w:rFonts w:ascii="Times New Roman" w:eastAsia="宋体" w:hAnsi="Times New Roman"/>
          <w:sz w:val="24"/>
          <w:szCs w:val="24"/>
        </w:rPr>
        <w:t>年</w:t>
      </w:r>
      <w:r w:rsidR="00DE5FBD">
        <w:rPr>
          <w:rFonts w:ascii="Times New Roman" w:eastAsia="宋体" w:hAnsi="Times New Roman" w:hint="eastAsia"/>
          <w:sz w:val="24"/>
          <w:szCs w:val="24"/>
        </w:rPr>
        <w:t>7</w:t>
      </w:r>
      <w:r w:rsidRPr="00F72B49">
        <w:rPr>
          <w:rFonts w:ascii="Times New Roman" w:eastAsia="宋体" w:hAnsi="Times New Roman"/>
          <w:sz w:val="24"/>
          <w:szCs w:val="24"/>
        </w:rPr>
        <w:t>月</w:t>
      </w:r>
      <w:r w:rsidR="00DE5FBD">
        <w:rPr>
          <w:rFonts w:ascii="Times New Roman" w:eastAsia="宋体" w:hAnsi="Times New Roman" w:hint="eastAsia"/>
          <w:sz w:val="24"/>
          <w:szCs w:val="24"/>
        </w:rPr>
        <w:t>1</w:t>
      </w:r>
      <w:r w:rsidR="00183654" w:rsidRPr="00F72B49">
        <w:rPr>
          <w:rFonts w:ascii="Times New Roman" w:eastAsia="宋体" w:hAnsi="Times New Roman"/>
          <w:sz w:val="24"/>
          <w:szCs w:val="24"/>
        </w:rPr>
        <w:t>日</w:t>
      </w:r>
    </w:p>
    <w:sectPr w:rsidR="00183654" w:rsidRPr="00F72B49" w:rsidSect="00580E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C5E" w:rsidRDefault="009B7C5E" w:rsidP="00127EF1">
      <w:pPr>
        <w:ind w:firstLine="420"/>
      </w:pPr>
      <w:r>
        <w:separator/>
      </w:r>
    </w:p>
  </w:endnote>
  <w:endnote w:type="continuationSeparator" w:id="0">
    <w:p w:rsidR="009B7C5E" w:rsidRDefault="009B7C5E" w:rsidP="00127EF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C5E" w:rsidRDefault="009B7C5E" w:rsidP="00127EF1">
      <w:pPr>
        <w:ind w:firstLine="420"/>
      </w:pPr>
      <w:r>
        <w:separator/>
      </w:r>
    </w:p>
  </w:footnote>
  <w:footnote w:type="continuationSeparator" w:id="0">
    <w:p w:rsidR="009B7C5E" w:rsidRDefault="009B7C5E" w:rsidP="00127EF1">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7175"/>
    <w:multiLevelType w:val="hybridMultilevel"/>
    <w:tmpl w:val="34FAB3CA"/>
    <w:lvl w:ilvl="0" w:tplc="419A02E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214"/>
    <w:rsid w:val="00003359"/>
    <w:rsid w:val="0001196A"/>
    <w:rsid w:val="0002512F"/>
    <w:rsid w:val="00050BCE"/>
    <w:rsid w:val="00053F1A"/>
    <w:rsid w:val="00055726"/>
    <w:rsid w:val="0008303B"/>
    <w:rsid w:val="00095C6E"/>
    <w:rsid w:val="000A2855"/>
    <w:rsid w:val="000A6249"/>
    <w:rsid w:val="000D70DB"/>
    <w:rsid w:val="000D7594"/>
    <w:rsid w:val="000E2063"/>
    <w:rsid w:val="000E7085"/>
    <w:rsid w:val="000E7AAF"/>
    <w:rsid w:val="000F31EB"/>
    <w:rsid w:val="001130C5"/>
    <w:rsid w:val="00127EF1"/>
    <w:rsid w:val="00135867"/>
    <w:rsid w:val="00144107"/>
    <w:rsid w:val="001579DC"/>
    <w:rsid w:val="00165D44"/>
    <w:rsid w:val="00173453"/>
    <w:rsid w:val="00183654"/>
    <w:rsid w:val="001A7824"/>
    <w:rsid w:val="001C243B"/>
    <w:rsid w:val="001C34DD"/>
    <w:rsid w:val="001C6D54"/>
    <w:rsid w:val="001E243A"/>
    <w:rsid w:val="001E4992"/>
    <w:rsid w:val="001E50D7"/>
    <w:rsid w:val="001E6B1A"/>
    <w:rsid w:val="001F4A1F"/>
    <w:rsid w:val="00204D0E"/>
    <w:rsid w:val="00207B3A"/>
    <w:rsid w:val="00232A87"/>
    <w:rsid w:val="002366A1"/>
    <w:rsid w:val="00237FEC"/>
    <w:rsid w:val="00240E8E"/>
    <w:rsid w:val="002615E2"/>
    <w:rsid w:val="00261F3D"/>
    <w:rsid w:val="002649FA"/>
    <w:rsid w:val="00291171"/>
    <w:rsid w:val="002B030F"/>
    <w:rsid w:val="002D4EDA"/>
    <w:rsid w:val="00300FBF"/>
    <w:rsid w:val="00317355"/>
    <w:rsid w:val="00324CFA"/>
    <w:rsid w:val="003330ED"/>
    <w:rsid w:val="00337E27"/>
    <w:rsid w:val="00340E09"/>
    <w:rsid w:val="0036415B"/>
    <w:rsid w:val="00370AB2"/>
    <w:rsid w:val="00370D9F"/>
    <w:rsid w:val="00390629"/>
    <w:rsid w:val="003952F8"/>
    <w:rsid w:val="003A6A02"/>
    <w:rsid w:val="003D25DC"/>
    <w:rsid w:val="003D3D69"/>
    <w:rsid w:val="003E495E"/>
    <w:rsid w:val="003E6465"/>
    <w:rsid w:val="00422B44"/>
    <w:rsid w:val="00424459"/>
    <w:rsid w:val="00440B7B"/>
    <w:rsid w:val="00452E37"/>
    <w:rsid w:val="004669C4"/>
    <w:rsid w:val="00481082"/>
    <w:rsid w:val="004976B0"/>
    <w:rsid w:val="004A16BA"/>
    <w:rsid w:val="004C473E"/>
    <w:rsid w:val="004D0220"/>
    <w:rsid w:val="004E220B"/>
    <w:rsid w:val="00507FFB"/>
    <w:rsid w:val="00513A84"/>
    <w:rsid w:val="005143C0"/>
    <w:rsid w:val="00526BBB"/>
    <w:rsid w:val="005407D2"/>
    <w:rsid w:val="00541260"/>
    <w:rsid w:val="005653A8"/>
    <w:rsid w:val="005701DA"/>
    <w:rsid w:val="00580EC7"/>
    <w:rsid w:val="00595439"/>
    <w:rsid w:val="00595827"/>
    <w:rsid w:val="005964BC"/>
    <w:rsid w:val="005E69C9"/>
    <w:rsid w:val="005F7B77"/>
    <w:rsid w:val="00606214"/>
    <w:rsid w:val="00616716"/>
    <w:rsid w:val="00640864"/>
    <w:rsid w:val="006720C9"/>
    <w:rsid w:val="00695192"/>
    <w:rsid w:val="006A034A"/>
    <w:rsid w:val="006A2220"/>
    <w:rsid w:val="006B2D22"/>
    <w:rsid w:val="006C125F"/>
    <w:rsid w:val="006C4E02"/>
    <w:rsid w:val="006C51F8"/>
    <w:rsid w:val="006D7DF9"/>
    <w:rsid w:val="006E21E2"/>
    <w:rsid w:val="00715192"/>
    <w:rsid w:val="00717455"/>
    <w:rsid w:val="007251EA"/>
    <w:rsid w:val="0073039F"/>
    <w:rsid w:val="00734B1A"/>
    <w:rsid w:val="00746F00"/>
    <w:rsid w:val="00762932"/>
    <w:rsid w:val="00777892"/>
    <w:rsid w:val="00777EB1"/>
    <w:rsid w:val="0078767A"/>
    <w:rsid w:val="00790A66"/>
    <w:rsid w:val="00794268"/>
    <w:rsid w:val="00794AFA"/>
    <w:rsid w:val="007B6957"/>
    <w:rsid w:val="008068C4"/>
    <w:rsid w:val="00810EAA"/>
    <w:rsid w:val="00812129"/>
    <w:rsid w:val="008148E2"/>
    <w:rsid w:val="00835FCC"/>
    <w:rsid w:val="008378BD"/>
    <w:rsid w:val="00855196"/>
    <w:rsid w:val="00865C55"/>
    <w:rsid w:val="00875C07"/>
    <w:rsid w:val="008819F5"/>
    <w:rsid w:val="00883352"/>
    <w:rsid w:val="008978B4"/>
    <w:rsid w:val="008B1E63"/>
    <w:rsid w:val="008B441D"/>
    <w:rsid w:val="008C6A27"/>
    <w:rsid w:val="008C6F11"/>
    <w:rsid w:val="008D21BD"/>
    <w:rsid w:val="008D7C67"/>
    <w:rsid w:val="00901404"/>
    <w:rsid w:val="00905C36"/>
    <w:rsid w:val="00906CC2"/>
    <w:rsid w:val="00924949"/>
    <w:rsid w:val="00951CE2"/>
    <w:rsid w:val="00985B32"/>
    <w:rsid w:val="009975B6"/>
    <w:rsid w:val="009A110A"/>
    <w:rsid w:val="009B7C5E"/>
    <w:rsid w:val="00A004C2"/>
    <w:rsid w:val="00A10B4E"/>
    <w:rsid w:val="00A21587"/>
    <w:rsid w:val="00A22B96"/>
    <w:rsid w:val="00A24295"/>
    <w:rsid w:val="00A4436F"/>
    <w:rsid w:val="00A51B05"/>
    <w:rsid w:val="00A54DDE"/>
    <w:rsid w:val="00A56DA8"/>
    <w:rsid w:val="00AA7D9C"/>
    <w:rsid w:val="00AC54CD"/>
    <w:rsid w:val="00AE0E49"/>
    <w:rsid w:val="00AF37B4"/>
    <w:rsid w:val="00AF45D2"/>
    <w:rsid w:val="00AF6D5C"/>
    <w:rsid w:val="00B06DD9"/>
    <w:rsid w:val="00B15281"/>
    <w:rsid w:val="00B333D0"/>
    <w:rsid w:val="00B5456F"/>
    <w:rsid w:val="00B5561E"/>
    <w:rsid w:val="00B705EB"/>
    <w:rsid w:val="00BB279C"/>
    <w:rsid w:val="00BC6CEB"/>
    <w:rsid w:val="00BE26C1"/>
    <w:rsid w:val="00BE7E10"/>
    <w:rsid w:val="00BF3475"/>
    <w:rsid w:val="00BF626C"/>
    <w:rsid w:val="00C03049"/>
    <w:rsid w:val="00C26008"/>
    <w:rsid w:val="00C2651E"/>
    <w:rsid w:val="00C64F9E"/>
    <w:rsid w:val="00C727E5"/>
    <w:rsid w:val="00C8140D"/>
    <w:rsid w:val="00CA0364"/>
    <w:rsid w:val="00CA7E54"/>
    <w:rsid w:val="00CB4E4F"/>
    <w:rsid w:val="00CD5AE2"/>
    <w:rsid w:val="00CE5B6D"/>
    <w:rsid w:val="00CF1913"/>
    <w:rsid w:val="00D153A6"/>
    <w:rsid w:val="00D27978"/>
    <w:rsid w:val="00D3693F"/>
    <w:rsid w:val="00D5055B"/>
    <w:rsid w:val="00D60A16"/>
    <w:rsid w:val="00D74161"/>
    <w:rsid w:val="00D87311"/>
    <w:rsid w:val="00DA4E42"/>
    <w:rsid w:val="00DB3653"/>
    <w:rsid w:val="00DB74B3"/>
    <w:rsid w:val="00DC0333"/>
    <w:rsid w:val="00DD2755"/>
    <w:rsid w:val="00DD7279"/>
    <w:rsid w:val="00DD7549"/>
    <w:rsid w:val="00DE5FBD"/>
    <w:rsid w:val="00DF2F14"/>
    <w:rsid w:val="00E0426F"/>
    <w:rsid w:val="00E05F70"/>
    <w:rsid w:val="00E140C4"/>
    <w:rsid w:val="00E454F6"/>
    <w:rsid w:val="00E71A69"/>
    <w:rsid w:val="00E7642D"/>
    <w:rsid w:val="00E77B4A"/>
    <w:rsid w:val="00E863B5"/>
    <w:rsid w:val="00E911D8"/>
    <w:rsid w:val="00EC74BD"/>
    <w:rsid w:val="00ED3C94"/>
    <w:rsid w:val="00ED4E87"/>
    <w:rsid w:val="00ED59E5"/>
    <w:rsid w:val="00EF0F0B"/>
    <w:rsid w:val="00F150AB"/>
    <w:rsid w:val="00F15F8F"/>
    <w:rsid w:val="00F21DD1"/>
    <w:rsid w:val="00F24BF1"/>
    <w:rsid w:val="00F573BB"/>
    <w:rsid w:val="00F65F74"/>
    <w:rsid w:val="00F70422"/>
    <w:rsid w:val="00F72B49"/>
    <w:rsid w:val="00F82F86"/>
    <w:rsid w:val="00F86787"/>
    <w:rsid w:val="00FB21B1"/>
    <w:rsid w:val="00FB3FBA"/>
    <w:rsid w:val="00FD11A9"/>
    <w:rsid w:val="00FE234A"/>
    <w:rsid w:val="00FE7226"/>
    <w:rsid w:val="00FF4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365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86787"/>
    <w:pPr>
      <w:ind w:firstLineChars="200" w:firstLine="420"/>
    </w:pPr>
  </w:style>
  <w:style w:type="table" w:styleId="a5">
    <w:name w:val="Table Grid"/>
    <w:basedOn w:val="a1"/>
    <w:uiPriority w:val="59"/>
    <w:rsid w:val="00F867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F86787"/>
    <w:rPr>
      <w:strike w:val="0"/>
      <w:dstrike w:val="0"/>
      <w:color w:val="000000"/>
      <w:u w:val="none"/>
      <w:effect w:val="none"/>
    </w:rPr>
  </w:style>
  <w:style w:type="paragraph" w:styleId="a7">
    <w:name w:val="header"/>
    <w:basedOn w:val="a"/>
    <w:link w:val="Char"/>
    <w:uiPriority w:val="99"/>
    <w:unhideWhenUsed/>
    <w:rsid w:val="00127E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27EF1"/>
    <w:rPr>
      <w:sz w:val="18"/>
      <w:szCs w:val="18"/>
    </w:rPr>
  </w:style>
  <w:style w:type="paragraph" w:styleId="a8">
    <w:name w:val="footer"/>
    <w:basedOn w:val="a"/>
    <w:link w:val="Char0"/>
    <w:uiPriority w:val="99"/>
    <w:unhideWhenUsed/>
    <w:rsid w:val="00127EF1"/>
    <w:pPr>
      <w:tabs>
        <w:tab w:val="center" w:pos="4153"/>
        <w:tab w:val="right" w:pos="8306"/>
      </w:tabs>
      <w:snapToGrid w:val="0"/>
      <w:jc w:val="left"/>
    </w:pPr>
    <w:rPr>
      <w:sz w:val="18"/>
      <w:szCs w:val="18"/>
    </w:rPr>
  </w:style>
  <w:style w:type="character" w:customStyle="1" w:styleId="Char0">
    <w:name w:val="页脚 Char"/>
    <w:basedOn w:val="a0"/>
    <w:link w:val="a8"/>
    <w:uiPriority w:val="99"/>
    <w:rsid w:val="00127EF1"/>
    <w:rPr>
      <w:sz w:val="18"/>
      <w:szCs w:val="18"/>
    </w:rPr>
  </w:style>
  <w:style w:type="paragraph" w:styleId="a9">
    <w:name w:val="Balloon Text"/>
    <w:basedOn w:val="a"/>
    <w:link w:val="Char1"/>
    <w:uiPriority w:val="99"/>
    <w:semiHidden/>
    <w:unhideWhenUsed/>
    <w:rsid w:val="00127EF1"/>
    <w:rPr>
      <w:sz w:val="18"/>
      <w:szCs w:val="18"/>
    </w:rPr>
  </w:style>
  <w:style w:type="character" w:customStyle="1" w:styleId="Char1">
    <w:name w:val="批注框文本 Char"/>
    <w:basedOn w:val="a0"/>
    <w:link w:val="a9"/>
    <w:uiPriority w:val="99"/>
    <w:semiHidden/>
    <w:rsid w:val="00127EF1"/>
    <w:rPr>
      <w:sz w:val="18"/>
      <w:szCs w:val="18"/>
    </w:rPr>
  </w:style>
  <w:style w:type="character" w:styleId="aa">
    <w:name w:val="annotation reference"/>
    <w:basedOn w:val="a0"/>
    <w:uiPriority w:val="99"/>
    <w:semiHidden/>
    <w:unhideWhenUsed/>
    <w:rsid w:val="004976B0"/>
    <w:rPr>
      <w:sz w:val="21"/>
      <w:szCs w:val="21"/>
    </w:rPr>
  </w:style>
  <w:style w:type="paragraph" w:styleId="ab">
    <w:name w:val="annotation text"/>
    <w:basedOn w:val="a"/>
    <w:link w:val="Char2"/>
    <w:uiPriority w:val="99"/>
    <w:semiHidden/>
    <w:unhideWhenUsed/>
    <w:rsid w:val="004976B0"/>
    <w:pPr>
      <w:jc w:val="left"/>
    </w:pPr>
  </w:style>
  <w:style w:type="character" w:customStyle="1" w:styleId="Char2">
    <w:name w:val="批注文字 Char"/>
    <w:basedOn w:val="a0"/>
    <w:link w:val="ab"/>
    <w:uiPriority w:val="99"/>
    <w:semiHidden/>
    <w:rsid w:val="004976B0"/>
  </w:style>
  <w:style w:type="paragraph" w:styleId="ac">
    <w:name w:val="annotation subject"/>
    <w:basedOn w:val="ab"/>
    <w:next w:val="ab"/>
    <w:link w:val="Char3"/>
    <w:uiPriority w:val="99"/>
    <w:semiHidden/>
    <w:unhideWhenUsed/>
    <w:rsid w:val="004976B0"/>
    <w:rPr>
      <w:b/>
      <w:bCs/>
    </w:rPr>
  </w:style>
  <w:style w:type="character" w:customStyle="1" w:styleId="Char3">
    <w:name w:val="批注主题 Char"/>
    <w:basedOn w:val="Char2"/>
    <w:link w:val="ac"/>
    <w:uiPriority w:val="99"/>
    <w:semiHidden/>
    <w:rsid w:val="004976B0"/>
    <w:rPr>
      <w:b/>
      <w:bCs/>
    </w:rPr>
  </w:style>
</w:styles>
</file>

<file path=word/webSettings.xml><?xml version="1.0" encoding="utf-8"?>
<w:webSettings xmlns:r="http://schemas.openxmlformats.org/officeDocument/2006/relationships" xmlns:w="http://schemas.openxmlformats.org/wordprocessingml/2006/main">
  <w:divs>
    <w:div w:id="5134726">
      <w:bodyDiv w:val="1"/>
      <w:marLeft w:val="0"/>
      <w:marRight w:val="0"/>
      <w:marTop w:val="0"/>
      <w:marBottom w:val="0"/>
      <w:divBdr>
        <w:top w:val="none" w:sz="0" w:space="0" w:color="auto"/>
        <w:left w:val="none" w:sz="0" w:space="0" w:color="auto"/>
        <w:bottom w:val="none" w:sz="0" w:space="0" w:color="auto"/>
        <w:right w:val="none" w:sz="0" w:space="0" w:color="auto"/>
      </w:divBdr>
    </w:div>
    <w:div w:id="24016296">
      <w:bodyDiv w:val="1"/>
      <w:marLeft w:val="0"/>
      <w:marRight w:val="0"/>
      <w:marTop w:val="0"/>
      <w:marBottom w:val="0"/>
      <w:divBdr>
        <w:top w:val="none" w:sz="0" w:space="0" w:color="auto"/>
        <w:left w:val="none" w:sz="0" w:space="0" w:color="auto"/>
        <w:bottom w:val="none" w:sz="0" w:space="0" w:color="auto"/>
        <w:right w:val="none" w:sz="0" w:space="0" w:color="auto"/>
      </w:divBdr>
    </w:div>
    <w:div w:id="90900948">
      <w:bodyDiv w:val="1"/>
      <w:marLeft w:val="0"/>
      <w:marRight w:val="0"/>
      <w:marTop w:val="0"/>
      <w:marBottom w:val="0"/>
      <w:divBdr>
        <w:top w:val="none" w:sz="0" w:space="0" w:color="auto"/>
        <w:left w:val="none" w:sz="0" w:space="0" w:color="auto"/>
        <w:bottom w:val="none" w:sz="0" w:space="0" w:color="auto"/>
        <w:right w:val="none" w:sz="0" w:space="0" w:color="auto"/>
      </w:divBdr>
    </w:div>
    <w:div w:id="348680535">
      <w:bodyDiv w:val="1"/>
      <w:marLeft w:val="0"/>
      <w:marRight w:val="0"/>
      <w:marTop w:val="0"/>
      <w:marBottom w:val="0"/>
      <w:divBdr>
        <w:top w:val="none" w:sz="0" w:space="0" w:color="auto"/>
        <w:left w:val="none" w:sz="0" w:space="0" w:color="auto"/>
        <w:bottom w:val="none" w:sz="0" w:space="0" w:color="auto"/>
        <w:right w:val="none" w:sz="0" w:space="0" w:color="auto"/>
      </w:divBdr>
    </w:div>
    <w:div w:id="517307729">
      <w:bodyDiv w:val="1"/>
      <w:marLeft w:val="0"/>
      <w:marRight w:val="0"/>
      <w:marTop w:val="0"/>
      <w:marBottom w:val="0"/>
      <w:divBdr>
        <w:top w:val="none" w:sz="0" w:space="0" w:color="auto"/>
        <w:left w:val="none" w:sz="0" w:space="0" w:color="auto"/>
        <w:bottom w:val="none" w:sz="0" w:space="0" w:color="auto"/>
        <w:right w:val="none" w:sz="0" w:space="0" w:color="auto"/>
      </w:divBdr>
    </w:div>
    <w:div w:id="535895067">
      <w:bodyDiv w:val="1"/>
      <w:marLeft w:val="0"/>
      <w:marRight w:val="0"/>
      <w:marTop w:val="0"/>
      <w:marBottom w:val="0"/>
      <w:divBdr>
        <w:top w:val="none" w:sz="0" w:space="0" w:color="auto"/>
        <w:left w:val="none" w:sz="0" w:space="0" w:color="auto"/>
        <w:bottom w:val="none" w:sz="0" w:space="0" w:color="auto"/>
        <w:right w:val="none" w:sz="0" w:space="0" w:color="auto"/>
      </w:divBdr>
    </w:div>
    <w:div w:id="564297356">
      <w:bodyDiv w:val="1"/>
      <w:marLeft w:val="0"/>
      <w:marRight w:val="0"/>
      <w:marTop w:val="0"/>
      <w:marBottom w:val="0"/>
      <w:divBdr>
        <w:top w:val="none" w:sz="0" w:space="0" w:color="auto"/>
        <w:left w:val="none" w:sz="0" w:space="0" w:color="auto"/>
        <w:bottom w:val="none" w:sz="0" w:space="0" w:color="auto"/>
        <w:right w:val="none" w:sz="0" w:space="0" w:color="auto"/>
      </w:divBdr>
    </w:div>
    <w:div w:id="634027724">
      <w:bodyDiv w:val="1"/>
      <w:marLeft w:val="0"/>
      <w:marRight w:val="0"/>
      <w:marTop w:val="0"/>
      <w:marBottom w:val="0"/>
      <w:divBdr>
        <w:top w:val="none" w:sz="0" w:space="0" w:color="auto"/>
        <w:left w:val="none" w:sz="0" w:space="0" w:color="auto"/>
        <w:bottom w:val="none" w:sz="0" w:space="0" w:color="auto"/>
        <w:right w:val="none" w:sz="0" w:space="0" w:color="auto"/>
      </w:divBdr>
    </w:div>
    <w:div w:id="1098015202">
      <w:bodyDiv w:val="1"/>
      <w:marLeft w:val="0"/>
      <w:marRight w:val="0"/>
      <w:marTop w:val="0"/>
      <w:marBottom w:val="0"/>
      <w:divBdr>
        <w:top w:val="none" w:sz="0" w:space="0" w:color="auto"/>
        <w:left w:val="none" w:sz="0" w:space="0" w:color="auto"/>
        <w:bottom w:val="none" w:sz="0" w:space="0" w:color="auto"/>
        <w:right w:val="none" w:sz="0" w:space="0" w:color="auto"/>
      </w:divBdr>
    </w:div>
    <w:div w:id="1397163070">
      <w:bodyDiv w:val="1"/>
      <w:marLeft w:val="0"/>
      <w:marRight w:val="0"/>
      <w:marTop w:val="0"/>
      <w:marBottom w:val="0"/>
      <w:divBdr>
        <w:top w:val="none" w:sz="0" w:space="0" w:color="auto"/>
        <w:left w:val="none" w:sz="0" w:space="0" w:color="auto"/>
        <w:bottom w:val="none" w:sz="0" w:space="0" w:color="auto"/>
        <w:right w:val="none" w:sz="0" w:space="0" w:color="auto"/>
      </w:divBdr>
    </w:div>
    <w:div w:id="1497112706">
      <w:bodyDiv w:val="1"/>
      <w:marLeft w:val="0"/>
      <w:marRight w:val="0"/>
      <w:marTop w:val="0"/>
      <w:marBottom w:val="0"/>
      <w:divBdr>
        <w:top w:val="none" w:sz="0" w:space="0" w:color="auto"/>
        <w:left w:val="none" w:sz="0" w:space="0" w:color="auto"/>
        <w:bottom w:val="none" w:sz="0" w:space="0" w:color="auto"/>
        <w:right w:val="none" w:sz="0" w:space="0" w:color="auto"/>
      </w:divBdr>
    </w:div>
    <w:div w:id="16971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4</DocSecurity>
  <Lines>7</Lines>
  <Paragraphs>2</Paragraphs>
  <ScaleCrop>false</ScaleCrop>
  <Company>Lenovo</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黄健</dc:creator>
  <cp:lastModifiedBy>ZHONGM</cp:lastModifiedBy>
  <cp:revision>2</cp:revision>
  <dcterms:created xsi:type="dcterms:W3CDTF">2024-06-30T16:00:00Z</dcterms:created>
  <dcterms:modified xsi:type="dcterms:W3CDTF">2024-06-30T16:00:00Z</dcterms:modified>
</cp:coreProperties>
</file>