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B9" w:rsidRDefault="009A442E">
      <w:pPr>
        <w:spacing w:after="240"/>
        <w:rPr>
          <w:lang w:eastAsia="zh-CN"/>
        </w:rPr>
      </w:pPr>
      <w:bookmarkStart w:id="0" w:name="_GoBack"/>
      <w:bookmarkEnd w:id="0"/>
      <w:r>
        <w:rPr>
          <w:lang w:eastAsia="zh-CN"/>
        </w:rPr>
        <w:t> </w:t>
      </w:r>
    </w:p>
    <w:p w:rsidR="004D1AB9" w:rsidRDefault="009A442E">
      <w:pPr>
        <w:spacing w:before="240" w:after="240"/>
        <w:rPr>
          <w:lang w:eastAsia="zh-CN"/>
        </w:rPr>
      </w:pPr>
      <w:r>
        <w:rPr>
          <w:lang w:eastAsia="zh-CN"/>
        </w:rPr>
        <w:t> </w:t>
      </w:r>
    </w:p>
    <w:p w:rsidR="004D1AB9" w:rsidRDefault="009A442E">
      <w:pPr>
        <w:spacing w:before="240" w:after="240" w:line="360" w:lineRule="auto"/>
        <w:jc w:val="center"/>
        <w:rPr>
          <w:lang w:eastAsia="zh-CN"/>
        </w:rPr>
      </w:pPr>
      <w:r>
        <w:rPr>
          <w:rFonts w:ascii="宋体" w:eastAsia="宋体" w:hAnsi="宋体" w:cs="宋体"/>
          <w:sz w:val="30"/>
          <w:szCs w:val="30"/>
          <w:lang w:eastAsia="zh-CN"/>
        </w:rPr>
        <w:t>关于鹏华基金</w:t>
      </w:r>
      <w:r w:rsidR="00746961">
        <w:rPr>
          <w:rFonts w:ascii="宋体" w:eastAsia="宋体" w:hAnsi="宋体" w:cs="宋体" w:hint="eastAsia"/>
          <w:sz w:val="30"/>
          <w:szCs w:val="30"/>
          <w:lang w:eastAsia="zh-CN"/>
        </w:rPr>
        <w:t>管理</w:t>
      </w:r>
      <w:r w:rsidR="00746961">
        <w:rPr>
          <w:rFonts w:ascii="宋体" w:eastAsia="宋体" w:hAnsi="宋体" w:cs="宋体"/>
          <w:sz w:val="30"/>
          <w:szCs w:val="30"/>
          <w:lang w:eastAsia="zh-CN"/>
        </w:rPr>
        <w:t>有限公司旗下部分基金新增</w:t>
      </w:r>
      <w:r>
        <w:rPr>
          <w:rFonts w:ascii="宋体" w:eastAsia="宋体" w:hAnsi="宋体" w:cs="宋体"/>
          <w:sz w:val="30"/>
          <w:szCs w:val="30"/>
          <w:lang w:eastAsia="zh-CN"/>
        </w:rPr>
        <w:t>流动性服务商的公告</w:t>
      </w:r>
    </w:p>
    <w:p w:rsidR="004D1AB9" w:rsidRDefault="009A442E">
      <w:pPr>
        <w:spacing w:before="240" w:after="240" w:line="440" w:lineRule="atLeast"/>
        <w:ind w:firstLine="600"/>
        <w:jc w:val="center"/>
        <w:rPr>
          <w:lang w:eastAsia="zh-CN"/>
        </w:rPr>
      </w:pPr>
      <w:r>
        <w:rPr>
          <w:rFonts w:eastAsia="Times New Roman"/>
          <w:lang w:eastAsia="zh-CN"/>
        </w:rPr>
        <w:t> </w:t>
      </w:r>
    </w:p>
    <w:p w:rsidR="004D1AB9" w:rsidRDefault="009A442E">
      <w:pPr>
        <w:spacing w:line="360" w:lineRule="auto"/>
        <w:ind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为促进鹏华沪深300交易型开放式指数证券投资基金（以下简称“沪深300ETF鹏华”）</w:t>
      </w:r>
      <w:r w:rsidR="00746961">
        <w:rPr>
          <w:rFonts w:ascii="宋体" w:eastAsia="宋体" w:hAnsi="宋体" w:cs="宋体" w:hint="eastAsia"/>
          <w:sz w:val="21"/>
          <w:szCs w:val="21"/>
          <w:lang w:eastAsia="zh-CN"/>
        </w:rPr>
        <w:t>、</w:t>
      </w:r>
      <w:r w:rsidR="00746961" w:rsidRPr="008D0FEF">
        <w:rPr>
          <w:rFonts w:ascii="宋体" w:eastAsia="宋体" w:hAnsi="宋体" w:cs="宋体" w:hint="eastAsia"/>
          <w:sz w:val="21"/>
          <w:szCs w:val="21"/>
          <w:lang w:eastAsia="zh-CN"/>
        </w:rPr>
        <w:t>鹏华中证500交易型开放式指数证券投资基金</w:t>
      </w:r>
      <w:r w:rsidR="00746961">
        <w:rPr>
          <w:rFonts w:ascii="宋体" w:eastAsia="宋体" w:hAnsi="宋体" w:cs="宋体" w:hint="eastAsia"/>
          <w:sz w:val="21"/>
          <w:szCs w:val="21"/>
          <w:lang w:eastAsia="zh-CN"/>
        </w:rPr>
        <w:t>（以下</w:t>
      </w:r>
      <w:r w:rsidR="00746961">
        <w:rPr>
          <w:rFonts w:ascii="宋体" w:eastAsia="宋体" w:hAnsi="宋体" w:cs="宋体"/>
          <w:sz w:val="21"/>
          <w:szCs w:val="21"/>
          <w:lang w:eastAsia="zh-CN"/>
        </w:rPr>
        <w:t>简称</w:t>
      </w:r>
      <w:r w:rsidR="00746961">
        <w:rPr>
          <w:rFonts w:ascii="宋体" w:eastAsia="宋体" w:hAnsi="宋体" w:cs="宋体" w:hint="eastAsia"/>
          <w:sz w:val="21"/>
          <w:szCs w:val="21"/>
          <w:lang w:eastAsia="zh-CN"/>
        </w:rPr>
        <w:t>“中证500ETF鹏华”）、</w:t>
      </w:r>
      <w:r w:rsidR="00746961" w:rsidRPr="008D0FEF">
        <w:rPr>
          <w:rFonts w:ascii="宋体" w:eastAsia="宋体" w:hAnsi="宋体" w:cs="宋体" w:hint="eastAsia"/>
          <w:sz w:val="21"/>
          <w:szCs w:val="21"/>
          <w:lang w:eastAsia="zh-CN"/>
        </w:rPr>
        <w:t>鹏华创业板50交易型开放式指数证券投资基金</w:t>
      </w:r>
      <w:r w:rsidR="00746961">
        <w:rPr>
          <w:rFonts w:ascii="宋体" w:eastAsia="宋体" w:hAnsi="宋体" w:cs="宋体" w:hint="eastAsia"/>
          <w:sz w:val="21"/>
          <w:szCs w:val="21"/>
          <w:lang w:eastAsia="zh-CN"/>
        </w:rPr>
        <w:t>（以下</w:t>
      </w:r>
      <w:r w:rsidR="00746961">
        <w:rPr>
          <w:rFonts w:ascii="宋体" w:eastAsia="宋体" w:hAnsi="宋体" w:cs="宋体"/>
          <w:sz w:val="21"/>
          <w:szCs w:val="21"/>
          <w:lang w:eastAsia="zh-CN"/>
        </w:rPr>
        <w:t>简称“</w:t>
      </w:r>
      <w:r w:rsidR="00746961">
        <w:rPr>
          <w:rFonts w:ascii="宋体" w:eastAsia="宋体" w:hAnsi="宋体" w:cs="宋体" w:hint="eastAsia"/>
          <w:sz w:val="21"/>
          <w:szCs w:val="21"/>
          <w:lang w:eastAsia="zh-CN"/>
        </w:rPr>
        <w:t>创50ETF</w:t>
      </w:r>
      <w:r w:rsidR="00746961">
        <w:rPr>
          <w:rFonts w:ascii="宋体" w:eastAsia="宋体" w:hAnsi="宋体" w:cs="宋体"/>
          <w:sz w:val="21"/>
          <w:szCs w:val="21"/>
          <w:lang w:eastAsia="zh-CN"/>
        </w:rPr>
        <w:t>”</w:t>
      </w:r>
      <w:r w:rsidR="00746961">
        <w:rPr>
          <w:rFonts w:ascii="宋体" w:eastAsia="宋体" w:hAnsi="宋体" w:cs="宋体" w:hint="eastAsia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的市场流动性和平稳运行，根据《深圳证券交易所证券投资基金业务指引第2号——流动性服务》等有关规定，自2024年06月28</w:t>
      </w:r>
      <w:r w:rsidR="00267FA1">
        <w:rPr>
          <w:rFonts w:ascii="宋体" w:eastAsia="宋体" w:hAnsi="宋体" w:cs="宋体"/>
          <w:sz w:val="21"/>
          <w:szCs w:val="21"/>
          <w:lang w:eastAsia="zh-CN"/>
        </w:rPr>
        <w:t>日起，本公司</w:t>
      </w:r>
      <w:r w:rsidR="00267FA1">
        <w:rPr>
          <w:rFonts w:ascii="宋体" w:eastAsia="宋体" w:hAnsi="宋体" w:cs="宋体" w:hint="eastAsia"/>
          <w:sz w:val="21"/>
          <w:szCs w:val="21"/>
          <w:lang w:eastAsia="zh-CN"/>
        </w:rPr>
        <w:t>新增</w:t>
      </w:r>
      <w:r>
        <w:rPr>
          <w:rFonts w:ascii="宋体" w:eastAsia="宋体" w:hAnsi="宋体" w:cs="宋体"/>
          <w:sz w:val="21"/>
          <w:szCs w:val="21"/>
          <w:lang w:eastAsia="zh-CN"/>
        </w:rPr>
        <w:t>东方证券股份有限公司为</w:t>
      </w:r>
      <w:r w:rsidR="00746961">
        <w:rPr>
          <w:rFonts w:ascii="宋体" w:eastAsia="宋体" w:hAnsi="宋体" w:cs="宋体"/>
          <w:sz w:val="21"/>
          <w:szCs w:val="21"/>
          <w:lang w:eastAsia="zh-CN"/>
        </w:rPr>
        <w:t>沪深</w:t>
      </w:r>
      <w:r w:rsidR="00746961">
        <w:rPr>
          <w:rFonts w:ascii="宋体" w:eastAsia="宋体" w:hAnsi="宋体" w:cs="宋体" w:hint="eastAsia"/>
          <w:sz w:val="21"/>
          <w:szCs w:val="21"/>
          <w:lang w:eastAsia="zh-CN"/>
        </w:rPr>
        <w:t>300ETF鹏华</w:t>
      </w:r>
      <w:r w:rsidR="00746961">
        <w:rPr>
          <w:rFonts w:ascii="宋体" w:eastAsia="宋体" w:hAnsi="宋体" w:cs="宋体"/>
          <w:sz w:val="21"/>
          <w:szCs w:val="21"/>
          <w:lang w:eastAsia="zh-CN"/>
        </w:rPr>
        <w:t>（代码：159673）</w:t>
      </w:r>
      <w:r w:rsidR="00746961">
        <w:rPr>
          <w:rFonts w:ascii="宋体" w:eastAsia="宋体" w:hAnsi="宋体" w:cs="宋体" w:hint="eastAsia"/>
          <w:sz w:val="21"/>
          <w:szCs w:val="21"/>
          <w:lang w:eastAsia="zh-CN"/>
        </w:rPr>
        <w:t>、中证500ETF鹏华（代码：159982）、创50ETF（代码</w:t>
      </w:r>
      <w:r w:rsidR="00746961">
        <w:rPr>
          <w:rFonts w:ascii="宋体" w:eastAsia="宋体" w:hAnsi="宋体" w:cs="宋体"/>
          <w:sz w:val="21"/>
          <w:szCs w:val="21"/>
          <w:lang w:eastAsia="zh-CN"/>
        </w:rPr>
        <w:t>：</w:t>
      </w:r>
      <w:r w:rsidR="00746961">
        <w:rPr>
          <w:rFonts w:ascii="宋体" w:eastAsia="宋体" w:hAnsi="宋体" w:cs="宋体" w:hint="eastAsia"/>
          <w:sz w:val="21"/>
          <w:szCs w:val="21"/>
          <w:lang w:eastAsia="zh-CN"/>
        </w:rPr>
        <w:t>159681）</w:t>
      </w:r>
      <w:r>
        <w:rPr>
          <w:rFonts w:ascii="宋体" w:eastAsia="宋体" w:hAnsi="宋体" w:cs="宋体"/>
          <w:sz w:val="21"/>
          <w:szCs w:val="21"/>
          <w:lang w:eastAsia="zh-CN"/>
        </w:rPr>
        <w:t>流动性服务商。</w:t>
      </w:r>
    </w:p>
    <w:p w:rsidR="004D1AB9" w:rsidRDefault="009A442E">
      <w:pPr>
        <w:spacing w:line="360" w:lineRule="auto"/>
        <w:ind w:firstLine="420"/>
        <w:jc w:val="both"/>
        <w:rPr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特此公告。</w:t>
      </w:r>
    </w:p>
    <w:p w:rsidR="004D1AB9" w:rsidRDefault="009A442E">
      <w:pPr>
        <w:spacing w:before="240" w:after="240"/>
        <w:rPr>
          <w:lang w:eastAsia="zh-CN"/>
        </w:rPr>
      </w:pPr>
      <w:r>
        <w:rPr>
          <w:rFonts w:eastAsia="Times New Roman"/>
          <w:lang w:eastAsia="zh-CN"/>
        </w:rPr>
        <w:t> </w:t>
      </w:r>
    </w:p>
    <w:p w:rsidR="004D1AB9" w:rsidRDefault="009A442E">
      <w:pPr>
        <w:spacing w:line="360" w:lineRule="auto"/>
        <w:ind w:firstLine="420"/>
        <w:jc w:val="right"/>
        <w:rPr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鹏华基金管理有限公司</w:t>
      </w:r>
    </w:p>
    <w:p w:rsidR="004D1AB9" w:rsidRDefault="009A442E">
      <w:pPr>
        <w:spacing w:line="360" w:lineRule="auto"/>
        <w:ind w:firstLine="420"/>
        <w:jc w:val="right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2024年06月28日</w:t>
      </w:r>
    </w:p>
    <w:p w:rsidR="00A77B3E" w:rsidRDefault="00A77B3E"/>
    <w:sectPr w:rsidR="00A77B3E" w:rsidSect="0048145E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921" w:rsidRDefault="00373921">
      <w:r>
        <w:separator/>
      </w:r>
    </w:p>
  </w:endnote>
  <w:endnote w:type="continuationSeparator" w:id="0">
    <w:p w:rsidR="00373921" w:rsidRDefault="00373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AB9" w:rsidRDefault="0048145E">
    <w:pPr>
      <w:jc w:val="center"/>
    </w:pPr>
    <w:r>
      <w:rPr>
        <w:rFonts w:ascii="宋体" w:eastAsia="宋体" w:hAnsi="宋体" w:cs="宋体"/>
        <w:sz w:val="18"/>
      </w:rPr>
      <w:fldChar w:fldCharType="begin"/>
    </w:r>
    <w:r w:rsidR="009A442E">
      <w:rPr>
        <w:rFonts w:ascii="宋体" w:eastAsia="宋体" w:hAnsi="宋体" w:cs="宋体"/>
        <w:sz w:val="18"/>
        <w:lang w:eastAsia="zh-CN"/>
      </w:rPr>
      <w:instrText xml:space="preserve"> PAGE </w:instrText>
    </w:r>
    <w:r>
      <w:rPr>
        <w:rFonts w:ascii="宋体" w:eastAsia="宋体" w:hAnsi="宋体" w:cs="宋体"/>
        <w:sz w:val="18"/>
      </w:rPr>
      <w:fldChar w:fldCharType="separate"/>
    </w:r>
    <w:r w:rsidR="003264A7">
      <w:rPr>
        <w:rFonts w:ascii="宋体" w:eastAsia="宋体" w:hAnsi="宋体" w:cs="宋体"/>
        <w:noProof/>
        <w:sz w:val="18"/>
        <w:lang w:eastAsia="zh-CN"/>
      </w:rPr>
      <w:t>1</w:t>
    </w:r>
    <w:r>
      <w:rPr>
        <w:rFonts w:ascii="宋体" w:eastAsia="宋体" w:hAnsi="宋体" w:cs="宋体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921" w:rsidRDefault="00373921">
      <w:r>
        <w:separator/>
      </w:r>
    </w:p>
  </w:footnote>
  <w:footnote w:type="continuationSeparator" w:id="0">
    <w:p w:rsidR="00373921" w:rsidRDefault="003739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67FA1"/>
    <w:rsid w:val="002E1B8B"/>
    <w:rsid w:val="003264A7"/>
    <w:rsid w:val="00373921"/>
    <w:rsid w:val="003D1FAA"/>
    <w:rsid w:val="0048145E"/>
    <w:rsid w:val="004D1AB9"/>
    <w:rsid w:val="00746961"/>
    <w:rsid w:val="009A442E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805BCE"/>
    <w:pPr>
      <w:spacing w:line="360" w:lineRule="auto"/>
    </w:pPr>
    <w:rPr>
      <w:rFonts w:ascii="宋体" w:eastAsia="宋体" w:hAnsi="宋体" w:cs="宋体"/>
      <w:b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缪莉芳</dc:creator>
  <cp:lastModifiedBy>ZHONGM</cp:lastModifiedBy>
  <cp:revision>2</cp:revision>
  <cp:lastPrinted>2024-06-26T01:25:00Z</cp:lastPrinted>
  <dcterms:created xsi:type="dcterms:W3CDTF">2024-06-27T16:03:00Z</dcterms:created>
  <dcterms:modified xsi:type="dcterms:W3CDTF">2024-06-27T16:03:00Z</dcterms:modified>
</cp:coreProperties>
</file>