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Cs w:val="21"/>
        </w:rPr>
      </w:pPr>
      <w:bookmarkStart w:id="0" w:name="_Toc361324840"/>
    </w:p>
    <w:p>
      <w:pPr>
        <w:spacing w:line="360" w:lineRule="auto"/>
        <w:jc w:val="center"/>
        <w:rPr>
          <w:rFonts w:ascii="宋体" w:hAnsi="宋体"/>
          <w:b/>
          <w:szCs w:val="21"/>
        </w:rPr>
      </w:pPr>
    </w:p>
    <w:bookmarkEnd w:id="0"/>
    <w:p>
      <w:pPr>
        <w:spacing w:line="360" w:lineRule="auto"/>
        <w:jc w:val="center"/>
        <w:rPr>
          <w:rFonts w:ascii="宋体" w:hAnsi="宋体"/>
          <w:b/>
          <w:sz w:val="52"/>
          <w:szCs w:val="52"/>
        </w:rPr>
      </w:pPr>
      <w:bookmarkStart w:id="1" w:name="_Toc361324841"/>
      <w:r>
        <w:rPr>
          <w:rFonts w:hint="eastAsia" w:ascii="宋体" w:hAnsi="宋体"/>
          <w:b/>
          <w:sz w:val="52"/>
          <w:szCs w:val="52"/>
        </w:rPr>
        <w:t>博时港股通红利精选混合型发起式证券投资基金清算</w:t>
      </w:r>
      <w:r>
        <w:rPr>
          <w:rFonts w:ascii="宋体" w:hAnsi="宋体"/>
          <w:b/>
          <w:sz w:val="52"/>
          <w:szCs w:val="52"/>
        </w:rPr>
        <w:t>报告</w:t>
      </w:r>
      <w:bookmarkEnd w:id="1"/>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spacing w:line="360" w:lineRule="auto"/>
        <w:jc w:val="center"/>
        <w:rPr>
          <w:rFonts w:ascii="宋体" w:hAnsi="宋体"/>
          <w:b/>
          <w:color w:val="000000"/>
          <w:sz w:val="36"/>
          <w:szCs w:val="36"/>
        </w:rPr>
      </w:pPr>
      <w:r>
        <w:rPr>
          <w:rFonts w:ascii="宋体" w:hAnsi="宋体"/>
          <w:b/>
          <w:color w:val="000000"/>
          <w:sz w:val="36"/>
          <w:szCs w:val="36"/>
        </w:rPr>
        <w:t>基金管理人：博时基金管理有限公司</w:t>
      </w:r>
    </w:p>
    <w:p>
      <w:pPr>
        <w:spacing w:line="360" w:lineRule="auto"/>
        <w:jc w:val="center"/>
        <w:rPr>
          <w:rFonts w:ascii="宋体" w:hAnsi="宋体"/>
          <w:b/>
          <w:color w:val="000000"/>
          <w:sz w:val="36"/>
          <w:szCs w:val="36"/>
        </w:rPr>
      </w:pPr>
      <w:r>
        <w:rPr>
          <w:rFonts w:ascii="宋体" w:hAnsi="宋体"/>
          <w:b/>
          <w:color w:val="000000"/>
          <w:sz w:val="36"/>
          <w:szCs w:val="36"/>
        </w:rPr>
        <w:t>基金托管人：</w:t>
      </w:r>
      <w:r>
        <w:rPr>
          <w:rFonts w:hint="eastAsia" w:ascii="宋体" w:hAnsi="宋体"/>
          <w:b/>
          <w:color w:val="000000"/>
          <w:sz w:val="36"/>
          <w:szCs w:val="36"/>
        </w:rPr>
        <w:t>中信银行股份有限公司</w:t>
      </w:r>
    </w:p>
    <w:p>
      <w:pPr>
        <w:spacing w:line="360" w:lineRule="auto"/>
        <w:jc w:val="center"/>
        <w:rPr>
          <w:rFonts w:ascii="宋体" w:hAnsi="宋体"/>
          <w:b/>
          <w:color w:val="000000"/>
          <w:sz w:val="36"/>
          <w:szCs w:val="36"/>
        </w:rPr>
      </w:pPr>
      <w:r>
        <w:rPr>
          <w:rFonts w:ascii="宋体" w:hAnsi="宋体"/>
          <w:b/>
          <w:color w:val="000000"/>
          <w:sz w:val="36"/>
          <w:szCs w:val="36"/>
        </w:rPr>
        <w:t>报告</w:t>
      </w:r>
      <w:r>
        <w:rPr>
          <w:rFonts w:hint="eastAsia" w:ascii="宋体" w:hAnsi="宋体"/>
          <w:b/>
          <w:color w:val="000000"/>
          <w:sz w:val="36"/>
          <w:szCs w:val="36"/>
        </w:rPr>
        <w:t>出具</w:t>
      </w:r>
      <w:r>
        <w:rPr>
          <w:rFonts w:ascii="宋体" w:hAnsi="宋体"/>
          <w:b/>
          <w:color w:val="000000"/>
          <w:sz w:val="36"/>
          <w:szCs w:val="36"/>
        </w:rPr>
        <w:t>日期：</w:t>
      </w:r>
      <w:r>
        <w:rPr>
          <w:rFonts w:hint="eastAsia" w:ascii="宋体" w:hAnsi="宋体"/>
          <w:b/>
          <w:color w:val="000000"/>
          <w:sz w:val="36"/>
          <w:szCs w:val="36"/>
        </w:rPr>
        <w:t>二〇二四年六月五日</w:t>
      </w:r>
    </w:p>
    <w:p>
      <w:pPr>
        <w:spacing w:line="360" w:lineRule="auto"/>
        <w:jc w:val="center"/>
        <w:rPr>
          <w:rFonts w:ascii="宋体" w:hAnsi="宋体"/>
          <w:b/>
          <w:color w:val="000000"/>
          <w:sz w:val="36"/>
          <w:szCs w:val="36"/>
        </w:rPr>
      </w:pPr>
      <w:r>
        <w:rPr>
          <w:rFonts w:hint="eastAsia" w:ascii="宋体" w:hAnsi="宋体"/>
          <w:b/>
          <w:color w:val="000000"/>
          <w:sz w:val="36"/>
          <w:szCs w:val="36"/>
        </w:rPr>
        <w:t>报告公告日期：二〇二四年六月二十八日</w:t>
      </w:r>
    </w:p>
    <w:p>
      <w:pPr>
        <w:spacing w:line="360" w:lineRule="auto"/>
        <w:jc w:val="center"/>
        <w:rPr>
          <w:rFonts w:ascii="宋体" w:hAnsi="宋体"/>
          <w:b/>
          <w:color w:val="000000"/>
          <w:sz w:val="36"/>
          <w:szCs w:val="36"/>
        </w:rPr>
      </w:pPr>
    </w:p>
    <w:p>
      <w:pPr>
        <w:spacing w:line="360" w:lineRule="auto"/>
        <w:ind w:firstLine="1265" w:firstLineChars="350"/>
        <w:rPr>
          <w:rFonts w:ascii="宋体" w:hAnsi="宋体"/>
          <w:b/>
          <w:color w:val="000000"/>
          <w:sz w:val="36"/>
          <w:szCs w:val="36"/>
        </w:rPr>
        <w:sectPr>
          <w:headerReference r:id="rId3" w:type="default"/>
          <w:footerReference r:id="rId4" w:type="default"/>
          <w:pgSz w:w="11926" w:h="15840"/>
          <w:pgMar w:top="1418" w:right="1418" w:bottom="851" w:left="1418" w:header="851" w:footer="992" w:gutter="0"/>
          <w:pgNumType w:start="1"/>
          <w:cols w:space="720" w:num="1"/>
          <w:titlePg/>
          <w:docGrid w:linePitch="286" w:charSpace="0"/>
        </w:sectPr>
      </w:pPr>
    </w:p>
    <w:sdt>
      <w:sdtPr>
        <w:rPr>
          <w:rFonts w:ascii="Times New Roman" w:hAnsi="Times New Roman" w:eastAsia="宋体" w:cs="Times New Roman"/>
          <w:b w:val="0"/>
          <w:bCs w:val="0"/>
          <w:color w:val="auto"/>
          <w:kern w:val="2"/>
          <w:sz w:val="21"/>
          <w:szCs w:val="24"/>
          <w:lang w:val="zh-CN"/>
        </w:rPr>
        <w:id w:val="542722309"/>
        <w:docPartObj>
          <w:docPartGallery w:val="Table of Contents"/>
          <w:docPartUnique/>
        </w:docPartObj>
      </w:sdtPr>
      <w:sdtEndPr>
        <w:rPr>
          <w:rFonts w:ascii="Times New Roman" w:hAnsi="Times New Roman" w:eastAsia="宋体" w:cs="Times New Roman"/>
          <w:b w:val="0"/>
          <w:bCs w:val="0"/>
          <w:color w:val="auto"/>
          <w:kern w:val="2"/>
          <w:sz w:val="21"/>
          <w:szCs w:val="24"/>
          <w:lang w:val="zh-CN"/>
        </w:rPr>
      </w:sdtEndPr>
      <w:sdtContent>
        <w:p>
          <w:pPr>
            <w:pStyle w:val="32"/>
            <w:jc w:val="center"/>
          </w:pPr>
          <w:bookmarkStart w:id="2" w:name="_Toc484769794"/>
          <w:r>
            <w:rPr>
              <w:rFonts w:hint="eastAsia"/>
              <w:color w:val="000000" w:themeColor="text1"/>
              <w:lang w:val="zh-CN"/>
              <w14:textFill>
                <w14:solidFill>
                  <w14:schemeClr w14:val="tx1"/>
                </w14:solidFill>
              </w14:textFill>
            </w:rPr>
            <w:t>目录</w:t>
          </w:r>
        </w:p>
        <w:p>
          <w:pPr>
            <w:pStyle w:val="9"/>
            <w:tabs>
              <w:tab w:val="right" w:leader="dot" w:pos="8296"/>
            </w:tabs>
            <w:rPr>
              <w:rFonts w:asciiTheme="minorHAnsi" w:hAnsiTheme="minorHAnsi" w:eastAsiaTheme="minorEastAsia" w:cstheme="minorBidi"/>
              <w:szCs w:val="22"/>
            </w:rPr>
          </w:pPr>
          <w:r>
            <w:fldChar w:fldCharType="begin"/>
          </w:r>
          <w:r>
            <w:instrText xml:space="preserve"> TOC \o "1-3" \h \z \u </w:instrText>
          </w:r>
          <w:r>
            <w:fldChar w:fldCharType="separate"/>
          </w:r>
          <w:r>
            <w:fldChar w:fldCharType="begin"/>
          </w:r>
          <w:r>
            <w:instrText xml:space="preserve"> HYPERLINK \l "_Toc491963077" </w:instrText>
          </w:r>
          <w:r>
            <w:fldChar w:fldCharType="separate"/>
          </w:r>
          <w:r>
            <w:rPr>
              <w:rStyle w:val="15"/>
              <w:rFonts w:ascii="宋体" w:hAnsi="宋体"/>
              <w:b/>
            </w:rPr>
            <w:t>1</w:t>
          </w:r>
          <w:r>
            <w:rPr>
              <w:rStyle w:val="15"/>
              <w:rFonts w:hint="eastAsia" w:ascii="宋体" w:hAnsi="宋体"/>
              <w:b/>
            </w:rPr>
            <w:t>、重要提示</w:t>
          </w:r>
          <w:r>
            <w:tab/>
          </w:r>
          <w:r>
            <w:fldChar w:fldCharType="begin"/>
          </w:r>
          <w:r>
            <w:instrText xml:space="preserve"> PAGEREF _Toc491963077 \h </w:instrText>
          </w:r>
          <w:r>
            <w:fldChar w:fldCharType="separate"/>
          </w:r>
          <w:r>
            <w:t>1</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"_Toc491963078" </w:instrText>
          </w:r>
          <w:r>
            <w:fldChar w:fldCharType="separate"/>
          </w:r>
          <w:r>
            <w:rPr>
              <w:rStyle w:val="15"/>
              <w:rFonts w:ascii="宋体" w:hAnsi="宋体"/>
              <w:kern w:val="0"/>
            </w:rPr>
            <w:t xml:space="preserve">1.1 </w:t>
          </w:r>
          <w:r>
            <w:rPr>
              <w:rStyle w:val="15"/>
              <w:rFonts w:hint="eastAsia" w:ascii="宋体" w:hAnsi="宋体"/>
              <w:kern w:val="0"/>
            </w:rPr>
            <w:t>重要提示</w:t>
          </w:r>
          <w:r>
            <w:tab/>
          </w:r>
          <w:r>
            <w:fldChar w:fldCharType="begin"/>
          </w:r>
          <w:r>
            <w:instrText xml:space="preserve"> PAGEREF _Toc491963078 \h </w:instrText>
          </w:r>
          <w:r>
            <w:fldChar w:fldCharType="separate"/>
          </w:r>
          <w:r>
            <w:t>1</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"_Toc491963079" </w:instrText>
          </w:r>
          <w:r>
            <w:fldChar w:fldCharType="separate"/>
          </w:r>
          <w:r>
            <w:rPr>
              <w:rStyle w:val="15"/>
              <w:rFonts w:ascii="宋体" w:hAnsi="宋体"/>
              <w:b/>
            </w:rPr>
            <w:t>2</w:t>
          </w:r>
          <w:r>
            <w:rPr>
              <w:rStyle w:val="15"/>
              <w:rFonts w:hint="eastAsia" w:ascii="宋体" w:hAnsi="宋体"/>
              <w:b/>
            </w:rPr>
            <w:t>、基金概况</w:t>
          </w:r>
          <w:r>
            <w:tab/>
          </w:r>
          <w:r>
            <w:fldChar w:fldCharType="begin"/>
          </w:r>
          <w:r>
            <w:instrText xml:space="preserve"> PAGEREF _Toc491963079 \h </w:instrText>
          </w:r>
          <w:r>
            <w:fldChar w:fldCharType="separate"/>
          </w:r>
          <w:r>
            <w:t>1</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"_Toc491963080" </w:instrText>
          </w:r>
          <w:r>
            <w:fldChar w:fldCharType="separate"/>
          </w:r>
          <w:r>
            <w:rPr>
              <w:rStyle w:val="15"/>
              <w:rFonts w:ascii="宋体" w:hAnsi="宋体"/>
              <w:kern w:val="0"/>
            </w:rPr>
            <w:t xml:space="preserve">2.1 </w:t>
          </w:r>
          <w:r>
            <w:rPr>
              <w:rStyle w:val="15"/>
              <w:rFonts w:hint="eastAsia" w:ascii="宋体" w:hAnsi="宋体"/>
              <w:kern w:val="0"/>
            </w:rPr>
            <w:t>基金基本情况</w:t>
          </w:r>
          <w:r>
            <w:tab/>
          </w:r>
          <w:r>
            <w:fldChar w:fldCharType="begin"/>
          </w:r>
          <w:r>
            <w:instrText xml:space="preserve"> PAGEREF _Toc491963080 \h </w:instrText>
          </w:r>
          <w:r>
            <w:fldChar w:fldCharType="separate"/>
          </w:r>
          <w:r>
            <w:t>1</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"_Toc491963081" </w:instrText>
          </w:r>
          <w:r>
            <w:fldChar w:fldCharType="separate"/>
          </w:r>
          <w:r>
            <w:rPr>
              <w:rStyle w:val="15"/>
              <w:rFonts w:ascii="宋体" w:hAnsi="宋体"/>
            </w:rPr>
            <w:t xml:space="preserve">2.2 </w:t>
          </w:r>
          <w:r>
            <w:rPr>
              <w:rStyle w:val="15"/>
              <w:rFonts w:hint="eastAsia" w:ascii="宋体" w:hAnsi="宋体"/>
            </w:rPr>
            <w:t>基金产品说明</w:t>
          </w:r>
          <w:r>
            <w:tab/>
          </w:r>
          <w:r>
            <w:fldChar w:fldCharType="begin"/>
          </w:r>
          <w:r>
            <w:instrText xml:space="preserve"> PAGEREF _Toc491963081 \h </w:instrText>
          </w:r>
          <w:r>
            <w:fldChar w:fldCharType="separate"/>
          </w:r>
          <w:r>
            <w:t>2</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"_Toc491963082" </w:instrText>
          </w:r>
          <w:r>
            <w:fldChar w:fldCharType="separate"/>
          </w:r>
          <w:r>
            <w:rPr>
              <w:rStyle w:val="15"/>
              <w:rFonts w:ascii="宋体" w:hAnsi="宋体"/>
              <w:b/>
            </w:rPr>
            <w:t>3</w:t>
          </w:r>
          <w:r>
            <w:rPr>
              <w:rStyle w:val="15"/>
              <w:rFonts w:hint="eastAsia" w:ascii="宋体" w:hAnsi="宋体"/>
              <w:b/>
            </w:rPr>
            <w:t>、基金运作情况说明</w:t>
          </w:r>
          <w:r>
            <w:tab/>
          </w:r>
          <w:r>
            <w:fldChar w:fldCharType="begin"/>
          </w:r>
          <w:r>
            <w:instrText xml:space="preserve"> PAGEREF _Toc491963082 \h </w:instrText>
          </w:r>
          <w:r>
            <w:fldChar w:fldCharType="separate"/>
          </w:r>
          <w:r>
            <w:t>2</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"_Toc491963083" </w:instrText>
          </w:r>
          <w:r>
            <w:fldChar w:fldCharType="separate"/>
          </w:r>
          <w:r>
            <w:rPr>
              <w:rStyle w:val="15"/>
              <w:rFonts w:ascii="宋体" w:hAnsi="宋体"/>
              <w:b/>
            </w:rPr>
            <w:t>4</w:t>
          </w:r>
          <w:r>
            <w:rPr>
              <w:rStyle w:val="15"/>
              <w:rFonts w:hint="eastAsia" w:ascii="宋体" w:hAnsi="宋体"/>
              <w:b/>
            </w:rPr>
            <w:t>、财务报告</w:t>
          </w:r>
          <w:r>
            <w:tab/>
          </w:r>
          <w:r>
            <w:fldChar w:fldCharType="begin"/>
          </w:r>
          <w:r>
            <w:instrText xml:space="preserve"> PAGEREF _Toc491963083 \h </w:instrText>
          </w:r>
          <w:r>
            <w:fldChar w:fldCharType="separate"/>
          </w:r>
          <w:r>
            <w:t>3</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"_Toc491963084" </w:instrText>
          </w:r>
          <w:r>
            <w:fldChar w:fldCharType="separate"/>
          </w:r>
          <w:r>
            <w:rPr>
              <w:rStyle w:val="15"/>
              <w:rFonts w:ascii="宋体" w:hAnsi="宋体"/>
              <w:kern w:val="0"/>
            </w:rPr>
            <w:t xml:space="preserve">4.1 </w:t>
          </w:r>
          <w:r>
            <w:rPr>
              <w:rStyle w:val="15"/>
              <w:rFonts w:hint="eastAsia" w:ascii="宋体" w:hAnsi="宋体"/>
              <w:kern w:val="0"/>
            </w:rPr>
            <w:t>资产负债表</w:t>
          </w:r>
          <w:r>
            <w:tab/>
          </w:r>
          <w:r>
            <w:fldChar w:fldCharType="begin"/>
          </w:r>
          <w:r>
            <w:instrText xml:space="preserve"> PAGEREF _Toc491963084 \h </w:instrText>
          </w:r>
          <w:r>
            <w:fldChar w:fldCharType="separate"/>
          </w:r>
          <w:r>
            <w:t>3</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"_Toc491963085" </w:instrText>
          </w:r>
          <w:r>
            <w:fldChar w:fldCharType="separate"/>
          </w:r>
          <w:r>
            <w:rPr>
              <w:rStyle w:val="15"/>
              <w:rFonts w:ascii="宋体" w:hAnsi="宋体"/>
              <w:kern w:val="0"/>
            </w:rPr>
            <w:t xml:space="preserve">4.2 </w:t>
          </w:r>
          <w:r>
            <w:rPr>
              <w:rStyle w:val="15"/>
              <w:rFonts w:hint="eastAsia" w:ascii="宋体" w:hAnsi="宋体"/>
              <w:kern w:val="0"/>
            </w:rPr>
            <w:t>清算损益表</w:t>
          </w:r>
          <w:r>
            <w:tab/>
          </w:r>
          <w:r>
            <w:fldChar w:fldCharType="begin"/>
          </w:r>
          <w:r>
            <w:instrText xml:space="preserve"> PAGEREF _Toc491963085 \h </w:instrText>
          </w:r>
          <w:r>
            <w:fldChar w:fldCharType="separate"/>
          </w:r>
          <w:r>
            <w:t>4</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"_Toc491963086" </w:instrText>
          </w:r>
          <w:r>
            <w:fldChar w:fldCharType="separate"/>
          </w:r>
          <w:r>
            <w:rPr>
              <w:rStyle w:val="15"/>
              <w:rFonts w:ascii="宋体" w:hAnsi="宋体"/>
              <w:kern w:val="0"/>
            </w:rPr>
            <w:t xml:space="preserve">4.3 </w:t>
          </w:r>
          <w:r>
            <w:rPr>
              <w:rStyle w:val="15"/>
              <w:rFonts w:hint="eastAsia" w:ascii="宋体" w:hAnsi="宋体"/>
              <w:kern w:val="0"/>
            </w:rPr>
            <w:t>报表附注</w:t>
          </w:r>
          <w:r>
            <w:tab/>
          </w:r>
          <w:r>
            <w:fldChar w:fldCharType="begin"/>
          </w:r>
          <w:r>
            <w:instrText xml:space="preserve"> PAGEREF _Toc491963086 \h </w:instrText>
          </w:r>
          <w:r>
            <w:fldChar w:fldCharType="separate"/>
          </w:r>
          <w:r>
            <w:t>4</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"_Toc491963087" </w:instrText>
          </w:r>
          <w:r>
            <w:fldChar w:fldCharType="separate"/>
          </w:r>
          <w:r>
            <w:rPr>
              <w:rStyle w:val="15"/>
              <w:rFonts w:ascii="宋体" w:hAnsi="宋体"/>
              <w:b/>
            </w:rPr>
            <w:t>5</w:t>
          </w:r>
          <w:r>
            <w:rPr>
              <w:rStyle w:val="15"/>
              <w:rFonts w:hint="eastAsia" w:ascii="宋体" w:hAnsi="宋体"/>
              <w:b/>
            </w:rPr>
            <w:t>、清算情况</w:t>
          </w:r>
          <w:r>
            <w:tab/>
          </w:r>
          <w:r>
            <w:fldChar w:fldCharType="begin"/>
          </w:r>
          <w:r>
            <w:instrText xml:space="preserve"> PAGEREF _Toc491963087 \h </w:instrText>
          </w:r>
          <w:r>
            <w:fldChar w:fldCharType="separate"/>
          </w:r>
          <w:r>
            <w:t>7</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"_Toc491963088" </w:instrText>
          </w:r>
          <w:r>
            <w:fldChar w:fldCharType="separate"/>
          </w:r>
          <w:r>
            <w:rPr>
              <w:rStyle w:val="15"/>
              <w:rFonts w:ascii="宋体" w:hAnsi="宋体"/>
              <w:kern w:val="0"/>
            </w:rPr>
            <w:t xml:space="preserve">5.1 </w:t>
          </w:r>
          <w:r>
            <w:rPr>
              <w:rStyle w:val="15"/>
              <w:rFonts w:hint="eastAsia" w:ascii="宋体" w:hAnsi="宋体"/>
              <w:kern w:val="0"/>
            </w:rPr>
            <w:t>资产负债清算情况</w:t>
          </w:r>
          <w:r>
            <w:tab/>
          </w:r>
          <w:r>
            <w:fldChar w:fldCharType="begin"/>
          </w:r>
          <w:r>
            <w:instrText xml:space="preserve"> PAGEREF _Toc491963088 \h </w:instrText>
          </w:r>
          <w:r>
            <w:fldChar w:fldCharType="separate"/>
          </w:r>
          <w:r>
            <w:t>8</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"_Toc491963089" </w:instrText>
          </w:r>
          <w:r>
            <w:fldChar w:fldCharType="separate"/>
          </w:r>
          <w:r>
            <w:rPr>
              <w:rStyle w:val="15"/>
              <w:rFonts w:ascii="宋体" w:hAnsi="宋体"/>
              <w:kern w:val="0"/>
            </w:rPr>
            <w:t xml:space="preserve">5.2 </w:t>
          </w:r>
          <w:r>
            <w:rPr>
              <w:rStyle w:val="15"/>
              <w:rFonts w:hint="eastAsia" w:ascii="宋体" w:hAnsi="宋体"/>
              <w:kern w:val="0"/>
            </w:rPr>
            <w:t>截至本次清算期结束日的剩余财产情况及剩余财产分配安排</w:t>
          </w:r>
          <w:r>
            <w:tab/>
          </w:r>
          <w:r>
            <w:fldChar w:fldCharType="begin"/>
          </w:r>
          <w:r>
            <w:instrText xml:space="preserve"> PAGEREF _Toc491963089 \h </w:instrText>
          </w:r>
          <w:r>
            <w:fldChar w:fldCharType="separate"/>
          </w:r>
          <w:r>
            <w:t>10</w:t>
          </w:r>
          <w:r>
            <w:fldChar w:fldCharType="end"/>
          </w:r>
          <w:r>
            <w:fldChar w:fldCharType="end"/>
          </w:r>
        </w:p>
        <w:p>
          <w:pPr>
            <w:pStyle w:val="9"/>
            <w:tabs>
              <w:tab w:val="right" w:leader="dot" w:pos="8296"/>
            </w:tabs>
            <w:rPr>
              <w:rFonts w:asciiTheme="minorHAnsi" w:hAnsiTheme="minorHAnsi" w:eastAsiaTheme="minorEastAsia" w:cstheme="minorBidi"/>
              <w:szCs w:val="22"/>
            </w:rPr>
          </w:pPr>
          <w:r>
            <w:fldChar w:fldCharType="begin"/>
          </w:r>
          <w:r>
            <w:instrText xml:space="preserve"> HYPERLINK \l "_Toc491963090" </w:instrText>
          </w:r>
          <w:r>
            <w:fldChar w:fldCharType="separate"/>
          </w:r>
          <w:r>
            <w:rPr>
              <w:rStyle w:val="15"/>
              <w:rFonts w:ascii="宋体" w:hAnsi="宋体"/>
              <w:b/>
            </w:rPr>
            <w:t>6</w:t>
          </w:r>
          <w:r>
            <w:rPr>
              <w:rStyle w:val="15"/>
              <w:rFonts w:hint="eastAsia" w:ascii="宋体" w:hAnsi="宋体"/>
              <w:b/>
            </w:rPr>
            <w:t>、备查文件目录</w:t>
          </w:r>
          <w:r>
            <w:tab/>
          </w:r>
          <w:r>
            <w:fldChar w:fldCharType="begin"/>
          </w:r>
          <w:r>
            <w:instrText xml:space="preserve"> PAGEREF _Toc491963090 \h </w:instrText>
          </w:r>
          <w:r>
            <w:fldChar w:fldCharType="separate"/>
          </w:r>
          <w:r>
            <w:t>10</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"_Toc491963091" </w:instrText>
          </w:r>
          <w:r>
            <w:fldChar w:fldCharType="separate"/>
          </w:r>
          <w:r>
            <w:rPr>
              <w:rStyle w:val="15"/>
              <w:rFonts w:ascii="宋体" w:hAnsi="宋体"/>
              <w:kern w:val="0"/>
            </w:rPr>
            <w:t xml:space="preserve">6.1 </w:t>
          </w:r>
          <w:r>
            <w:rPr>
              <w:rStyle w:val="15"/>
              <w:rFonts w:hint="eastAsia" w:ascii="宋体" w:hAnsi="宋体"/>
              <w:kern w:val="0"/>
            </w:rPr>
            <w:t>备查文件目录</w:t>
          </w:r>
          <w:r>
            <w:tab/>
          </w:r>
          <w:r>
            <w:fldChar w:fldCharType="begin"/>
          </w:r>
          <w:r>
            <w:instrText xml:space="preserve"> PAGEREF _Toc491963091 \h </w:instrText>
          </w:r>
          <w:r>
            <w:fldChar w:fldCharType="separate"/>
          </w:r>
          <w:r>
            <w:t>10</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"_Toc491963092" </w:instrText>
          </w:r>
          <w:r>
            <w:fldChar w:fldCharType="separate"/>
          </w:r>
          <w:r>
            <w:rPr>
              <w:rStyle w:val="15"/>
              <w:rFonts w:ascii="宋体" w:hAnsi="宋体"/>
              <w:kern w:val="0"/>
            </w:rPr>
            <w:t xml:space="preserve">6.2 </w:t>
          </w:r>
          <w:r>
            <w:rPr>
              <w:rStyle w:val="15"/>
              <w:rFonts w:hint="eastAsia" w:ascii="宋体" w:hAnsi="宋体"/>
              <w:kern w:val="0"/>
            </w:rPr>
            <w:t>存放地点</w:t>
          </w:r>
          <w:r>
            <w:tab/>
          </w:r>
          <w:r>
            <w:fldChar w:fldCharType="begin"/>
          </w:r>
          <w:r>
            <w:instrText xml:space="preserve"> PAGEREF _Toc491963092 \h </w:instrText>
          </w:r>
          <w:r>
            <w:fldChar w:fldCharType="separate"/>
          </w:r>
          <w:r>
            <w:t>11</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"_Toc491963093" </w:instrText>
          </w:r>
          <w:r>
            <w:fldChar w:fldCharType="separate"/>
          </w:r>
          <w:r>
            <w:rPr>
              <w:rStyle w:val="15"/>
              <w:rFonts w:ascii="宋体" w:hAnsi="宋体"/>
              <w:kern w:val="0"/>
            </w:rPr>
            <w:t xml:space="preserve">6.3 </w:t>
          </w:r>
          <w:r>
            <w:rPr>
              <w:rStyle w:val="15"/>
              <w:rFonts w:hint="eastAsia" w:ascii="宋体" w:hAnsi="宋体"/>
              <w:kern w:val="0"/>
            </w:rPr>
            <w:t>查阅方式</w:t>
          </w:r>
          <w:r>
            <w:tab/>
          </w:r>
          <w:r>
            <w:fldChar w:fldCharType="begin"/>
          </w:r>
          <w:r>
            <w:instrText xml:space="preserve"> PAGEREF _Toc491963093 \h </w:instrText>
          </w:r>
          <w:r>
            <w:fldChar w:fldCharType="separate"/>
          </w:r>
          <w:r>
            <w:t>11</w:t>
          </w:r>
          <w:r>
            <w:fldChar w:fldCharType="end"/>
          </w:r>
          <w:r>
            <w:fldChar w:fldCharType="end"/>
          </w:r>
        </w:p>
        <w:p>
          <w:r>
            <w:rPr>
              <w:b/>
              <w:bCs/>
              <w:lang w:val="zh-CN"/>
            </w:rPr>
            <w:fldChar w:fldCharType="end"/>
          </w:r>
        </w:p>
      </w:sdtContent>
    </w:sdt>
    <w:p>
      <w:pPr>
        <w:widowControl/>
        <w:jc w:val="left"/>
        <w:rPr>
          <w:rStyle w:val="20"/>
          <w:rFonts w:ascii="宋体" w:hAnsi="宋体"/>
        </w:rPr>
      </w:pPr>
      <w:bookmarkStart w:id="3" w:name="_Toc491963077"/>
      <w:r>
        <w:rPr>
          <w:rStyle w:val="20"/>
          <w:rFonts w:ascii="宋体" w:hAnsi="宋体"/>
        </w:rPr>
        <w:br w:type="page"/>
      </w:r>
    </w:p>
    <w:p>
      <w:pPr>
        <w:widowControl/>
        <w:jc w:val="center"/>
        <w:rPr>
          <w:rStyle w:val="20"/>
          <w:rFonts w:ascii="宋体" w:hAnsi="宋体"/>
        </w:rPr>
        <w:sectPr>
          <w:headerReference r:id="rId5" w:type="default"/>
          <w:pgSz w:w="11906" w:h="16838"/>
          <w:pgMar w:top="1440" w:right="1800" w:bottom="1440" w:left="1800" w:header="851" w:footer="992" w:gutter="0"/>
          <w:pgNumType w:start="1"/>
          <w:cols w:space="425" w:num="1"/>
          <w:docGrid w:type="lines" w:linePitch="312" w:charSpace="0"/>
        </w:sectPr>
      </w:pPr>
    </w:p>
    <w:p>
      <w:pPr>
        <w:widowControl/>
        <w:jc w:val="center"/>
        <w:rPr>
          <w:rStyle w:val="20"/>
          <w:rFonts w:ascii="宋体" w:hAnsi="宋体"/>
        </w:rPr>
      </w:pPr>
      <w:r>
        <w:rPr>
          <w:rStyle w:val="20"/>
          <w:rFonts w:hint="eastAsia" w:ascii="宋体" w:hAnsi="宋体"/>
        </w:rPr>
        <w:t>1、重要提示</w:t>
      </w:r>
      <w:bookmarkEnd w:id="2"/>
      <w:bookmarkEnd w:id="3"/>
    </w:p>
    <w:p>
      <w:pPr>
        <w:pStyle w:val="3"/>
        <w:spacing w:before="0" w:after="0"/>
        <w:rPr>
          <w:rFonts w:ascii="宋体" w:hAnsi="宋体" w:eastAsia="宋体"/>
          <w:kern w:val="0"/>
          <w:sz w:val="21"/>
          <w:szCs w:val="21"/>
        </w:rPr>
      </w:pPr>
      <w:bookmarkStart w:id="4" w:name="_Toc484607300"/>
      <w:bookmarkStart w:id="5" w:name="_Toc484769795"/>
      <w:bookmarkStart w:id="6" w:name="_Toc483396827"/>
      <w:bookmarkStart w:id="7" w:name="_Toc491963078"/>
      <w:r>
        <w:rPr>
          <w:rFonts w:hint="eastAsia" w:ascii="宋体" w:hAnsi="宋体" w:eastAsia="宋体"/>
          <w:kern w:val="0"/>
          <w:sz w:val="21"/>
          <w:szCs w:val="21"/>
        </w:rPr>
        <w:t>1</w:t>
      </w:r>
      <w:r>
        <w:rPr>
          <w:rFonts w:ascii="宋体" w:hAnsi="宋体" w:eastAsia="宋体"/>
          <w:kern w:val="0"/>
          <w:sz w:val="21"/>
          <w:szCs w:val="21"/>
        </w:rPr>
        <w:t>.1</w:t>
      </w:r>
      <w:r>
        <w:rPr>
          <w:rFonts w:hint="eastAsia" w:ascii="宋体" w:hAnsi="宋体" w:eastAsia="宋体"/>
          <w:kern w:val="0"/>
          <w:sz w:val="21"/>
          <w:szCs w:val="21"/>
        </w:rPr>
        <w:t xml:space="preserve"> 重要提示</w:t>
      </w:r>
      <w:bookmarkEnd w:id="4"/>
      <w:bookmarkEnd w:id="5"/>
      <w:bookmarkEnd w:id="6"/>
      <w:bookmarkEnd w:id="7"/>
    </w:p>
    <w:p>
      <w:pPr>
        <w:spacing w:line="360" w:lineRule="auto"/>
        <w:ind w:firstLine="420" w:firstLineChars="200"/>
        <w:rPr>
          <w:rFonts w:eastAsiaTheme="minorEastAsia"/>
        </w:rPr>
      </w:pPr>
      <w:r>
        <w:rPr>
          <w:rFonts w:hint="eastAsia"/>
          <w:szCs w:val="21"/>
        </w:rPr>
        <w:t>博时港股通红利精选混合型发起式证券投资基金(以下简称“本基金”)经中国证券监督管理委员会(以下简称“中国证监会”)证监许可</w:t>
      </w:r>
      <w:r>
        <w:rPr>
          <w:rFonts w:hint="eastAsia"/>
          <w:szCs w:val="21"/>
          <w:lang w:eastAsia="zh-CN"/>
        </w:rPr>
        <w:t>[2020]2024</w:t>
      </w:r>
      <w:r>
        <w:rPr>
          <w:rFonts w:hint="eastAsia"/>
          <w:szCs w:val="21"/>
        </w:rPr>
        <w:t>号《关于准予博时港股通红利精选混合型发起式证券投资基金注册的批复》注册，</w:t>
      </w:r>
      <w:r>
        <w:rPr>
          <w:rFonts w:eastAsiaTheme="minorEastAsia"/>
        </w:rPr>
        <w:t>由博时基金管理有限公司依照《中华人民共和国证券投资基金法》和《</w:t>
      </w:r>
      <w:r>
        <w:rPr>
          <w:rFonts w:hint="eastAsia" w:eastAsiaTheme="minorEastAsia"/>
        </w:rPr>
        <w:t>博时港股通红利精选混合型发起式证券投资基金</w:t>
      </w:r>
      <w:r>
        <w:rPr>
          <w:rFonts w:eastAsiaTheme="minorEastAsia"/>
        </w:rPr>
        <w:t>基金合同》</w:t>
      </w:r>
      <w:r>
        <w:rPr>
          <w:rFonts w:hint="eastAsia" w:eastAsiaTheme="minorEastAsia"/>
        </w:rPr>
        <w:t>(以下简称“基金合同”或“《基金合同》”)</w:t>
      </w:r>
      <w:r>
        <w:rPr>
          <w:rFonts w:eastAsiaTheme="minorEastAsia"/>
        </w:rPr>
        <w:t>负责公开募集。经向中国证监会备案，《基金合同》于</w:t>
      </w:r>
      <w:r>
        <w:rPr>
          <w:rFonts w:hint="eastAsia" w:eastAsiaTheme="minorEastAsia"/>
        </w:rPr>
        <w:t>2021年5月27日</w:t>
      </w:r>
      <w:r>
        <w:rPr>
          <w:rFonts w:eastAsiaTheme="minorEastAsia"/>
        </w:rPr>
        <w:t>正式生效</w:t>
      </w:r>
      <w:r>
        <w:rPr>
          <w:rFonts w:hint="eastAsia" w:eastAsiaTheme="minorEastAsia"/>
        </w:rPr>
        <w:t>。</w:t>
      </w:r>
    </w:p>
    <w:p>
      <w:pPr>
        <w:spacing w:line="360" w:lineRule="auto"/>
        <w:ind w:firstLine="420" w:firstLineChars="200"/>
        <w:rPr>
          <w:rFonts w:hint="eastAsia"/>
        </w:rPr>
      </w:pPr>
      <w:r>
        <w:rPr>
          <w:rFonts w:hint="eastAsia"/>
        </w:rPr>
        <w:t>根据《基金合同》“第五部分 基金备案”之“三、基金存续期内的基金份额持有人数量和资产规模”约定：</w:t>
      </w:r>
    </w:p>
    <w:p>
      <w:pPr>
        <w:spacing w:line="360" w:lineRule="auto"/>
        <w:ind w:firstLine="420" w:firstLineChars="200"/>
        <w:rPr>
          <w:rFonts w:hint="eastAsia"/>
        </w:rPr>
      </w:pPr>
      <w:r>
        <w:rPr>
          <w:rFonts w:hint="eastAsia"/>
        </w:rPr>
        <w:t xml:space="preserve">“基金合同生效之日起三年后的对应日，若基金资产净值低于两亿元的，本基金将根据基金合同的约定进行基金财产清算并终止，无需召开基金份额持有人大会审议，且不得通过召开基金份额持有人大会的方式延续。 </w:t>
      </w:r>
    </w:p>
    <w:p>
      <w:pPr>
        <w:pStyle w:val="24"/>
        <w:rPr>
          <w:rFonts w:hint="eastAsia"/>
        </w:rPr>
      </w:pPr>
      <w:r>
        <w:rPr>
          <w:rFonts w:hint="eastAsia"/>
        </w:rPr>
        <w:t xml:space="preserve">基金合同生效起三年后继续存续的，连续二十个工作日出现基金份额持有人数量不满二百人或者基金资产净值低于五千万元情形的，基金管理人应当在定期报告中予以披露；连续五十个工作日出现前述情形的，本基金将根据基金合同的约定进行基金财产清算并终止，而无需召开基金份额持有人大会。”  </w:t>
      </w:r>
    </w:p>
    <w:p>
      <w:pPr>
        <w:pStyle w:val="24"/>
        <w:spacing w:line="360" w:lineRule="auto"/>
        <w:ind w:firstLine="420" w:firstLineChars="200"/>
        <w:rPr>
          <w:rFonts w:hint="eastAsia" w:ascii="宋体" w:hAnsi="宋体" w:cs="Arial"/>
          <w:color w:val="000000"/>
          <w:szCs w:val="21"/>
        </w:rPr>
      </w:pPr>
      <w:r>
        <w:rPr>
          <w:rFonts w:hint="eastAsia"/>
        </w:rPr>
        <w:t xml:space="preserve">本基金基金合同生效日为2021年5月27日，基金合同生效之日起三年后的对应日为2024年5月27日。截至2024年5月27日，本基金资产净值低于两亿元，已触发基金合同中约定的基金终止条款。根据基金合同有关约定，本基金将根据《基金合同》约定进入清算程序并终止，且无需召开基金份额持有人大会。 </w:t>
      </w:r>
    </w:p>
    <w:p>
      <w:pPr>
        <w:spacing w:line="360" w:lineRule="auto"/>
        <w:ind w:firstLine="420" w:firstLineChars="200"/>
        <w:rPr>
          <w:rFonts w:ascii="宋体" w:hAnsi="宋体" w:cs="Arial"/>
          <w:color w:val="000000"/>
          <w:szCs w:val="21"/>
        </w:rPr>
      </w:pPr>
      <w:r>
        <w:rPr>
          <w:rFonts w:hint="eastAsia" w:ascii="宋体" w:hAnsi="宋体" w:cs="Arial"/>
          <w:color w:val="000000"/>
          <w:szCs w:val="21"/>
        </w:rPr>
        <w:t>本基金的最后运作日为2024年5月27日，自2024年5月28日起，本基金进入清算程序，由本基金管理人博时基金管理有限公司、基金托管人中信银行股份有限公司、普华永道中天会计师事务所（特殊普通合伙）和上海源泰律师事务所组成基金财产清算小组履行基金财产清算程序，并由普华永道中天会计师事务所（特殊普通合伙）对本基金进行清算审计，上海源泰律师事务所对清算报告出具法律意见。</w:t>
      </w:r>
    </w:p>
    <w:p>
      <w:pPr>
        <w:pStyle w:val="2"/>
        <w:keepNext/>
        <w:keepLines/>
        <w:widowControl w:val="0"/>
        <w:spacing w:before="312" w:beforeLines="100" w:after="312" w:afterLines="100" w:line="360" w:lineRule="auto"/>
        <w:jc w:val="center"/>
        <w:rPr>
          <w:rStyle w:val="20"/>
          <w:rFonts w:ascii="宋体" w:hAnsi="宋体"/>
        </w:rPr>
      </w:pPr>
      <w:bookmarkStart w:id="8" w:name="_Toc491963079"/>
      <w:bookmarkStart w:id="9" w:name="_Toc484769796"/>
      <w:r>
        <w:rPr>
          <w:rStyle w:val="20"/>
          <w:rFonts w:ascii="宋体" w:hAnsi="宋体"/>
        </w:rPr>
        <w:t>2</w:t>
      </w:r>
      <w:r>
        <w:rPr>
          <w:rStyle w:val="20"/>
          <w:rFonts w:hint="eastAsia" w:ascii="宋体" w:hAnsi="宋体"/>
        </w:rPr>
        <w:t>、</w:t>
      </w:r>
      <w:r>
        <w:rPr>
          <w:rStyle w:val="20"/>
          <w:rFonts w:ascii="宋体" w:hAnsi="宋体"/>
        </w:rPr>
        <w:t>基金</w:t>
      </w:r>
      <w:r>
        <w:rPr>
          <w:rStyle w:val="20"/>
          <w:rFonts w:hint="eastAsia" w:ascii="宋体" w:hAnsi="宋体"/>
        </w:rPr>
        <w:t>概况</w:t>
      </w:r>
      <w:bookmarkEnd w:id="8"/>
      <w:bookmarkEnd w:id="9"/>
    </w:p>
    <w:p>
      <w:pPr>
        <w:pStyle w:val="3"/>
        <w:spacing w:before="0" w:after="0"/>
        <w:rPr>
          <w:rFonts w:ascii="宋体" w:hAnsi="宋体" w:eastAsia="宋体"/>
          <w:kern w:val="0"/>
          <w:sz w:val="21"/>
          <w:szCs w:val="21"/>
        </w:rPr>
      </w:pPr>
      <w:bookmarkStart w:id="10" w:name="_Toc361324845"/>
      <w:bookmarkStart w:id="11" w:name="_Toc484769797"/>
      <w:bookmarkStart w:id="12" w:name="_Toc409100407"/>
      <w:bookmarkStart w:id="13" w:name="_Toc483396829"/>
      <w:bookmarkStart w:id="14" w:name="_Toc491963080"/>
      <w:bookmarkStart w:id="15" w:name="_Toc409100044"/>
      <w:bookmarkStart w:id="16" w:name="_Toc484607302"/>
      <w:bookmarkStart w:id="17" w:name="_Toc476577246"/>
      <w:r>
        <w:rPr>
          <w:rFonts w:ascii="宋体" w:hAnsi="宋体" w:eastAsia="宋体"/>
          <w:kern w:val="0"/>
          <w:sz w:val="21"/>
          <w:szCs w:val="21"/>
        </w:rPr>
        <w:t>2.1</w:t>
      </w:r>
      <w:r>
        <w:rPr>
          <w:rFonts w:hint="eastAsia" w:ascii="宋体" w:hAnsi="宋体" w:eastAsia="宋体"/>
          <w:kern w:val="0"/>
          <w:sz w:val="21"/>
          <w:szCs w:val="21"/>
        </w:rPr>
        <w:t xml:space="preserve"> </w:t>
      </w:r>
      <w:r>
        <w:rPr>
          <w:rFonts w:ascii="宋体" w:hAnsi="宋体" w:eastAsia="宋体"/>
          <w:kern w:val="0"/>
          <w:sz w:val="21"/>
          <w:szCs w:val="21"/>
        </w:rPr>
        <w:t>基金基本情况</w:t>
      </w:r>
      <w:bookmarkEnd w:id="10"/>
      <w:bookmarkEnd w:id="11"/>
      <w:bookmarkEnd w:id="12"/>
      <w:bookmarkEnd w:id="13"/>
      <w:bookmarkEnd w:id="14"/>
      <w:bookmarkEnd w:id="15"/>
      <w:bookmarkEnd w:id="16"/>
      <w:bookmarkEnd w:id="17"/>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2"/>
        <w:gridCol w:w="2838"/>
        <w:gridCol w:w="3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3" w:type="dxa"/>
            <w:vAlign w:val="center"/>
          </w:tcPr>
          <w:p>
            <w:pPr>
              <w:adjustRightInd w:val="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基金简称</w:t>
            </w:r>
          </w:p>
        </w:tc>
        <w:tc>
          <w:tcPr>
            <w:tcW w:w="5918" w:type="dxa"/>
            <w:gridSpan w:val="2"/>
            <w:vAlign w:val="center"/>
          </w:tcPr>
          <w:p>
            <w:pPr>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博时港股通红利精选混合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3" w:type="dxa"/>
            <w:vAlign w:val="center"/>
          </w:tcPr>
          <w:p>
            <w:pPr>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基金全称</w:t>
            </w:r>
          </w:p>
        </w:tc>
        <w:tc>
          <w:tcPr>
            <w:tcW w:w="5918" w:type="dxa"/>
            <w:gridSpan w:val="2"/>
            <w:vAlign w:val="center"/>
          </w:tcPr>
          <w:p>
            <w:pPr>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博时港股通红利精选混合型发起式证券投资基金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3" w:type="dxa"/>
            <w:vAlign w:val="center"/>
          </w:tcPr>
          <w:p>
            <w:pPr>
              <w:adjustRightInd w:val="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基金主代码</w:t>
            </w:r>
          </w:p>
        </w:tc>
        <w:tc>
          <w:tcPr>
            <w:tcW w:w="5918" w:type="dxa"/>
            <w:gridSpan w:val="2"/>
            <w:tcBorders>
              <w:bottom w:val="single" w:color="auto" w:sz="4" w:space="0"/>
            </w:tcBorders>
            <w:vAlign w:val="center"/>
          </w:tcPr>
          <w:p>
            <w:pPr>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011647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3" w:type="dxa"/>
            <w:vAlign w:val="center"/>
          </w:tcPr>
          <w:p>
            <w:pPr>
              <w:adjustRightInd w:val="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基金运作方式</w:t>
            </w:r>
          </w:p>
        </w:tc>
        <w:tc>
          <w:tcPr>
            <w:tcW w:w="5918" w:type="dxa"/>
            <w:gridSpan w:val="2"/>
            <w:tcBorders>
              <w:top w:val="single" w:color="auto" w:sz="4" w:space="0"/>
            </w:tcBorders>
            <w:vAlign w:val="center"/>
          </w:tcPr>
          <w:p>
            <w:pPr>
              <w:adjustRightInd w:val="0"/>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契约型</w:t>
            </w:r>
            <w:r>
              <w:rPr>
                <w:color w:val="000000" w:themeColor="text1"/>
                <w:kern w:val="0"/>
                <w:szCs w:val="21"/>
                <w14:textFill>
                  <w14:solidFill>
                    <w14:schemeClr w14:val="tx1"/>
                  </w14:solidFill>
                </w14:textFill>
              </w:rPr>
              <w:t>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3" w:type="dxa"/>
            <w:vAlign w:val="center"/>
          </w:tcPr>
          <w:p>
            <w:pPr>
              <w:adjustRightInd w:val="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基金合同生效日</w:t>
            </w:r>
          </w:p>
        </w:tc>
        <w:tc>
          <w:tcPr>
            <w:tcW w:w="5918" w:type="dxa"/>
            <w:gridSpan w:val="2"/>
            <w:vAlign w:val="center"/>
          </w:tcPr>
          <w:p>
            <w:pPr>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2021年5月27日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3" w:type="dxa"/>
            <w:vAlign w:val="center"/>
          </w:tcPr>
          <w:p>
            <w:pPr>
              <w:adjustRightInd w:val="0"/>
              <w:rPr>
                <w:szCs w:val="21"/>
              </w:rPr>
            </w:pPr>
            <w:r>
              <w:rPr>
                <w:kern w:val="0"/>
                <w:szCs w:val="21"/>
              </w:rPr>
              <w:t>报告期末</w:t>
            </w:r>
            <w:r>
              <w:rPr>
                <w:rFonts w:hint="eastAsia"/>
                <w:kern w:val="0"/>
                <w:szCs w:val="21"/>
              </w:rPr>
              <w:t>（2024年6月5日）</w:t>
            </w:r>
            <w:r>
              <w:rPr>
                <w:kern w:val="0"/>
                <w:szCs w:val="21"/>
              </w:rPr>
              <w:t>基金份额总额</w:t>
            </w:r>
          </w:p>
        </w:tc>
        <w:tc>
          <w:tcPr>
            <w:tcW w:w="5918" w:type="dxa"/>
            <w:gridSpan w:val="2"/>
            <w:vAlign w:val="center"/>
          </w:tcPr>
          <w:p>
            <w:pPr>
              <w:adjustRightInd w:val="0"/>
              <w:rPr>
                <w:szCs w:val="21"/>
              </w:rPr>
            </w:pPr>
            <w:r>
              <w:rPr>
                <w:kern w:val="0"/>
                <w:szCs w:val="21"/>
              </w:rPr>
              <w:t>17,327,726.26份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3" w:type="dxa"/>
            <w:vAlign w:val="center"/>
          </w:tcPr>
          <w:p>
            <w:pPr>
              <w:adjustRightInd w:val="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基金管理人</w:t>
            </w:r>
          </w:p>
        </w:tc>
        <w:tc>
          <w:tcPr>
            <w:tcW w:w="5918" w:type="dxa"/>
            <w:gridSpan w:val="2"/>
            <w:vAlign w:val="center"/>
          </w:tcPr>
          <w:p>
            <w:pPr>
              <w:adjustRightInd w:val="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博时基金管理有限公司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3" w:type="dxa"/>
            <w:vAlign w:val="center"/>
          </w:tcPr>
          <w:p>
            <w:pPr>
              <w:adjustRightInd w:val="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基金托管人</w:t>
            </w:r>
          </w:p>
        </w:tc>
        <w:tc>
          <w:tcPr>
            <w:tcW w:w="5918" w:type="dxa"/>
            <w:gridSpan w:val="2"/>
            <w:vAlign w:val="center"/>
          </w:tcPr>
          <w:p>
            <w:pPr>
              <w:adjustRightInd w:val="0"/>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中信银行股份有限公司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3" w:type="dxa"/>
            <w:vAlign w:val="center"/>
          </w:tcPr>
          <w:p>
            <w:pPr>
              <w:adjustRightInd w:val="0"/>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下属分级基金的基金简称</w:t>
            </w:r>
          </w:p>
        </w:tc>
        <w:tc>
          <w:tcPr>
            <w:tcW w:w="2838" w:type="dxa"/>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博时港股通红利精选混合</w:t>
            </w:r>
            <w:r>
              <w:rPr>
                <w:color w:val="000000" w:themeColor="text1"/>
                <w:szCs w:val="21"/>
                <w14:textFill>
                  <w14:solidFill>
                    <w14:schemeClr w14:val="tx1"/>
                  </w14:solidFill>
                </w14:textFill>
              </w:rPr>
              <w:t>A</w:t>
            </w:r>
          </w:p>
        </w:tc>
        <w:tc>
          <w:tcPr>
            <w:tcW w:w="3080" w:type="dxa"/>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博时港股通红利精选混合</w:t>
            </w:r>
            <w:r>
              <w:rPr>
                <w:color w:val="000000" w:themeColor="text1"/>
                <w:szCs w:val="21"/>
                <w14:textFill>
                  <w14:solidFill>
                    <w14:schemeClr w14:val="tx1"/>
                  </w14:solidFill>
                </w14:textFill>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3" w:type="dxa"/>
            <w:vAlign w:val="center"/>
          </w:tcPr>
          <w:p>
            <w:r>
              <w:t>下属分级基金的交易代码</w:t>
            </w:r>
          </w:p>
        </w:tc>
        <w:tc>
          <w:tcPr>
            <w:tcW w:w="2838" w:type="dxa"/>
            <w:vAlign w:val="center"/>
          </w:tcPr>
          <w:p>
            <w:r>
              <w:rPr>
                <w:rFonts w:hint="eastAsia"/>
              </w:rPr>
              <w:t>011647</w:t>
            </w:r>
          </w:p>
        </w:tc>
        <w:tc>
          <w:tcPr>
            <w:tcW w:w="3080" w:type="dxa"/>
            <w:vAlign w:val="center"/>
          </w:tcPr>
          <w:p>
            <w:r>
              <w:rPr>
                <w:rFonts w:hint="eastAsia"/>
              </w:rPr>
              <w:t>011648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03" w:type="dxa"/>
            <w:vAlign w:val="center"/>
          </w:tcPr>
          <w:p>
            <w:pPr>
              <w:adjustRightIn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报告期末下属分级基金的份额总额</w:t>
            </w:r>
          </w:p>
        </w:tc>
        <w:tc>
          <w:tcPr>
            <w:tcW w:w="2838" w:type="dxa"/>
            <w:vAlign w:val="center"/>
          </w:tcPr>
          <w:p>
            <w:pP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13,320,614.02份</w:t>
            </w:r>
          </w:p>
        </w:tc>
        <w:tc>
          <w:tcPr>
            <w:tcW w:w="3080" w:type="dxa"/>
            <w:vAlign w:val="center"/>
          </w:tcPr>
          <w:p>
            <w:pP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4,007,112.24份</w:t>
            </w:r>
          </w:p>
        </w:tc>
      </w:tr>
    </w:tbl>
    <w:p>
      <w:pPr>
        <w:pStyle w:val="22"/>
        <w:rPr>
          <w:rFonts w:ascii="宋体" w:hAnsi="宋体"/>
          <w:sz w:val="21"/>
          <w:szCs w:val="21"/>
        </w:rPr>
      </w:pPr>
      <w:bookmarkStart w:id="18" w:name="_Toc491184118"/>
      <w:bookmarkStart w:id="19" w:name="_Toc482092221"/>
      <w:bookmarkStart w:id="20" w:name="_Toc390421230"/>
      <w:bookmarkStart w:id="21" w:name="_Toc491963081"/>
      <w:r>
        <w:rPr>
          <w:rFonts w:ascii="宋体" w:hAnsi="宋体"/>
          <w:sz w:val="21"/>
          <w:szCs w:val="21"/>
        </w:rPr>
        <w:t>2.2 基金产品说明</w:t>
      </w:r>
      <w:bookmarkEnd w:id="18"/>
      <w:bookmarkEnd w:id="19"/>
      <w:bookmarkEnd w:id="20"/>
      <w:bookmarkEnd w:id="21"/>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6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10" w:type="dxa"/>
            <w:vAlign w:val="center"/>
          </w:tcPr>
          <w:p>
            <w:pPr>
              <w:adjustRightInd w:val="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投资目标</w:t>
            </w:r>
          </w:p>
        </w:tc>
        <w:tc>
          <w:tcPr>
            <w:tcW w:w="5986" w:type="dxa"/>
            <w:vAlign w:val="center"/>
          </w:tcPr>
          <w:p>
            <w:pPr>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本基金主要投资于境内市场和香港市场的股票，在深入研究的基础上，精选股息率较高、分红稳定的优质上市公司进行投资，在严格控制风险的前提下，追求超越业绩比较基准的投资回报。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10" w:type="dxa"/>
            <w:vAlign w:val="center"/>
          </w:tcPr>
          <w:p>
            <w:pPr>
              <w:adjustRightInd w:val="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投资策略</w:t>
            </w:r>
          </w:p>
        </w:tc>
        <w:tc>
          <w:tcPr>
            <w:tcW w:w="5986" w:type="dxa"/>
            <w:vAlign w:val="center"/>
          </w:tcPr>
          <w:p>
            <w:pPr>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本基金的投资策略主要</w:t>
            </w:r>
            <w:r>
              <w:rPr>
                <w:rFonts w:hint="eastAsia"/>
                <w:color w:val="000000" w:themeColor="text1"/>
                <w:kern w:val="0"/>
                <w:szCs w:val="21"/>
                <w:lang w:eastAsia="zh-CN"/>
                <w14:textFill>
                  <w14:solidFill>
                    <w14:schemeClr w14:val="tx1"/>
                  </w14:solidFill>
                </w14:textFill>
              </w:rPr>
              <w:t>包括大</w:t>
            </w:r>
            <w:r>
              <w:rPr>
                <w:rFonts w:hint="eastAsia"/>
                <w:color w:val="000000" w:themeColor="text1"/>
                <w:kern w:val="0"/>
                <w:szCs w:val="21"/>
                <w14:textFill>
                  <w14:solidFill>
                    <w14:schemeClr w14:val="tx1"/>
                  </w14:solidFill>
                </w14:textFill>
              </w:rPr>
              <w:t>类资产配置策略、股票投资策略、以及其他资产投资策略三个部分。其中，大类资产配置策略通过跟踪考量宏观经济变量（包括GDP增长率、CPI 走势、M2的绝对水平和增长率、利率水平与走势、外汇占款等）及国家财政、税收、货币、汇率各项政策，判断经济周期当前所处的位置及未来发展方向，</w:t>
            </w:r>
            <w:r>
              <w:rPr>
                <w:color w:val="000000" w:themeColor="text1"/>
                <w:kern w:val="0"/>
                <w:szCs w:val="21"/>
                <w14:textFill>
                  <w14:solidFill>
                    <w14:schemeClr w14:val="tx1"/>
                  </w14:solidFill>
                </w14:textFill>
              </w:rPr>
              <w:t>并</w:t>
            </w:r>
            <w:r>
              <w:rPr>
                <w:rFonts w:hint="eastAsia"/>
                <w:color w:val="000000" w:themeColor="text1"/>
                <w:kern w:val="0"/>
                <w:szCs w:val="21"/>
                <w14:textFill>
                  <w14:solidFill>
                    <w14:schemeClr w14:val="tx1"/>
                  </w14:solidFill>
                </w14:textFill>
              </w:rPr>
              <w:t>通过监测重要行业的产能利用与经济景气轮动研究，调整股票资产和固定收益资产的配置比例；股票投资策略包括红利精选主题股票投资策略和个股投资策略，本基金将以股票历史股息率为主要选股因子，同时兼顾其未来盈利预测和分红计划可能实现的股利支付率，构建高股息基础股票池，在此基础上结合宏观经济和行业景气度，以及个股的基本面情况进行板块配置与精选个股。通过股息率因子构建的基础股票池，一般具有低估值、低波动、高盈利等风格特征；其他投资策略包括固定收益品种投资策略、资产支持证券投资策略、衍生品投资策略、流通受限证券投资策略、参与融资业务的投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10" w:type="dxa"/>
            <w:vAlign w:val="center"/>
          </w:tcPr>
          <w:p>
            <w:pPr>
              <w:adjustRightInd w:val="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业绩比较基准</w:t>
            </w:r>
          </w:p>
        </w:tc>
        <w:tc>
          <w:tcPr>
            <w:tcW w:w="5986" w:type="dxa"/>
            <w:vAlign w:val="center"/>
          </w:tcPr>
          <w:p>
            <w:pPr>
              <w:adjustRightInd w:val="0"/>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中证港股通高股息投资指数(CNY)收益率*65%+中证红利指数收益率*15%+中债综合财富（总值）指数收益率×20%。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2310" w:type="dxa"/>
            <w:vAlign w:val="center"/>
          </w:tcPr>
          <w:p>
            <w:pPr>
              <w:adjustRightInd w:val="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风险收益特征</w:t>
            </w:r>
          </w:p>
        </w:tc>
        <w:tc>
          <w:tcPr>
            <w:tcW w:w="5986" w:type="dxa"/>
            <w:vAlign w:val="center"/>
          </w:tcPr>
          <w:p>
            <w:pPr>
              <w:pStyle w:val="11"/>
              <w:spacing w:before="0" w:beforeAutospacing="0" w:after="0" w:afterAutospacing="0"/>
              <w:rPr>
                <w:color w:val="000000" w:themeColor="text1"/>
                <w:szCs w:val="21"/>
                <w:lang w:eastAsia="zh-CN"/>
                <w14:textFill>
                  <w14:solidFill>
                    <w14:schemeClr w14:val="tx1"/>
                  </w14:solidFill>
                </w14:textFill>
              </w:rPr>
            </w:pPr>
            <w:r>
              <w:rPr>
                <w:rFonts w:hint="eastAsia" w:ascii="Times New Roman" w:hAnsi="Times New Roman" w:eastAsia="宋体" w:cs="Times New Roman"/>
                <w:kern w:val="2"/>
                <w:sz w:val="21"/>
                <w:szCs w:val="21"/>
                <w:lang w:val="en-US" w:eastAsia="zh-CN"/>
              </w:rPr>
              <w:t xml:space="preserve">本基金是混合型证券投资基金，其预期收益和预期风险水平高于债券型基金产品和货币市场基金，低于股票型基金。除了需要承担与境内证券投资基金类似的市场波动风险等一般投资风险之外，本基金还面临汇率风险、香港市场风险等境外证券市场投资所面临的特别投资风险。 </w:t>
            </w:r>
            <w:bookmarkStart w:id="22" w:name="field_60_riskyield_1_end"/>
            <w:bookmarkEnd w:id="22"/>
            <w:r>
              <w:rPr>
                <w:rFonts w:hint="eastAsia" w:ascii="Times New Roman" w:hAnsi="Times New Roman" w:eastAsia="宋体" w:cs="Times New Roman"/>
                <w:kern w:val="2"/>
                <w:sz w:val="21"/>
                <w:szCs w:val="21"/>
                <w:lang w:val="en-US" w:eastAsia="zh-CN"/>
              </w:rPr>
              <w:t xml:space="preserve">  </w:t>
            </w:r>
          </w:p>
        </w:tc>
      </w:tr>
    </w:tbl>
    <w:p>
      <w:pPr>
        <w:pStyle w:val="2"/>
        <w:keepNext/>
        <w:keepLines/>
        <w:widowControl w:val="0"/>
        <w:spacing w:before="312" w:beforeLines="100" w:after="312" w:afterLines="100" w:line="360" w:lineRule="auto"/>
        <w:jc w:val="center"/>
        <w:rPr>
          <w:rStyle w:val="20"/>
          <w:rFonts w:ascii="宋体" w:hAnsi="宋体"/>
          <w:b w:val="0"/>
        </w:rPr>
      </w:pPr>
      <w:bookmarkStart w:id="23" w:name="_Toc409100412"/>
      <w:bookmarkStart w:id="24" w:name="_Toc361324850"/>
      <w:bookmarkStart w:id="25" w:name="_Toc225498250"/>
      <w:bookmarkStart w:id="26" w:name="_Toc409100049"/>
      <w:bookmarkStart w:id="27" w:name="_Toc491963082"/>
      <w:bookmarkStart w:id="28" w:name="_Toc484769799"/>
      <w:r>
        <w:rPr>
          <w:rStyle w:val="20"/>
          <w:rFonts w:ascii="宋体" w:hAnsi="宋体"/>
        </w:rPr>
        <w:t>3</w:t>
      </w:r>
      <w:bookmarkEnd w:id="23"/>
      <w:bookmarkEnd w:id="24"/>
      <w:bookmarkEnd w:id="25"/>
      <w:bookmarkEnd w:id="26"/>
      <w:r>
        <w:rPr>
          <w:rStyle w:val="20"/>
          <w:rFonts w:hint="eastAsia" w:ascii="宋体" w:hAnsi="宋体"/>
        </w:rPr>
        <w:t>、基金运作情况说明</w:t>
      </w:r>
      <w:bookmarkEnd w:id="27"/>
      <w:bookmarkEnd w:id="28"/>
    </w:p>
    <w:p>
      <w:pPr>
        <w:pStyle w:val="24"/>
      </w:pPr>
      <w:r>
        <w:rPr>
          <w:rFonts w:hint="eastAsia"/>
          <w:lang w:eastAsia="zh-CN"/>
        </w:rPr>
        <w:t>本基金</w:t>
      </w:r>
      <w:r>
        <w:rPr>
          <w:rFonts w:hint="eastAsia"/>
        </w:rPr>
        <w:t>经中国证监会证监许可[2020]2024号《关于准予博时港股通红利精选混合型发起式证券投资基金注册的批复》注册，由博时基金管理有限公司依照《中华人民共和国证券投资基金法》和《基金合同》负责公开募集。基金合同于2021年5月27日正式生效，基金合同生效日的基金份额总额为</w:t>
      </w:r>
      <w:r>
        <w:t>17,464,095.48</w:t>
      </w:r>
      <w:r>
        <w:rPr>
          <w:rFonts w:hint="eastAsia"/>
        </w:rPr>
        <w:t>份基金份额，其中认购资金利息折合8,994.00份基金份额。</w:t>
      </w:r>
    </w:p>
    <w:p>
      <w:pPr>
        <w:pStyle w:val="24"/>
      </w:pPr>
      <w:r>
        <w:rPr>
          <w:rFonts w:hint="eastAsia"/>
        </w:rPr>
        <w:t>自2021年5月27日至2024年5月27日期间，本基金按基金合同正常运作。</w:t>
      </w:r>
    </w:p>
    <w:p>
      <w:pPr>
        <w:pStyle w:val="24"/>
        <w:rPr>
          <w:rFonts w:ascii="Arial" w:hAnsi="Arial" w:cs="Arial"/>
        </w:rPr>
      </w:pPr>
      <w:r>
        <w:rPr>
          <w:rFonts w:hint="eastAsia"/>
        </w:rPr>
        <w:t>根据《博时港股通红利精选混合型发起式证券投资基金基金合同》以及基金管理人博时基金管理有限公司于2024年5月28日发布的《</w:t>
      </w:r>
      <w:r>
        <w:rPr>
          <w:rFonts w:hint="eastAsia"/>
          <w:lang w:eastAsia="zh-CN"/>
        </w:rPr>
        <w:t>博时基金管理有限公司关于博时港股通红利精选混合型发起式证券投资基金合同终止及基金财产清算的公告</w:t>
      </w:r>
      <w:r>
        <w:rPr>
          <w:rFonts w:hint="eastAsia"/>
        </w:rPr>
        <w:t>》，本基金基金合同生效日为2021年5月27日，基金合同生效之日起三年后的对应日为2024年5月27日</w:t>
      </w:r>
      <w:r>
        <w:rPr>
          <w:rFonts w:hint="eastAsia"/>
          <w:lang w:eastAsia="zh-CN"/>
        </w:rPr>
        <w:t>，</w:t>
      </w:r>
      <w:r>
        <w:rPr>
          <w:rFonts w:hint="eastAsia"/>
        </w:rPr>
        <w:t>截至2024年5月27日，本基金资产净值低于两亿元，已触发基金合同中约定的基金终止条款。根据基金合同有关约定，本基金将根据《基金合同》约定进入清算程序并终止，且无需召开基金份额持有人大会。本基金的最后运作日为2024年5月27日，自2024年5月28日起进入清算程序。</w:t>
      </w:r>
    </w:p>
    <w:p>
      <w:pPr>
        <w:pStyle w:val="2"/>
        <w:keepNext/>
        <w:keepLines/>
        <w:widowControl w:val="0"/>
        <w:spacing w:before="312" w:beforeLines="100" w:after="312" w:afterLines="100" w:line="360" w:lineRule="auto"/>
        <w:jc w:val="center"/>
        <w:rPr>
          <w:rStyle w:val="20"/>
          <w:rFonts w:ascii="宋体" w:hAnsi="宋体"/>
        </w:rPr>
      </w:pPr>
      <w:bookmarkStart w:id="29" w:name="_Toc491963083"/>
      <w:bookmarkStart w:id="30" w:name="_Toc484769805"/>
      <w:r>
        <w:rPr>
          <w:rStyle w:val="20"/>
          <w:rFonts w:hint="eastAsia" w:ascii="宋体" w:hAnsi="宋体"/>
        </w:rPr>
        <w:t>4、财务报告</w:t>
      </w:r>
      <w:bookmarkEnd w:id="29"/>
      <w:bookmarkEnd w:id="30"/>
    </w:p>
    <w:p>
      <w:pPr>
        <w:pStyle w:val="3"/>
        <w:spacing w:before="0" w:after="0"/>
        <w:rPr>
          <w:rFonts w:ascii="宋体" w:hAnsi="宋体" w:eastAsia="宋体"/>
          <w:kern w:val="0"/>
          <w:sz w:val="21"/>
          <w:szCs w:val="21"/>
        </w:rPr>
      </w:pPr>
      <w:bookmarkStart w:id="31" w:name="_Toc409100437"/>
      <w:bookmarkStart w:id="32" w:name="_Toc491963084"/>
      <w:bookmarkStart w:id="33" w:name="_Toc476577275"/>
      <w:bookmarkStart w:id="34" w:name="_Toc409100074"/>
      <w:bookmarkStart w:id="35" w:name="_Toc225498268"/>
      <w:bookmarkStart w:id="36" w:name="_Toc483396838"/>
      <w:bookmarkStart w:id="37" w:name="_Toc484607311"/>
      <w:bookmarkStart w:id="38" w:name="_Toc484769806"/>
      <w:bookmarkStart w:id="39" w:name="_Toc361324873"/>
      <w:r>
        <w:rPr>
          <w:rFonts w:hint="eastAsia" w:ascii="宋体" w:hAnsi="宋体" w:eastAsia="宋体"/>
          <w:kern w:val="0"/>
          <w:sz w:val="21"/>
          <w:szCs w:val="21"/>
        </w:rPr>
        <w:t>4</w:t>
      </w:r>
      <w:r>
        <w:rPr>
          <w:rFonts w:ascii="宋体" w:hAnsi="宋体" w:eastAsia="宋体"/>
          <w:kern w:val="0"/>
          <w:sz w:val="21"/>
          <w:szCs w:val="21"/>
        </w:rPr>
        <w:t>.1 资产负债表</w:t>
      </w:r>
      <w:bookmarkEnd w:id="31"/>
      <w:bookmarkEnd w:id="32"/>
      <w:bookmarkEnd w:id="33"/>
      <w:bookmarkEnd w:id="34"/>
      <w:bookmarkEnd w:id="35"/>
      <w:bookmarkEnd w:id="36"/>
      <w:bookmarkEnd w:id="37"/>
      <w:bookmarkEnd w:id="38"/>
      <w:bookmarkEnd w:id="39"/>
      <w:r>
        <w:rPr>
          <w:rFonts w:hint="eastAsia" w:ascii="宋体" w:hAnsi="宋体" w:eastAsia="宋体"/>
          <w:kern w:val="0"/>
          <w:sz w:val="21"/>
          <w:szCs w:val="21"/>
        </w:rPr>
        <w:t>(已经审计)</w:t>
      </w:r>
    </w:p>
    <w:p>
      <w:pPr>
        <w:autoSpaceDE w:val="0"/>
        <w:autoSpaceDN w:val="0"/>
        <w:adjustRightInd w:val="0"/>
        <w:spacing w:before="29" w:line="360" w:lineRule="auto"/>
        <w:ind w:left="15"/>
        <w:jc w:val="right"/>
        <w:rPr>
          <w:rFonts w:ascii="宋体" w:hAnsi="宋体"/>
          <w:color w:val="000000"/>
          <w:kern w:val="0"/>
          <w:szCs w:val="21"/>
        </w:rPr>
      </w:pPr>
      <w:r>
        <w:rPr>
          <w:rFonts w:ascii="宋体" w:hAnsi="宋体"/>
          <w:color w:val="000000"/>
          <w:kern w:val="0"/>
          <w:szCs w:val="21"/>
        </w:rPr>
        <w:t>单位：人民币元</w:t>
      </w:r>
    </w:p>
    <w:tbl>
      <w:tblPr>
        <w:tblStyle w:val="13"/>
        <w:tblW w:w="8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5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center"/>
          </w:tcPr>
          <w:p>
            <w:pPr>
              <w:spacing w:before="100" w:beforeAutospacing="1" w:after="100" w:afterAutospacing="1"/>
              <w:jc w:val="center"/>
              <w:rPr>
                <w:rFonts w:ascii="Arial" w:hAnsi="Arial" w:cs="Arial"/>
                <w:b/>
                <w:bCs/>
                <w:sz w:val="24"/>
              </w:rPr>
            </w:pPr>
            <w:r>
              <w:rPr>
                <w:rFonts w:ascii="Arial" w:hAnsi="Arial" w:cs="Arial"/>
                <w:b/>
                <w:bCs/>
                <w:sz w:val="24"/>
              </w:rPr>
              <w:t>资产</w:t>
            </w:r>
          </w:p>
        </w:tc>
        <w:tc>
          <w:tcPr>
            <w:tcW w:w="5584" w:type="dxa"/>
            <w:shd w:val="clear" w:color="auto" w:fill="auto"/>
            <w:vAlign w:val="center"/>
          </w:tcPr>
          <w:p>
            <w:pPr>
              <w:ind w:left="-114" w:right="-87"/>
              <w:jc w:val="center"/>
              <w:rPr>
                <w:rFonts w:ascii="Arial" w:hAnsi="Arial" w:cs="Arial"/>
                <w:b/>
                <w:bCs/>
                <w:color w:val="000000"/>
                <w:sz w:val="24"/>
              </w:rPr>
            </w:pPr>
            <w:r>
              <w:rPr>
                <w:rFonts w:ascii="Arial" w:hAnsi="Arial" w:cs="Arial"/>
                <w:b/>
                <w:bCs/>
                <w:color w:val="000000"/>
                <w:sz w:val="24"/>
              </w:rPr>
              <w:t>本期末</w:t>
            </w:r>
          </w:p>
          <w:p>
            <w:pPr>
              <w:ind w:left="-114" w:right="-87"/>
              <w:jc w:val="center"/>
              <w:rPr>
                <w:rFonts w:ascii="Arial" w:hAnsi="Arial" w:cs="Arial"/>
                <w:b/>
                <w:bCs/>
                <w:color w:val="000000"/>
                <w:sz w:val="24"/>
              </w:rPr>
            </w:pPr>
            <w:r>
              <w:rPr>
                <w:rFonts w:hint="eastAsia" w:ascii="Arial" w:hAnsi="Arial" w:cs="Arial"/>
                <w:b/>
                <w:bCs/>
                <w:color w:val="000000"/>
                <w:sz w:val="24"/>
              </w:rPr>
              <w:t>2024年5月27日</w:t>
            </w:r>
          </w:p>
          <w:p>
            <w:pPr>
              <w:ind w:left="-114" w:right="-87"/>
              <w:jc w:val="center"/>
              <w:rPr>
                <w:rFonts w:ascii="Arial" w:hAnsi="Arial" w:cs="Arial"/>
                <w:b/>
                <w:bCs/>
                <w:color w:val="000000"/>
                <w:sz w:val="24"/>
              </w:rPr>
            </w:pPr>
            <w:r>
              <w:rPr>
                <w:rFonts w:ascii="Arial" w:hAnsi="Arial" w:cs="Arial"/>
                <w:b/>
                <w:bCs/>
                <w:color w:val="000000"/>
                <w:sz w:val="24"/>
              </w:rPr>
              <w:t>(基金</w:t>
            </w:r>
            <w:r>
              <w:rPr>
                <w:rFonts w:hint="eastAsia" w:ascii="Arial" w:hAnsi="Arial" w:cs="Arial"/>
                <w:b/>
                <w:bCs/>
                <w:color w:val="000000"/>
                <w:sz w:val="24"/>
              </w:rPr>
              <w:t>最后运作</w:t>
            </w:r>
            <w:r>
              <w:rPr>
                <w:rFonts w:ascii="Arial" w:hAnsi="Arial" w:cs="Arial"/>
                <w:b/>
                <w:bCs/>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b/>
                <w:bCs/>
                <w:sz w:val="24"/>
              </w:rPr>
            </w:pPr>
            <w:r>
              <w:rPr>
                <w:rFonts w:ascii="Arial" w:hAnsi="Arial" w:cs="Arial"/>
                <w:b/>
                <w:bCs/>
                <w:sz w:val="24"/>
              </w:rPr>
              <w:t>资产：</w:t>
            </w:r>
          </w:p>
        </w:tc>
        <w:tc>
          <w:tcPr>
            <w:tcW w:w="5584" w:type="dxa"/>
            <w:shd w:val="clear" w:color="auto" w:fill="auto"/>
            <w:vAlign w:val="bottom"/>
          </w:tcPr>
          <w:p>
            <w:pPr>
              <w:spacing w:before="100" w:beforeAutospacing="1" w:after="100" w:afterAutospacing="1"/>
              <w:ind w:left="-72"/>
              <w:jc w:val="righ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sz w:val="24"/>
              </w:rPr>
            </w:pPr>
            <w:r>
              <w:rPr>
                <w:rFonts w:ascii="Arial" w:hAnsi="Arial" w:cs="Arial"/>
                <w:sz w:val="24"/>
              </w:rPr>
              <w:t>银行存款</w:t>
            </w:r>
          </w:p>
        </w:tc>
        <w:tc>
          <w:tcPr>
            <w:tcW w:w="5584" w:type="dxa"/>
            <w:shd w:val="clear" w:color="auto" w:fill="auto"/>
            <w:vAlign w:val="bottom"/>
          </w:tcPr>
          <w:p>
            <w:pPr>
              <w:ind w:left="-72"/>
              <w:jc w:val="right"/>
              <w:rPr>
                <w:rFonts w:ascii="Arial" w:hAnsi="Arial" w:cs="Arial"/>
                <w:color w:val="000000"/>
                <w:sz w:val="24"/>
              </w:rPr>
            </w:pPr>
            <w:bookmarkStart w:id="40" w:name="OLE_LINK1"/>
            <w:r>
              <w:rPr>
                <w:rFonts w:hint="eastAsia" w:ascii="Arial" w:hAnsi="Arial" w:cs="Arial"/>
                <w:color w:val="000000"/>
                <w:sz w:val="24"/>
              </w:rPr>
              <w:t>8,321,181.23</w:t>
            </w:r>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sz w:val="24"/>
              </w:rPr>
            </w:pPr>
            <w:r>
              <w:rPr>
                <w:rFonts w:ascii="Arial" w:hAnsi="Arial" w:cs="Arial"/>
                <w:sz w:val="24"/>
              </w:rPr>
              <w:t>结算备付金</w:t>
            </w:r>
          </w:p>
        </w:tc>
        <w:tc>
          <w:tcPr>
            <w:tcW w:w="5584" w:type="dxa"/>
            <w:shd w:val="clear" w:color="auto" w:fill="auto"/>
            <w:vAlign w:val="bottom"/>
          </w:tcPr>
          <w:p>
            <w:pPr>
              <w:ind w:left="-72"/>
              <w:jc w:val="right"/>
              <w:rPr>
                <w:rFonts w:ascii="Arial" w:hAnsi="Arial" w:cs="Arial"/>
                <w:color w:val="000000"/>
                <w:sz w:val="24"/>
              </w:rPr>
            </w:pPr>
            <w:r>
              <w:rPr>
                <w:rFonts w:hint="eastAsia" w:ascii="Arial" w:hAnsi="Arial" w:cs="Arial"/>
                <w:color w:val="000000"/>
                <w:sz w:val="24"/>
              </w:rPr>
              <w:t>3,072,713.63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sz w:val="24"/>
              </w:rPr>
            </w:pPr>
            <w:r>
              <w:rPr>
                <w:rFonts w:hint="eastAsia" w:ascii="Arial" w:hAnsi="Arial" w:cs="Arial"/>
                <w:sz w:val="24"/>
              </w:rPr>
              <w:t>存出保证金</w:t>
            </w:r>
          </w:p>
        </w:tc>
        <w:tc>
          <w:tcPr>
            <w:tcW w:w="5584" w:type="dxa"/>
            <w:shd w:val="clear" w:color="auto" w:fill="auto"/>
            <w:vAlign w:val="center"/>
          </w:tcPr>
          <w:p>
            <w:pPr>
              <w:ind w:left="-72"/>
              <w:jc w:val="right"/>
              <w:rPr>
                <w:rFonts w:ascii="Arial" w:hAnsi="Arial" w:cs="Arial"/>
                <w:color w:val="000000"/>
                <w:sz w:val="24"/>
              </w:rPr>
            </w:pPr>
            <w:r>
              <w:rPr>
                <w:rFonts w:hint="eastAsia" w:ascii="Arial" w:hAnsi="Arial" w:cs="Arial"/>
                <w:color w:val="000000"/>
                <w:sz w:val="24"/>
              </w:rPr>
              <w:t>7,105.17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sz w:val="24"/>
              </w:rPr>
            </w:pPr>
            <w:r>
              <w:rPr>
                <w:rFonts w:ascii="Arial" w:hAnsi="Arial" w:cs="Arial"/>
                <w:sz w:val="24"/>
              </w:rPr>
              <w:t>交易性金融资产</w:t>
            </w:r>
          </w:p>
        </w:tc>
        <w:tc>
          <w:tcPr>
            <w:tcW w:w="5584" w:type="dxa"/>
            <w:shd w:val="clear" w:color="auto" w:fill="auto"/>
          </w:tcPr>
          <w:p>
            <w:pPr>
              <w:ind w:left="-72"/>
              <w:jc w:val="right"/>
              <w:rPr>
                <w:rFonts w:ascii="Arial" w:hAnsi="Arial" w:cs="Arial"/>
                <w:color w:val="000000"/>
                <w:sz w:val="24"/>
              </w:rPr>
            </w:pPr>
            <w:r>
              <w:rPr>
                <w:rFonts w:hint="eastAsia" w:ascii="Arial" w:hAnsi="Arial" w:cs="Arial"/>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sz w:val="24"/>
              </w:rPr>
            </w:pPr>
            <w:r>
              <w:rPr>
                <w:rFonts w:hint="eastAsia" w:ascii="Arial" w:hAnsi="Arial" w:cs="Arial"/>
                <w:sz w:val="24"/>
              </w:rPr>
              <w:t>应收股利</w:t>
            </w:r>
          </w:p>
        </w:tc>
        <w:tc>
          <w:tcPr>
            <w:tcW w:w="5584" w:type="dxa"/>
            <w:shd w:val="clear" w:color="auto" w:fill="auto"/>
            <w:vAlign w:val="center"/>
          </w:tcPr>
          <w:p>
            <w:pPr>
              <w:ind w:left="-72"/>
              <w:jc w:val="right"/>
              <w:rPr>
                <w:rFonts w:ascii="Arial" w:hAnsi="Arial" w:cs="Arial"/>
                <w:color w:val="000000"/>
                <w:sz w:val="24"/>
              </w:rPr>
            </w:pPr>
            <w:r>
              <w:rPr>
                <w:rFonts w:hint="eastAsia" w:ascii="Arial" w:hAnsi="Arial" w:cs="Arial"/>
                <w:color w:val="000000"/>
                <w:sz w:val="24"/>
              </w:rPr>
              <w:t>6,038.38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sz w:val="24"/>
              </w:rPr>
            </w:pPr>
            <w:r>
              <w:rPr>
                <w:rFonts w:hint="eastAsia" w:ascii="Arial" w:hAnsi="Arial" w:cs="Arial"/>
                <w:sz w:val="24"/>
              </w:rPr>
              <w:t>应收申购款</w:t>
            </w:r>
          </w:p>
        </w:tc>
        <w:tc>
          <w:tcPr>
            <w:tcW w:w="5584" w:type="dxa"/>
            <w:shd w:val="clear" w:color="auto" w:fill="auto"/>
            <w:vAlign w:val="center"/>
          </w:tcPr>
          <w:p>
            <w:pPr>
              <w:ind w:left="-72"/>
              <w:jc w:val="right"/>
              <w:rPr>
                <w:rFonts w:ascii="Arial" w:hAnsi="Arial" w:cs="Arial"/>
                <w:color w:val="000000"/>
                <w:sz w:val="24"/>
              </w:rPr>
            </w:pPr>
            <w:r>
              <w:rPr>
                <w:rFonts w:hint="eastAsia" w:ascii="Arial" w:hAnsi="Arial" w:cs="Arial"/>
                <w:color w:val="000000"/>
                <w:sz w:val="24"/>
              </w:rPr>
              <w:t>149,146.66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sz w:val="24"/>
              </w:rPr>
            </w:pPr>
            <w:r>
              <w:rPr>
                <w:rFonts w:hint="eastAsia" w:ascii="Arial" w:hAnsi="Arial" w:cs="Arial"/>
                <w:sz w:val="24"/>
              </w:rPr>
              <w:t>应收清算款</w:t>
            </w:r>
          </w:p>
        </w:tc>
        <w:tc>
          <w:tcPr>
            <w:tcW w:w="5584" w:type="dxa"/>
            <w:shd w:val="clear" w:color="auto" w:fill="auto"/>
            <w:vAlign w:val="center"/>
          </w:tcPr>
          <w:p>
            <w:pPr>
              <w:ind w:left="-72"/>
              <w:jc w:val="right"/>
              <w:rPr>
                <w:rFonts w:ascii="Arial" w:hAnsi="Arial" w:cs="Arial"/>
                <w:color w:val="000000"/>
                <w:sz w:val="24"/>
              </w:rPr>
            </w:pPr>
            <w:r>
              <w:rPr>
                <w:rFonts w:hint="eastAsia" w:ascii="Arial" w:hAnsi="Arial" w:cs="Arial"/>
                <w:color w:val="000000"/>
                <w:sz w:val="24"/>
              </w:rPr>
              <w:t>6,902,854.27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b/>
                <w:bCs/>
                <w:sz w:val="24"/>
              </w:rPr>
            </w:pPr>
            <w:r>
              <w:rPr>
                <w:rFonts w:ascii="Arial" w:hAnsi="Arial" w:cs="Arial"/>
                <w:b/>
                <w:bCs/>
                <w:sz w:val="24"/>
              </w:rPr>
              <w:t>资产总计</w:t>
            </w:r>
          </w:p>
        </w:tc>
        <w:tc>
          <w:tcPr>
            <w:tcW w:w="5584" w:type="dxa"/>
            <w:shd w:val="clear" w:color="auto" w:fill="auto"/>
            <w:vAlign w:val="center"/>
          </w:tcPr>
          <w:p>
            <w:pPr>
              <w:ind w:left="-72"/>
              <w:jc w:val="right"/>
              <w:rPr>
                <w:rFonts w:ascii="Arial" w:hAnsi="Arial" w:cs="Arial"/>
                <w:color w:val="000000"/>
                <w:sz w:val="24"/>
              </w:rPr>
            </w:pPr>
            <w:r>
              <w:rPr>
                <w:rFonts w:hint="eastAsia" w:ascii="Arial" w:hAnsi="Arial" w:cs="Arial"/>
                <w:color w:val="000000"/>
                <w:sz w:val="24"/>
              </w:rPr>
              <w:t>18,459,039.34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b/>
                <w:bCs/>
                <w:sz w:val="24"/>
              </w:rPr>
            </w:pPr>
            <w:r>
              <w:rPr>
                <w:rFonts w:ascii="Arial" w:hAnsi="Arial" w:cs="Arial"/>
                <w:b/>
                <w:bCs/>
                <w:sz w:val="24"/>
              </w:rPr>
              <w:t>负债：</w:t>
            </w:r>
          </w:p>
        </w:tc>
        <w:tc>
          <w:tcPr>
            <w:tcW w:w="5584" w:type="dxa"/>
            <w:shd w:val="clear" w:color="auto" w:fill="auto"/>
            <w:vAlign w:val="bottom"/>
          </w:tcPr>
          <w:p>
            <w:pPr>
              <w:ind w:left="-72"/>
              <w:jc w:val="right"/>
              <w:rPr>
                <w:rFonts w:ascii="Arial" w:hAnsi="Arial"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b/>
                <w:bCs/>
                <w:sz w:val="24"/>
              </w:rPr>
            </w:pPr>
            <w:r>
              <w:rPr>
                <w:rFonts w:hint="eastAsia" w:ascii="Arial" w:hAnsi="Arial" w:cs="Arial"/>
                <w:sz w:val="24"/>
              </w:rPr>
              <w:t>应付清算款</w:t>
            </w:r>
          </w:p>
        </w:tc>
        <w:tc>
          <w:tcPr>
            <w:tcW w:w="5584" w:type="dxa"/>
            <w:shd w:val="clear" w:color="auto" w:fill="auto"/>
            <w:vAlign w:val="bottom"/>
          </w:tcPr>
          <w:p>
            <w:pPr>
              <w:ind w:left="-72"/>
              <w:jc w:val="right"/>
              <w:rPr>
                <w:rFonts w:ascii="Arial" w:hAnsi="Arial" w:cs="Arial"/>
                <w:color w:val="000000"/>
                <w:sz w:val="24"/>
              </w:rPr>
            </w:pPr>
            <w:r>
              <w:rPr>
                <w:rFonts w:hint="eastAsia" w:ascii="Arial" w:hAnsi="Arial" w:cs="Arial"/>
                <w:color w:val="000000"/>
                <w:sz w:val="24"/>
              </w:rPr>
              <w:t>175.64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sz w:val="24"/>
              </w:rPr>
            </w:pPr>
            <w:r>
              <w:rPr>
                <w:rFonts w:ascii="Arial" w:hAnsi="Arial" w:cs="Arial"/>
                <w:sz w:val="24"/>
              </w:rPr>
              <w:t>应付赎回款</w:t>
            </w:r>
          </w:p>
        </w:tc>
        <w:tc>
          <w:tcPr>
            <w:tcW w:w="5584" w:type="dxa"/>
            <w:shd w:val="clear" w:color="auto" w:fill="auto"/>
            <w:vAlign w:val="center"/>
          </w:tcPr>
          <w:p>
            <w:pPr>
              <w:ind w:left="-72"/>
              <w:jc w:val="right"/>
              <w:rPr>
                <w:rFonts w:ascii="Arial" w:hAnsi="Arial" w:cs="Arial"/>
                <w:color w:val="000000"/>
                <w:sz w:val="24"/>
              </w:rPr>
            </w:pPr>
            <w:r>
              <w:rPr>
                <w:rFonts w:hint="eastAsia" w:ascii="Arial" w:hAnsi="Arial" w:cs="Arial"/>
                <w:color w:val="000000"/>
                <w:sz w:val="24"/>
              </w:rPr>
              <w:t>2,221,531.60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sz w:val="24"/>
              </w:rPr>
            </w:pPr>
            <w:r>
              <w:rPr>
                <w:rFonts w:ascii="Arial" w:hAnsi="Arial" w:cs="Arial"/>
                <w:sz w:val="24"/>
              </w:rPr>
              <w:t>应付管理人报酬</w:t>
            </w:r>
          </w:p>
        </w:tc>
        <w:tc>
          <w:tcPr>
            <w:tcW w:w="5584" w:type="dxa"/>
            <w:shd w:val="clear" w:color="auto" w:fill="auto"/>
            <w:vAlign w:val="center"/>
          </w:tcPr>
          <w:p>
            <w:pPr>
              <w:ind w:left="-72"/>
              <w:jc w:val="right"/>
              <w:rPr>
                <w:rFonts w:ascii="Arial" w:hAnsi="Arial" w:cs="Arial"/>
                <w:color w:val="000000"/>
                <w:sz w:val="24"/>
              </w:rPr>
            </w:pPr>
            <w:r>
              <w:rPr>
                <w:rFonts w:hint="eastAsia" w:ascii="Arial" w:hAnsi="Arial" w:cs="Arial"/>
                <w:color w:val="000000"/>
                <w:sz w:val="24"/>
              </w:rPr>
              <w:t>14,822.72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sz w:val="24"/>
              </w:rPr>
            </w:pPr>
            <w:r>
              <w:rPr>
                <w:rFonts w:ascii="Arial" w:hAnsi="Arial" w:cs="Arial"/>
                <w:sz w:val="24"/>
              </w:rPr>
              <w:t>应付托管费</w:t>
            </w:r>
          </w:p>
        </w:tc>
        <w:tc>
          <w:tcPr>
            <w:tcW w:w="5584" w:type="dxa"/>
            <w:shd w:val="clear" w:color="auto" w:fill="auto"/>
            <w:vAlign w:val="center"/>
          </w:tcPr>
          <w:p>
            <w:pPr>
              <w:ind w:left="-72"/>
              <w:jc w:val="right"/>
              <w:rPr>
                <w:rFonts w:ascii="Arial" w:hAnsi="Arial" w:cs="Arial"/>
                <w:color w:val="000000"/>
                <w:sz w:val="24"/>
              </w:rPr>
            </w:pPr>
            <w:r>
              <w:rPr>
                <w:rFonts w:hint="eastAsia" w:ascii="Arial" w:hAnsi="Arial" w:cs="Arial"/>
                <w:color w:val="000000"/>
                <w:sz w:val="24"/>
              </w:rPr>
              <w:t>2,470.47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sz w:val="24"/>
              </w:rPr>
            </w:pPr>
            <w:r>
              <w:rPr>
                <w:rFonts w:hint="eastAsia" w:ascii="Arial" w:hAnsi="Arial" w:cs="Arial"/>
                <w:sz w:val="24"/>
              </w:rPr>
              <w:t>应付销售服务费</w:t>
            </w:r>
          </w:p>
        </w:tc>
        <w:tc>
          <w:tcPr>
            <w:tcW w:w="5584" w:type="dxa"/>
            <w:shd w:val="clear" w:color="auto" w:fill="auto"/>
            <w:vAlign w:val="center"/>
          </w:tcPr>
          <w:p>
            <w:pPr>
              <w:ind w:left="-72"/>
              <w:jc w:val="right"/>
              <w:rPr>
                <w:rFonts w:ascii="Arial" w:hAnsi="Arial" w:cs="Arial"/>
                <w:color w:val="000000"/>
                <w:sz w:val="24"/>
              </w:rPr>
            </w:pPr>
            <w:r>
              <w:rPr>
                <w:rFonts w:hint="eastAsia" w:ascii="Arial" w:hAnsi="Arial" w:cs="Arial"/>
                <w:color w:val="000000"/>
                <w:sz w:val="24"/>
              </w:rPr>
              <w:t>2,329.48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sz w:val="24"/>
              </w:rPr>
            </w:pPr>
            <w:r>
              <w:rPr>
                <w:rFonts w:hint="eastAsia" w:ascii="Arial" w:hAnsi="Arial" w:cs="Arial"/>
                <w:sz w:val="24"/>
              </w:rPr>
              <w:t>应交税费</w:t>
            </w:r>
          </w:p>
        </w:tc>
        <w:tc>
          <w:tcPr>
            <w:tcW w:w="5584" w:type="dxa"/>
            <w:shd w:val="clear" w:color="auto" w:fill="auto"/>
            <w:vAlign w:val="bottom"/>
          </w:tcPr>
          <w:p>
            <w:pPr>
              <w:ind w:left="-72"/>
              <w:jc w:val="right"/>
              <w:rPr>
                <w:rFonts w:ascii="Arial" w:hAnsi="Arial" w:cs="Arial"/>
                <w:color w:val="000000"/>
                <w:sz w:val="24"/>
              </w:rPr>
            </w:pPr>
            <w:r>
              <w:rPr>
                <w:rFonts w:hint="eastAsia" w:ascii="Arial" w:hAnsi="Arial" w:cs="Arial"/>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sz w:val="24"/>
              </w:rPr>
            </w:pPr>
            <w:r>
              <w:rPr>
                <w:rFonts w:ascii="Arial" w:hAnsi="Arial" w:cs="Arial"/>
                <w:sz w:val="24"/>
              </w:rPr>
              <w:t>其他负债</w:t>
            </w:r>
          </w:p>
        </w:tc>
        <w:tc>
          <w:tcPr>
            <w:tcW w:w="5584" w:type="dxa"/>
            <w:shd w:val="clear" w:color="auto" w:fill="auto"/>
            <w:vAlign w:val="bottom"/>
          </w:tcPr>
          <w:p>
            <w:pPr>
              <w:ind w:left="-72"/>
              <w:jc w:val="right"/>
              <w:rPr>
                <w:rFonts w:ascii="Arial" w:hAnsi="Arial" w:cs="Arial"/>
                <w:color w:val="000000"/>
                <w:sz w:val="24"/>
              </w:rPr>
            </w:pPr>
            <w:r>
              <w:rPr>
                <w:rFonts w:ascii="Arial" w:hAnsi="Arial" w:cs="Arial"/>
                <w:color w:val="000000"/>
                <w:sz w:val="24"/>
              </w:rPr>
              <w:t>40</w:t>
            </w:r>
            <w:r>
              <w:rPr>
                <w:rFonts w:hint="eastAsia" w:ascii="Arial" w:hAnsi="Arial" w:cs="Arial"/>
                <w:color w:val="000000"/>
                <w:sz w:val="24"/>
              </w:rPr>
              <w:t>,</w:t>
            </w:r>
            <w:r>
              <w:rPr>
                <w:rFonts w:ascii="Arial" w:hAnsi="Arial" w:cs="Arial"/>
                <w:color w:val="000000"/>
                <w:sz w:val="24"/>
              </w:rPr>
              <w:t>201.48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b/>
                <w:bCs/>
                <w:sz w:val="24"/>
              </w:rPr>
            </w:pPr>
            <w:r>
              <w:rPr>
                <w:rFonts w:ascii="Arial" w:hAnsi="Arial" w:cs="Arial"/>
                <w:b/>
                <w:bCs/>
                <w:sz w:val="24"/>
              </w:rPr>
              <w:t>负债合计</w:t>
            </w:r>
          </w:p>
        </w:tc>
        <w:tc>
          <w:tcPr>
            <w:tcW w:w="5584" w:type="dxa"/>
            <w:shd w:val="clear" w:color="auto" w:fill="auto"/>
            <w:vAlign w:val="center"/>
          </w:tcPr>
          <w:p>
            <w:pPr>
              <w:ind w:left="-72"/>
              <w:jc w:val="right"/>
              <w:rPr>
                <w:rFonts w:ascii="Arial" w:hAnsi="Arial" w:cs="Arial"/>
                <w:color w:val="000000"/>
                <w:sz w:val="24"/>
              </w:rPr>
            </w:pPr>
            <w:r>
              <w:rPr>
                <w:rFonts w:hint="eastAsia" w:ascii="Arial" w:hAnsi="Arial" w:cs="Arial"/>
                <w:color w:val="000000"/>
                <w:sz w:val="24"/>
              </w:rPr>
              <w:t>2,281,531.39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b/>
                <w:bCs/>
                <w:sz w:val="24"/>
              </w:rPr>
            </w:pPr>
            <w:r>
              <w:rPr>
                <w:rFonts w:ascii="Arial" w:hAnsi="Arial" w:cs="Arial"/>
                <w:b/>
                <w:bCs/>
                <w:sz w:val="24"/>
              </w:rPr>
              <w:t>所有者权益：</w:t>
            </w:r>
          </w:p>
        </w:tc>
        <w:tc>
          <w:tcPr>
            <w:tcW w:w="5584" w:type="dxa"/>
            <w:shd w:val="clear" w:color="auto" w:fill="auto"/>
            <w:vAlign w:val="bottom"/>
          </w:tcPr>
          <w:p>
            <w:pPr>
              <w:ind w:left="-72"/>
              <w:jc w:val="right"/>
              <w:rPr>
                <w:rFonts w:ascii="Arial" w:hAnsi="Arial"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b/>
                <w:bCs/>
                <w:sz w:val="24"/>
              </w:rPr>
            </w:pPr>
            <w:r>
              <w:rPr>
                <w:rFonts w:ascii="Arial" w:hAnsi="Arial" w:cs="Arial"/>
                <w:sz w:val="24"/>
              </w:rPr>
              <w:t>实收基金</w:t>
            </w:r>
          </w:p>
        </w:tc>
        <w:tc>
          <w:tcPr>
            <w:tcW w:w="5584" w:type="dxa"/>
            <w:shd w:val="clear" w:color="auto" w:fill="auto"/>
            <w:vAlign w:val="center"/>
          </w:tcPr>
          <w:p>
            <w:pPr>
              <w:ind w:left="-72"/>
              <w:jc w:val="right"/>
              <w:rPr>
                <w:rFonts w:ascii="Arial" w:hAnsi="Arial" w:cs="Arial"/>
                <w:color w:val="000000"/>
                <w:sz w:val="24"/>
              </w:rPr>
            </w:pPr>
            <w:r>
              <w:rPr>
                <w:rFonts w:hint="eastAsia" w:ascii="Arial" w:hAnsi="Arial" w:cs="Arial"/>
                <w:color w:val="000000"/>
                <w:sz w:val="24"/>
              </w:rPr>
              <w:t>17,698,831.44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b/>
                <w:bCs/>
                <w:sz w:val="24"/>
              </w:rPr>
            </w:pPr>
            <w:r>
              <w:rPr>
                <w:rFonts w:ascii="Arial" w:hAnsi="Arial" w:cs="Arial"/>
                <w:sz w:val="24"/>
              </w:rPr>
              <w:t>未分配利润</w:t>
            </w:r>
          </w:p>
        </w:tc>
        <w:tc>
          <w:tcPr>
            <w:tcW w:w="5584" w:type="dxa"/>
            <w:shd w:val="clear" w:color="auto" w:fill="auto"/>
            <w:vAlign w:val="bottom"/>
          </w:tcPr>
          <w:p>
            <w:pPr>
              <w:ind w:left="-72"/>
              <w:jc w:val="right"/>
              <w:rPr>
                <w:rFonts w:ascii="Arial" w:hAnsi="Arial" w:cs="Arial"/>
                <w:color w:val="000000"/>
                <w:sz w:val="24"/>
              </w:rPr>
            </w:pPr>
            <w:r>
              <w:rPr>
                <w:rFonts w:hint="eastAsia" w:ascii="Arial" w:hAnsi="Arial" w:cs="Arial"/>
                <w:color w:val="000000"/>
                <w:sz w:val="24"/>
              </w:rPr>
              <w:t>-1,521,323.49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b/>
                <w:bCs/>
                <w:sz w:val="24"/>
              </w:rPr>
            </w:pPr>
            <w:r>
              <w:rPr>
                <w:rFonts w:ascii="Arial" w:hAnsi="Arial" w:cs="Arial"/>
                <w:b/>
                <w:bCs/>
                <w:sz w:val="24"/>
              </w:rPr>
              <w:t>所有者权益合计</w:t>
            </w:r>
          </w:p>
        </w:tc>
        <w:tc>
          <w:tcPr>
            <w:tcW w:w="5584" w:type="dxa"/>
            <w:shd w:val="clear" w:color="auto" w:fill="auto"/>
            <w:vAlign w:val="center"/>
          </w:tcPr>
          <w:p>
            <w:pPr>
              <w:ind w:left="-72"/>
              <w:jc w:val="right"/>
              <w:rPr>
                <w:rFonts w:ascii="Arial" w:hAnsi="Arial" w:cs="Arial"/>
                <w:color w:val="000000"/>
                <w:sz w:val="24"/>
              </w:rPr>
            </w:pPr>
            <w:r>
              <w:rPr>
                <w:rFonts w:hint="eastAsia" w:ascii="Arial" w:hAnsi="Arial" w:cs="Arial"/>
                <w:color w:val="000000"/>
                <w:sz w:val="24"/>
              </w:rPr>
              <w:t>16,177,507.95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2" w:type="dxa"/>
            <w:shd w:val="clear" w:color="auto" w:fill="auto"/>
            <w:vAlign w:val="bottom"/>
          </w:tcPr>
          <w:p>
            <w:pPr>
              <w:spacing w:before="100" w:beforeAutospacing="1" w:after="100" w:afterAutospacing="1"/>
              <w:rPr>
                <w:rFonts w:ascii="Arial" w:hAnsi="Arial" w:cs="Arial"/>
                <w:b/>
                <w:bCs/>
                <w:sz w:val="24"/>
              </w:rPr>
            </w:pPr>
            <w:r>
              <w:rPr>
                <w:rFonts w:ascii="Arial" w:hAnsi="Arial" w:cs="Arial"/>
                <w:b/>
                <w:bCs/>
                <w:sz w:val="24"/>
              </w:rPr>
              <w:t>负债和所有者权益总计</w:t>
            </w:r>
          </w:p>
        </w:tc>
        <w:tc>
          <w:tcPr>
            <w:tcW w:w="5584" w:type="dxa"/>
            <w:shd w:val="clear" w:color="auto" w:fill="auto"/>
            <w:vAlign w:val="bottom"/>
          </w:tcPr>
          <w:p>
            <w:pPr>
              <w:ind w:left="-72"/>
              <w:jc w:val="right"/>
              <w:rPr>
                <w:rFonts w:ascii="Arial" w:hAnsi="Arial" w:cs="Arial"/>
                <w:color w:val="000000"/>
                <w:sz w:val="24"/>
              </w:rPr>
            </w:pPr>
            <w:r>
              <w:rPr>
                <w:rFonts w:ascii="Arial" w:hAnsi="Arial" w:cs="Arial"/>
                <w:color w:val="000000"/>
                <w:sz w:val="24"/>
              </w:rPr>
              <w:t>18,459,039.34</w:t>
            </w:r>
          </w:p>
        </w:tc>
      </w:tr>
    </w:tbl>
    <w:p>
      <w:pPr>
        <w:pStyle w:val="24"/>
        <w:rPr>
          <w:highlight w:val="yellow"/>
        </w:rPr>
      </w:pPr>
      <w:r>
        <w:rPr>
          <w:rFonts w:hint="eastAsia"/>
        </w:rPr>
        <w:t>注：报告截止日2024年5月27日(基金最后运作日)，基金份额总额17,698,831.44份，其中A类基金份额净值0.9195元，基金份额13,296,494.69份；C类基金份额净值0.8976元，基金份额4,402,336.75份。</w:t>
      </w:r>
    </w:p>
    <w:p>
      <w:pPr>
        <w:pStyle w:val="3"/>
        <w:spacing w:before="0" w:after="0"/>
        <w:rPr>
          <w:rFonts w:ascii="宋体" w:hAnsi="宋体" w:eastAsia="宋体"/>
          <w:kern w:val="0"/>
          <w:sz w:val="21"/>
          <w:szCs w:val="21"/>
        </w:rPr>
      </w:pPr>
      <w:bookmarkStart w:id="41" w:name="_Toc491963085"/>
      <w:bookmarkStart w:id="42" w:name="_Toc484769807"/>
      <w:r>
        <w:rPr>
          <w:rFonts w:hint="eastAsia" w:ascii="宋体" w:hAnsi="宋体" w:eastAsia="宋体"/>
          <w:kern w:val="0"/>
          <w:sz w:val="21"/>
          <w:szCs w:val="21"/>
        </w:rPr>
        <w:t>4</w:t>
      </w:r>
      <w:r>
        <w:rPr>
          <w:rFonts w:ascii="宋体" w:hAnsi="宋体" w:eastAsia="宋体"/>
          <w:kern w:val="0"/>
          <w:sz w:val="21"/>
          <w:szCs w:val="21"/>
        </w:rPr>
        <w:t xml:space="preserve">.2 </w:t>
      </w:r>
      <w:r>
        <w:rPr>
          <w:rFonts w:hint="eastAsia" w:ascii="宋体" w:hAnsi="宋体" w:eastAsia="宋体"/>
          <w:kern w:val="0"/>
          <w:sz w:val="21"/>
          <w:szCs w:val="21"/>
        </w:rPr>
        <w:t>清算损益表</w:t>
      </w:r>
      <w:bookmarkEnd w:id="41"/>
      <w:bookmarkEnd w:id="42"/>
    </w:p>
    <w:tbl>
      <w:tblPr>
        <w:tblStyle w:val="13"/>
        <w:tblW w:w="79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95"/>
        <w:gridCol w:w="44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pStyle w:val="11"/>
              <w:jc w:val="center"/>
              <w:rPr>
                <w:rFonts w:ascii="宋体" w:hAnsi="宋体" w:eastAsia="宋体"/>
                <w:b/>
                <w:color w:val="000000" w:themeColor="text1"/>
                <w:sz w:val="21"/>
                <w:szCs w:val="21"/>
                <w14:textFill>
                  <w14:solidFill>
                    <w14:schemeClr w14:val="tx1"/>
                  </w14:solidFill>
                </w14:textFill>
              </w:rPr>
            </w:pPr>
            <w:r>
              <w:rPr>
                <w:rFonts w:ascii="宋体" w:hAnsi="宋体" w:eastAsia="宋体"/>
                <w:b/>
                <w:color w:val="000000" w:themeColor="text1"/>
                <w:sz w:val="21"/>
                <w:szCs w:val="21"/>
                <w14:textFill>
                  <w14:solidFill>
                    <w14:schemeClr w14:val="tx1"/>
                  </w14:solidFill>
                </w14:textFill>
              </w:rPr>
              <w:t>项目</w:t>
            </w:r>
          </w:p>
        </w:tc>
        <w:tc>
          <w:tcPr>
            <w:tcW w:w="4408" w:type="dxa"/>
            <w:vAlign w:val="center"/>
          </w:tcPr>
          <w:p>
            <w:pPr>
              <w:pStyle w:val="11"/>
              <w:spacing w:before="0" w:beforeAutospacing="0" w:after="0" w:afterAutospacing="0"/>
              <w:jc w:val="center"/>
              <w:rPr>
                <w:rFonts w:ascii="宋体" w:hAnsi="宋体" w:eastAsia="宋体"/>
                <w:b/>
                <w:color w:val="000000" w:themeColor="text1"/>
                <w:sz w:val="21"/>
                <w:szCs w:val="21"/>
                <w:lang w:eastAsia="zh-CN"/>
                <w14:textFill>
                  <w14:solidFill>
                    <w14:schemeClr w14:val="tx1"/>
                  </w14:solidFill>
                </w14:textFill>
              </w:rPr>
            </w:pPr>
            <w:r>
              <w:rPr>
                <w:rFonts w:hint="eastAsia" w:ascii="宋体" w:hAnsi="宋体" w:eastAsia="宋体"/>
                <w:b/>
                <w:color w:val="000000" w:themeColor="text1"/>
                <w:sz w:val="21"/>
                <w:szCs w:val="21"/>
                <w:lang w:eastAsia="zh-CN"/>
                <w14:textFill>
                  <w14:solidFill>
                    <w14:schemeClr w14:val="tx1"/>
                  </w14:solidFill>
                </w14:textFill>
              </w:rPr>
              <w:t>2024年5月28日</w:t>
            </w:r>
            <w:r>
              <w:rPr>
                <w:rFonts w:ascii="宋体" w:hAnsi="宋体" w:eastAsia="宋体"/>
                <w:b/>
                <w:color w:val="000000" w:themeColor="text1"/>
                <w:sz w:val="21"/>
                <w:szCs w:val="21"/>
                <w:lang w:eastAsia="zh-CN"/>
                <w14:textFill>
                  <w14:solidFill>
                    <w14:schemeClr w14:val="tx1"/>
                  </w14:solidFill>
                </w14:textFill>
              </w:rPr>
              <w:t>至</w:t>
            </w:r>
            <w:r>
              <w:rPr>
                <w:rFonts w:hint="eastAsia" w:ascii="宋体" w:hAnsi="宋体" w:eastAsia="宋体"/>
                <w:b/>
                <w:color w:val="000000" w:themeColor="text1"/>
                <w:sz w:val="21"/>
                <w:szCs w:val="21"/>
                <w:lang w:eastAsia="zh-CN"/>
                <w14:textFill>
                  <w14:solidFill>
                    <w14:schemeClr w14:val="tx1"/>
                  </w14:solidFill>
                </w14:textFill>
              </w:rPr>
              <w:t>2024年6月5日</w:t>
            </w:r>
          </w:p>
          <w:p>
            <w:pPr>
              <w:pStyle w:val="11"/>
              <w:spacing w:before="0" w:beforeAutospacing="0" w:after="0" w:afterAutospacing="0"/>
              <w:jc w:val="center"/>
              <w:rPr>
                <w:rFonts w:ascii="宋体" w:hAnsi="宋体" w:eastAsia="宋体"/>
                <w:b/>
                <w:color w:val="000000" w:themeColor="text1"/>
                <w:sz w:val="21"/>
                <w:szCs w:val="21"/>
                <w:lang w:eastAsia="zh-CN"/>
                <w14:textFill>
                  <w14:solidFill>
                    <w14:schemeClr w14:val="tx1"/>
                  </w14:solidFill>
                </w14:textFill>
              </w:rPr>
            </w:pPr>
            <w:r>
              <w:rPr>
                <w:rFonts w:hint="eastAsia" w:ascii="宋体" w:hAnsi="宋体" w:eastAsia="宋体"/>
                <w:b/>
                <w:color w:val="000000" w:themeColor="text1"/>
                <w:sz w:val="21"/>
                <w:szCs w:val="21"/>
                <w:lang w:eastAsia="zh-CN"/>
                <w14:textFill>
                  <w14:solidFill>
                    <w14:schemeClr w14:val="tx1"/>
                  </w14:solidFill>
                </w14:textFill>
              </w:rPr>
              <w:t>（清算期间）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rPr>
                <w:rFonts w:ascii="宋体" w:hAnsi="宋体"/>
                <w:b/>
                <w:color w:val="000000" w:themeColor="text1"/>
                <w:szCs w:val="21"/>
                <w14:textFill>
                  <w14:solidFill>
                    <w14:schemeClr w14:val="tx1"/>
                  </w14:solidFill>
                </w14:textFill>
              </w:rPr>
            </w:pPr>
            <w:r>
              <w:rPr>
                <w:rFonts w:hint="eastAsia"/>
                <w:b/>
                <w:bCs/>
                <w:color w:val="000000"/>
                <w:szCs w:val="21"/>
              </w:rPr>
              <w:t>一、清算收益</w:t>
            </w:r>
          </w:p>
        </w:tc>
        <w:tc>
          <w:tcPr>
            <w:tcW w:w="4408" w:type="dxa"/>
          </w:tcPr>
          <w:p>
            <w:pPr>
              <w:ind w:left="-80"/>
              <w:jc w:val="right"/>
              <w:rPr>
                <w:rFonts w:ascii="Arial" w:hAnsi="Arial" w:cs="Arial"/>
                <w:b/>
                <w:color w:val="000000"/>
                <w:sz w:val="24"/>
              </w:rPr>
            </w:pPr>
            <w:r>
              <w:rPr>
                <w:rFonts w:ascii="Arial" w:hAnsi="Arial" w:cs="Arial"/>
                <w:b/>
                <w:color w:val="000000"/>
                <w:sz w:val="24"/>
              </w:rPr>
              <w:t>4,562.54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rPr>
                <w:rFonts w:ascii="宋体" w:hAnsi="宋体"/>
                <w:color w:val="000000" w:themeColor="text1"/>
                <w:szCs w:val="21"/>
                <w14:textFill>
                  <w14:solidFill>
                    <w14:schemeClr w14:val="tx1"/>
                  </w14:solidFill>
                </w14:textFill>
              </w:rPr>
            </w:pPr>
            <w:r>
              <w:rPr>
                <w:rFonts w:hint="eastAsia"/>
                <w:color w:val="000000"/>
                <w:szCs w:val="21"/>
              </w:rPr>
              <w:t>1.</w:t>
            </w:r>
            <w:r>
              <w:rPr>
                <w:color w:val="000000"/>
                <w:sz w:val="14"/>
                <w:szCs w:val="14"/>
              </w:rPr>
              <w:t xml:space="preserve"> </w:t>
            </w:r>
            <w:r>
              <w:rPr>
                <w:rFonts w:hint="eastAsia"/>
                <w:color w:val="000000"/>
                <w:szCs w:val="21"/>
              </w:rPr>
              <w:t>利息收入</w:t>
            </w:r>
          </w:p>
        </w:tc>
        <w:tc>
          <w:tcPr>
            <w:tcW w:w="4408" w:type="dxa"/>
          </w:tcPr>
          <w:p>
            <w:pPr>
              <w:ind w:left="-80"/>
              <w:jc w:val="right"/>
              <w:rPr>
                <w:rFonts w:ascii="Arial" w:hAnsi="Arial" w:cs="Arial"/>
                <w:color w:val="000000"/>
                <w:sz w:val="24"/>
              </w:rPr>
            </w:pPr>
            <w:r>
              <w:rPr>
                <w:rFonts w:ascii="Arial" w:hAnsi="Arial" w:cs="Arial"/>
                <w:color w:val="000000"/>
                <w:sz w:val="24"/>
              </w:rPr>
              <w:t>1</w:t>
            </w:r>
            <w:r>
              <w:rPr>
                <w:rFonts w:hint="eastAsia" w:ascii="Arial" w:hAnsi="Arial" w:cs="Arial"/>
                <w:color w:val="000000"/>
                <w:sz w:val="24"/>
              </w:rPr>
              <w:t>,</w:t>
            </w:r>
            <w:r>
              <w:rPr>
                <w:rFonts w:ascii="Arial" w:hAnsi="Arial" w:cs="Arial"/>
                <w:color w:val="000000"/>
                <w:sz w:val="24"/>
              </w:rPr>
              <w:t>504.74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rPr>
                <w:color w:val="000000"/>
                <w:szCs w:val="21"/>
              </w:rPr>
            </w:pPr>
            <w:r>
              <w:rPr>
                <w:color w:val="000000"/>
                <w:szCs w:val="21"/>
              </w:rPr>
              <w:t>2</w:t>
            </w:r>
            <w:r>
              <w:rPr>
                <w:rFonts w:hint="eastAsia"/>
                <w:color w:val="000000"/>
                <w:szCs w:val="21"/>
              </w:rPr>
              <w:t>.</w:t>
            </w:r>
            <w:r>
              <w:rPr>
                <w:color w:val="000000"/>
                <w:szCs w:val="21"/>
              </w:rPr>
              <w:t xml:space="preserve"> </w:t>
            </w:r>
            <w:r>
              <w:rPr>
                <w:rFonts w:hint="eastAsia"/>
                <w:color w:val="000000"/>
                <w:szCs w:val="21"/>
              </w:rPr>
              <w:t>投资收益</w:t>
            </w:r>
          </w:p>
        </w:tc>
        <w:tc>
          <w:tcPr>
            <w:tcW w:w="4408" w:type="dxa"/>
          </w:tcPr>
          <w:p>
            <w:pPr>
              <w:ind w:left="-80"/>
              <w:jc w:val="right"/>
              <w:rPr>
                <w:rFonts w:ascii="Arial" w:hAnsi="Arial" w:cs="Arial"/>
                <w:color w:val="000000"/>
                <w:sz w:val="24"/>
              </w:rPr>
            </w:pPr>
            <w:r>
              <w:rPr>
                <w:rFonts w:ascii="Arial" w:hAnsi="Arial" w:cs="Arial"/>
                <w:color w:val="000000"/>
                <w:sz w:val="24"/>
              </w:rPr>
              <w:t>21.79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rPr>
                <w:color w:val="000000"/>
                <w:szCs w:val="21"/>
              </w:rPr>
            </w:pPr>
            <w:r>
              <w:rPr>
                <w:rFonts w:hint="eastAsia"/>
                <w:color w:val="000000"/>
                <w:szCs w:val="21"/>
              </w:rPr>
              <w:t>3</w:t>
            </w:r>
            <w:r>
              <w:rPr>
                <w:color w:val="000000"/>
                <w:szCs w:val="21"/>
              </w:rPr>
              <w:t xml:space="preserve">. </w:t>
            </w:r>
            <w:r>
              <w:rPr>
                <w:rFonts w:hint="eastAsia"/>
                <w:color w:val="000000"/>
                <w:szCs w:val="21"/>
              </w:rPr>
              <w:t>公允价值变动损益</w:t>
            </w:r>
          </w:p>
        </w:tc>
        <w:tc>
          <w:tcPr>
            <w:tcW w:w="4408" w:type="dxa"/>
          </w:tcPr>
          <w:p>
            <w:pPr>
              <w:ind w:left="-80"/>
              <w:jc w:val="right"/>
              <w:rPr>
                <w:rFonts w:ascii="Arial" w:hAnsi="Arial" w:cs="Arial"/>
                <w:color w:val="000000"/>
                <w:sz w:val="24"/>
              </w:rPr>
            </w:pPr>
            <w:r>
              <w:rPr>
                <w:rFonts w:hint="eastAsia" w:ascii="Arial" w:hAnsi="Arial" w:cs="Arial"/>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rPr>
                <w:color w:val="000000"/>
                <w:szCs w:val="21"/>
              </w:rPr>
            </w:pPr>
            <w:r>
              <w:rPr>
                <w:rFonts w:hint="eastAsia"/>
                <w:color w:val="000000"/>
                <w:szCs w:val="21"/>
              </w:rPr>
              <w:t>4</w:t>
            </w:r>
            <w:r>
              <w:rPr>
                <w:color w:val="000000"/>
                <w:szCs w:val="21"/>
              </w:rPr>
              <w:t xml:space="preserve">. </w:t>
            </w:r>
            <w:r>
              <w:rPr>
                <w:rFonts w:hint="eastAsia"/>
                <w:color w:val="000000"/>
                <w:szCs w:val="21"/>
              </w:rPr>
              <w:t>其他收入</w:t>
            </w:r>
          </w:p>
        </w:tc>
        <w:tc>
          <w:tcPr>
            <w:tcW w:w="4408" w:type="dxa"/>
          </w:tcPr>
          <w:p>
            <w:pPr>
              <w:ind w:left="-80"/>
              <w:jc w:val="right"/>
              <w:rPr>
                <w:rFonts w:ascii="Arial" w:hAnsi="Arial" w:cs="Arial"/>
                <w:color w:val="000000"/>
                <w:sz w:val="24"/>
              </w:rPr>
            </w:pPr>
            <w:r>
              <w:rPr>
                <w:rFonts w:ascii="Arial" w:hAnsi="Arial" w:cs="Arial"/>
                <w:color w:val="000000"/>
                <w:sz w:val="24"/>
              </w:rPr>
              <w:t>3</w:t>
            </w:r>
            <w:r>
              <w:rPr>
                <w:rFonts w:hint="eastAsia" w:ascii="Arial" w:hAnsi="Arial" w:cs="Arial"/>
                <w:color w:val="000000"/>
                <w:sz w:val="24"/>
              </w:rPr>
              <w:t>,</w:t>
            </w:r>
            <w:r>
              <w:rPr>
                <w:rFonts w:ascii="Arial" w:hAnsi="Arial" w:cs="Arial"/>
                <w:color w:val="000000"/>
                <w:sz w:val="24"/>
              </w:rPr>
              <w:t>036.01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rPr>
                <w:rFonts w:ascii="宋体" w:hAnsi="宋体"/>
                <w:color w:val="000000" w:themeColor="text1"/>
                <w:szCs w:val="21"/>
                <w14:textFill>
                  <w14:solidFill>
                    <w14:schemeClr w14:val="tx1"/>
                  </w14:solidFill>
                </w14:textFill>
              </w:rPr>
            </w:pPr>
            <w:r>
              <w:rPr>
                <w:rFonts w:hint="eastAsia"/>
                <w:b/>
                <w:bCs/>
                <w:color w:val="000000"/>
                <w:szCs w:val="21"/>
              </w:rPr>
              <w:t>二、清算费用</w:t>
            </w:r>
          </w:p>
        </w:tc>
        <w:tc>
          <w:tcPr>
            <w:tcW w:w="4408" w:type="dxa"/>
          </w:tcPr>
          <w:p>
            <w:pPr>
              <w:ind w:left="-80"/>
              <w:jc w:val="right"/>
              <w:rPr>
                <w:rFonts w:ascii="Arial" w:hAnsi="Arial" w:cs="Arial"/>
                <w:b/>
                <w:color w:val="000000"/>
                <w:sz w:val="24"/>
              </w:rPr>
            </w:pPr>
            <w:r>
              <w:rPr>
                <w:rFonts w:ascii="Arial" w:hAnsi="Arial" w:cs="Arial"/>
                <w:b/>
                <w:color w:val="000000"/>
                <w:sz w:val="24"/>
              </w:rPr>
              <w:t>552.37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rPr>
                <w:rFonts w:ascii="宋体" w:hAnsi="宋体"/>
                <w:color w:val="000000" w:themeColor="text1"/>
                <w:szCs w:val="21"/>
                <w14:textFill>
                  <w14:solidFill>
                    <w14:schemeClr w14:val="tx1"/>
                  </w14:solidFill>
                </w14:textFill>
              </w:rPr>
            </w:pPr>
            <w:r>
              <w:rPr>
                <w:rFonts w:hint="eastAsia"/>
                <w:color w:val="000000"/>
                <w:szCs w:val="21"/>
              </w:rPr>
              <w:t>汇划费</w:t>
            </w:r>
          </w:p>
        </w:tc>
        <w:tc>
          <w:tcPr>
            <w:tcW w:w="4408" w:type="dxa"/>
          </w:tcPr>
          <w:p>
            <w:pPr>
              <w:ind w:left="-80"/>
              <w:jc w:val="right"/>
              <w:rPr>
                <w:rFonts w:ascii="Arial" w:hAnsi="Arial" w:cs="Arial"/>
                <w:color w:val="000000"/>
                <w:sz w:val="24"/>
              </w:rPr>
            </w:pPr>
            <w:r>
              <w:rPr>
                <w:rFonts w:ascii="Arial" w:hAnsi="Arial" w:cs="Arial"/>
                <w:color w:val="000000"/>
                <w:sz w:val="24"/>
              </w:rPr>
              <w:t>550.50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rPr>
                <w:rFonts w:hint="eastAsia"/>
                <w:color w:val="000000"/>
                <w:szCs w:val="21"/>
              </w:rPr>
            </w:pPr>
            <w:r>
              <w:rPr>
                <w:rFonts w:hint="eastAsia"/>
                <w:color w:val="000000"/>
                <w:szCs w:val="21"/>
              </w:rPr>
              <w:t>深港通证券组合费</w:t>
            </w:r>
          </w:p>
        </w:tc>
        <w:tc>
          <w:tcPr>
            <w:tcW w:w="4408" w:type="dxa"/>
          </w:tcPr>
          <w:p>
            <w:pPr>
              <w:ind w:left="-80"/>
              <w:jc w:val="right"/>
              <w:rPr>
                <w:rFonts w:ascii="Arial" w:hAnsi="Arial" w:cs="Arial"/>
                <w:color w:val="000000"/>
                <w:sz w:val="24"/>
              </w:rPr>
            </w:pPr>
            <w:r>
              <w:rPr>
                <w:rFonts w:hint="eastAsia" w:ascii="Arial" w:hAnsi="Arial" w:cs="Arial"/>
                <w:color w:val="000000"/>
                <w:sz w:val="24"/>
              </w:rPr>
              <w:t>1.87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rPr>
                <w:color w:val="000000"/>
                <w:szCs w:val="21"/>
              </w:rPr>
            </w:pPr>
            <w:r>
              <w:rPr>
                <w:rFonts w:hint="eastAsia"/>
                <w:color w:val="000000"/>
                <w:szCs w:val="21"/>
              </w:rPr>
              <w:t>税金及附加</w:t>
            </w:r>
          </w:p>
        </w:tc>
        <w:tc>
          <w:tcPr>
            <w:tcW w:w="4408" w:type="dxa"/>
          </w:tcPr>
          <w:p>
            <w:pPr>
              <w:ind w:left="-80"/>
              <w:jc w:val="right"/>
              <w:rPr>
                <w:rFonts w:ascii="Arial" w:hAnsi="Arial" w:cs="Arial"/>
                <w:color w:val="000000"/>
                <w:sz w:val="24"/>
              </w:rPr>
            </w:pPr>
            <w:r>
              <w:rPr>
                <w:rFonts w:hint="eastAsia" w:ascii="Arial" w:hAnsi="Arial" w:cs="Arial"/>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pPr>
              <w:rPr>
                <w:color w:val="000000"/>
                <w:szCs w:val="21"/>
              </w:rPr>
            </w:pPr>
            <w:r>
              <w:rPr>
                <w:rFonts w:hint="eastAsia"/>
                <w:b/>
                <w:bCs/>
                <w:color w:val="000000"/>
                <w:szCs w:val="21"/>
              </w:rPr>
              <w:t>三、清算收益（损失）总额</w:t>
            </w:r>
          </w:p>
        </w:tc>
        <w:tc>
          <w:tcPr>
            <w:tcW w:w="4408" w:type="dxa"/>
            <w:vAlign w:val="center"/>
          </w:tcPr>
          <w:p>
            <w:pPr>
              <w:ind w:left="-80"/>
              <w:jc w:val="right"/>
              <w:rPr>
                <w:rFonts w:ascii="Arial" w:hAnsi="Arial" w:cs="Arial"/>
                <w:b/>
                <w:color w:val="000000"/>
                <w:sz w:val="24"/>
              </w:rPr>
            </w:pPr>
            <w:r>
              <w:rPr>
                <w:rFonts w:hint="eastAsia" w:ascii="Arial" w:hAnsi="Arial" w:cs="Arial"/>
                <w:b/>
                <w:color w:val="000000"/>
                <w:sz w:val="24"/>
              </w:rPr>
              <w:t>4</w:t>
            </w:r>
            <w:r>
              <w:rPr>
                <w:rFonts w:ascii="Arial" w:hAnsi="Arial" w:cs="Arial"/>
                <w:b/>
                <w:color w:val="000000"/>
                <w:sz w:val="24"/>
              </w:rPr>
              <w:t>,010.17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shd w:val="clear" w:color="auto" w:fill="auto"/>
            <w:vAlign w:val="center"/>
          </w:tcPr>
          <w:p>
            <w:pPr>
              <w:rPr>
                <w:rFonts w:ascii="宋体" w:hAnsi="宋体"/>
                <w:color w:val="000000" w:themeColor="text1"/>
                <w:szCs w:val="21"/>
                <w14:textFill>
                  <w14:solidFill>
                    <w14:schemeClr w14:val="tx1"/>
                  </w14:solidFill>
                </w14:textFill>
              </w:rPr>
            </w:pPr>
            <w:r>
              <w:rPr>
                <w:rFonts w:hint="eastAsia"/>
                <w:color w:val="000000"/>
                <w:szCs w:val="21"/>
              </w:rPr>
              <w:t>减：所得税费用</w:t>
            </w:r>
          </w:p>
        </w:tc>
        <w:tc>
          <w:tcPr>
            <w:tcW w:w="4408" w:type="dxa"/>
            <w:shd w:val="clear" w:color="auto" w:fill="auto"/>
            <w:vAlign w:val="center"/>
          </w:tcPr>
          <w:p>
            <w:pPr>
              <w:ind w:left="-80"/>
              <w:jc w:val="right"/>
              <w:rPr>
                <w:rFonts w:ascii="Arial" w:hAnsi="Arial" w:cs="Arial"/>
                <w:b/>
                <w:bCs/>
                <w:color w:val="000000"/>
                <w:sz w:val="24"/>
              </w:rPr>
            </w:pPr>
            <w:r>
              <w:rPr>
                <w:rFonts w:hint="eastAsia" w:ascii="Arial" w:hAnsi="Arial" w:cs="Arial"/>
                <w:b/>
                <w:bCs/>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shd w:val="clear" w:color="auto" w:fill="auto"/>
            <w:vAlign w:val="center"/>
          </w:tcPr>
          <w:p>
            <w:pPr>
              <w:rPr>
                <w:rFonts w:ascii="宋体" w:hAnsi="宋体"/>
                <w:color w:val="000000" w:themeColor="text1"/>
                <w:szCs w:val="21"/>
                <w14:textFill>
                  <w14:solidFill>
                    <w14:schemeClr w14:val="tx1"/>
                  </w14:solidFill>
                </w14:textFill>
              </w:rPr>
            </w:pPr>
            <w:r>
              <w:rPr>
                <w:rFonts w:hint="eastAsia"/>
                <w:b/>
                <w:bCs/>
                <w:color w:val="000000"/>
                <w:szCs w:val="21"/>
              </w:rPr>
              <w:t>四、清算净收益（损失）</w:t>
            </w:r>
          </w:p>
        </w:tc>
        <w:tc>
          <w:tcPr>
            <w:tcW w:w="4408" w:type="dxa"/>
            <w:shd w:val="clear" w:color="auto" w:fill="auto"/>
            <w:vAlign w:val="center"/>
          </w:tcPr>
          <w:p>
            <w:pPr>
              <w:ind w:left="-80"/>
              <w:jc w:val="right"/>
              <w:rPr>
                <w:rFonts w:ascii="Arial" w:hAnsi="Arial" w:cs="Arial"/>
                <w:b/>
                <w:color w:val="000000"/>
                <w:sz w:val="24"/>
              </w:rPr>
            </w:pPr>
            <w:r>
              <w:rPr>
                <w:rFonts w:hint="eastAsia" w:ascii="Arial" w:hAnsi="Arial" w:cs="Arial"/>
                <w:b/>
                <w:color w:val="000000"/>
                <w:sz w:val="24"/>
              </w:rPr>
              <w:t>4</w:t>
            </w:r>
            <w:r>
              <w:rPr>
                <w:rFonts w:ascii="Arial" w:hAnsi="Arial" w:cs="Arial"/>
                <w:b/>
                <w:color w:val="000000"/>
                <w:sz w:val="24"/>
              </w:rPr>
              <w:t>,010.17</w:t>
            </w:r>
          </w:p>
        </w:tc>
      </w:tr>
    </w:tbl>
    <w:p>
      <w:pPr>
        <w:pStyle w:val="24"/>
        <w:rPr>
          <w:b/>
        </w:rPr>
      </w:pPr>
      <w:bookmarkStart w:id="43" w:name="_Toc483396840"/>
      <w:bookmarkStart w:id="44" w:name="_Toc484769808"/>
      <w:bookmarkStart w:id="45" w:name="_Toc484607313"/>
      <w:r>
        <w:rPr>
          <w:rFonts w:hint="eastAsia"/>
        </w:rPr>
        <w:t>注：利息收入系以当前适用的利率预估计提的自2024年5月28日至2024年6月5日止清算期间的活期存款利息、结算备付金利息和存出保证金利息。</w:t>
      </w:r>
    </w:p>
    <w:p>
      <w:pPr>
        <w:pStyle w:val="3"/>
        <w:spacing w:before="0" w:after="0"/>
        <w:rPr>
          <w:rFonts w:ascii="宋体" w:hAnsi="宋体" w:eastAsia="宋体"/>
          <w:kern w:val="0"/>
          <w:sz w:val="21"/>
          <w:szCs w:val="21"/>
        </w:rPr>
      </w:pPr>
      <w:bookmarkStart w:id="46" w:name="_Toc491963086"/>
      <w:r>
        <w:rPr>
          <w:rFonts w:hint="eastAsia" w:ascii="宋体" w:hAnsi="宋体" w:eastAsia="宋体"/>
          <w:kern w:val="0"/>
          <w:sz w:val="21"/>
          <w:szCs w:val="21"/>
        </w:rPr>
        <w:t>4.3</w:t>
      </w:r>
      <w:r>
        <w:rPr>
          <w:rFonts w:ascii="宋体" w:hAnsi="宋体" w:eastAsia="宋体"/>
          <w:kern w:val="0"/>
          <w:sz w:val="21"/>
          <w:szCs w:val="21"/>
        </w:rPr>
        <w:t xml:space="preserve"> </w:t>
      </w:r>
      <w:r>
        <w:rPr>
          <w:rFonts w:hint="eastAsia" w:ascii="宋体" w:hAnsi="宋体" w:eastAsia="宋体"/>
          <w:kern w:val="0"/>
          <w:sz w:val="21"/>
          <w:szCs w:val="21"/>
        </w:rPr>
        <w:t>报表附注</w:t>
      </w:r>
      <w:bookmarkEnd w:id="43"/>
      <w:bookmarkEnd w:id="44"/>
      <w:bookmarkEnd w:id="45"/>
      <w:bookmarkEnd w:id="46"/>
    </w:p>
    <w:p>
      <w:pPr>
        <w:spacing w:line="360" w:lineRule="auto"/>
        <w:rPr>
          <w:rFonts w:ascii="宋体" w:hAnsi="宋体"/>
          <w:b/>
          <w:szCs w:val="21"/>
        </w:rPr>
      </w:pPr>
      <w:r>
        <w:rPr>
          <w:rFonts w:ascii="宋体" w:hAnsi="宋体"/>
          <w:b/>
          <w:szCs w:val="21"/>
        </w:rPr>
        <w:t>4.3.</w:t>
      </w:r>
      <w:r>
        <w:rPr>
          <w:rFonts w:hint="eastAsia" w:ascii="宋体" w:hAnsi="宋体"/>
          <w:b/>
          <w:szCs w:val="21"/>
        </w:rPr>
        <w:t>1基金基本情况</w:t>
      </w:r>
    </w:p>
    <w:p>
      <w:pPr>
        <w:pStyle w:val="24"/>
      </w:pPr>
      <w:r>
        <w:rPr>
          <w:rFonts w:hint="eastAsia"/>
        </w:rPr>
        <w:t>本基金经中国证监会证监许可[2020]2024号《关于准予博时港股通红利精选混合型发起式证券投资基金注册的批复》</w:t>
      </w:r>
      <w:r>
        <w:t>注册</w:t>
      </w:r>
      <w:r>
        <w:rPr>
          <w:rFonts w:hint="eastAsia"/>
        </w:rPr>
        <w:t>，由博时基金管理有限公司依照《中华人民共和国证券投资基金法》和《基金合同》负责公开募集。本基金为契约型、开放式，存续期限不定，首次设立募集不包括认购资金利息共募集人民币</w:t>
      </w:r>
      <w:r>
        <w:t>17,455,101.48</w:t>
      </w:r>
      <w:r>
        <w:rPr>
          <w:rFonts w:hint="eastAsia"/>
        </w:rPr>
        <w:t>元，业经普华永道中天会计师事务所（特殊普通合伙）普华永道中天验字(2021)第0273号验资报告予以验证。经向中国证监会备案，《基金合同》于2021年5月27日正式生效，基金合同生效日的基金份额总额为</w:t>
      </w:r>
      <w:r>
        <w:t>17,464,095.48</w:t>
      </w:r>
      <w:r>
        <w:rPr>
          <w:rFonts w:hint="eastAsia"/>
        </w:rPr>
        <w:t>份基金份额，其中认购资金利息折合8,994.00份基金份额。本基金的基金管理人为博时基金管理有限公司，基金托管人为中信银行股份有限公司。</w:t>
      </w:r>
    </w:p>
    <w:p>
      <w:pPr>
        <w:pStyle w:val="24"/>
      </w:pPr>
      <w:r>
        <w:rPr>
          <w:rFonts w:hint="eastAsia"/>
        </w:rPr>
        <w:t>根据《基金合同》，本基金根据认购/申购费用、销售服务费收取方式的不同，将基金份额分为不同的类别。在投资者认购、申购时收取认购、申购费用，不从本类别基金资产中计提销售服务费的基金份额，称为A类基金份额；从本类别基金资产中计提销售服务费、不收取认购/申购费用的基金份额，称为C类基金份额。本基金A类和C类基金份额分别设置代码。由于基金费用的不同，本基金A类基金份额和C类基金份额将分别计算基金份额净值，计算公式为计算日各类别基金资产净值除以计算日发售在外的该类别基金份额总数。</w:t>
      </w:r>
    </w:p>
    <w:p>
      <w:pPr>
        <w:pStyle w:val="24"/>
      </w:pPr>
      <w:r>
        <w:rPr>
          <w:rFonts w:hint="eastAsia"/>
        </w:rPr>
        <w:t>根据《中华人民共和国证券投资基金法》和《基金合同》的有关规定，本基金的投资范围包括国内依法发行上市的股票（含中小板、创业板及其他经中国证监会核准或注册上市的股票）、内地与香港股票市场互联互通机制下允许买卖的香港证券市场股票（以下简称“港股通标的股票”）、债券（包括国债、金融债、企业债、公司债、央行票据、中期票据、短期融资券、超短期融资券、可转换债券（含可分离交易可转换债券）、可交换债、次级债等）、金融衍生品（包括股指期货、国债期货、股票期权、信用衍生品等）、资产支持证券、债券回购、同业存单、银行存款（包含协议存款、定期存款及其他银行存款）、货币市场工具、现金以及法律法规或中国证监会允许基金投资的其他金融工具（但须符合中国证监会相关规定）。本基金可根据相关法律法规和基金合同的约定参与融资业务。如法律法规或监管机构以后允许基金投资其他品种，基金管理人在履行适当程序后，可以将其纳入投资范围。</w:t>
      </w:r>
    </w:p>
    <w:p>
      <w:pPr>
        <w:pStyle w:val="24"/>
      </w:pPr>
      <w:r>
        <w:rPr>
          <w:rFonts w:hint="eastAsia"/>
        </w:rPr>
        <w:t>基金的投资组合比例为：本基金投资组合中股票资产占基金资产的比例为60%-95%，其中，投资于港股通标的股票的比例不低于非现金基金资产的80%，投资于红利精选主题相关证券资产的比例不低于非现金基金资产的80%。每个交易日日终在扣除国债期货、股指期货和股票期权合约需缴纳的交易保证金后，应当保持不低于基金资产净值的5%的现金或到期日在一年以内的政府债券，其中现金不包括结算备付金、存出保证金、应收申购款等。如果法律法规或中国证监会变更投资品种的投资比例限制，基金管理人在履行适当程序后，可以调整上述投资品种的投资比例。</w:t>
      </w:r>
    </w:p>
    <w:p>
      <w:pPr>
        <w:pStyle w:val="24"/>
      </w:pPr>
      <w:r>
        <w:rPr>
          <w:rFonts w:hint="eastAsia"/>
        </w:rPr>
        <w:t>本基金的业绩比较基准为：中证港股通高股息投资指数(CNY)收益率*65%+中证红利指数收益率*15%+中债综合财富（总值）指数收益率×20%。</w:t>
      </w:r>
    </w:p>
    <w:p>
      <w:pPr>
        <w:pStyle w:val="24"/>
      </w:pPr>
      <w:r>
        <w:rPr>
          <w:rFonts w:hint="eastAsia"/>
        </w:rPr>
        <w:t>根据</w:t>
      </w:r>
      <w:r>
        <w:rPr>
          <w:rFonts w:hint="eastAsia"/>
          <w:lang w:eastAsia="zh-CN"/>
        </w:rPr>
        <w:t>《</w:t>
      </w:r>
      <w:r>
        <w:rPr>
          <w:rFonts w:hint="eastAsia"/>
        </w:rPr>
        <w:t>基金合同》以及基金管理人博时基金管理有限公司于2024年5月28日发布的《博时基金管理有限公司关于博时港股通红利精选混合型发起式证券投资基金合同终止及基金财产清算的公告》，本基金基金合同生效日为2021年5月27日，基金合同生效之日起三年后的对应日为2024年5月27日</w:t>
      </w:r>
      <w:r>
        <w:rPr>
          <w:rFonts w:hint="eastAsia"/>
          <w:lang w:eastAsia="zh-CN"/>
        </w:rPr>
        <w:t>，</w:t>
      </w:r>
      <w:r>
        <w:rPr>
          <w:rFonts w:hint="eastAsia"/>
        </w:rPr>
        <w:t>截至2024年5月27日，本基金资产净值低于两亿元，已触发基金合同中约定的基金终止条款。根据基金合同有关约定，本基金将根据《基金合同》约定进入清算程序并终止，且无需召开基金份额持有人大会。本基金的最后运作日为2024年5月27日，自2024年5月28日起进入清算程序。</w:t>
      </w:r>
    </w:p>
    <w:p>
      <w:pPr>
        <w:spacing w:line="360" w:lineRule="auto"/>
        <w:rPr>
          <w:rFonts w:ascii="宋体" w:hAnsi="宋体"/>
          <w:b/>
          <w:szCs w:val="21"/>
        </w:rPr>
      </w:pPr>
      <w:r>
        <w:rPr>
          <w:rFonts w:ascii="宋体" w:hAnsi="宋体"/>
          <w:b/>
          <w:szCs w:val="21"/>
        </w:rPr>
        <w:t>4.3.</w:t>
      </w:r>
      <w:r>
        <w:rPr>
          <w:rFonts w:hint="eastAsia" w:ascii="宋体" w:hAnsi="宋体"/>
          <w:b/>
          <w:szCs w:val="21"/>
        </w:rPr>
        <w:t>2清算原因</w:t>
      </w:r>
    </w:p>
    <w:p>
      <w:pPr>
        <w:spacing w:line="360" w:lineRule="auto"/>
        <w:ind w:firstLine="420" w:firstLineChars="200"/>
        <w:rPr>
          <w:rFonts w:ascii="宋体" w:hAnsi="宋体"/>
          <w:color w:val="000000"/>
          <w:szCs w:val="21"/>
        </w:rPr>
      </w:pPr>
      <w:r>
        <w:rPr>
          <w:rFonts w:hint="eastAsia" w:ascii="宋体" w:hAnsi="宋体"/>
          <w:color w:val="000000"/>
          <w:szCs w:val="21"/>
        </w:rPr>
        <w:t>根据《基金合同》“第五部分 基金备案”中“三、基金存续期内的基金份额持有人数量和资产规模”的约定：</w:t>
      </w:r>
    </w:p>
    <w:p>
      <w:pPr>
        <w:spacing w:line="360" w:lineRule="auto"/>
        <w:ind w:firstLine="420" w:firstLineChars="200"/>
        <w:rPr>
          <w:rFonts w:ascii="宋体" w:hAnsi="宋体"/>
          <w:color w:val="000000"/>
          <w:szCs w:val="21"/>
        </w:rPr>
      </w:pPr>
      <w:r>
        <w:rPr>
          <w:rFonts w:hint="eastAsia" w:ascii="宋体" w:hAnsi="宋体"/>
          <w:color w:val="000000"/>
          <w:szCs w:val="21"/>
        </w:rPr>
        <w:t>“基金合同生效之日起三年后的对应日，若基金资产净值低于两亿元的，本基金将根据基金合同的约定进行基金财产清算并终止，无需召开基金份额持有人大会审议，且不得通过召开基金份额持有人大会的方式延续。</w:t>
      </w:r>
    </w:p>
    <w:p>
      <w:pPr>
        <w:spacing w:line="360" w:lineRule="auto"/>
        <w:ind w:firstLine="420" w:firstLineChars="200"/>
        <w:rPr>
          <w:rFonts w:ascii="宋体" w:hAnsi="宋体"/>
          <w:color w:val="000000"/>
          <w:szCs w:val="21"/>
        </w:rPr>
      </w:pPr>
      <w:r>
        <w:rPr>
          <w:rFonts w:hint="eastAsia" w:ascii="宋体" w:hAnsi="宋体"/>
          <w:color w:val="000000"/>
          <w:szCs w:val="21"/>
        </w:rPr>
        <w:t>基金合同生效起三年后继续存续的，连续二十个工作日出现基金份额持有人数量不满二百人或者基金资产净值低于五千万元情形的，基金管理人应当在定期报告中予以披露；连续五十个工作日出现前述情形的，本基金将根据基金合同的约定进行基金财产清算并终止，而无需召开基金份额持有人大会。”</w:t>
      </w:r>
    </w:p>
    <w:p>
      <w:pPr>
        <w:spacing w:line="360" w:lineRule="auto"/>
        <w:ind w:firstLine="420" w:firstLineChars="200"/>
        <w:rPr>
          <w:rFonts w:ascii="宋体" w:hAnsi="宋体"/>
          <w:color w:val="000000"/>
          <w:szCs w:val="21"/>
        </w:rPr>
      </w:pPr>
      <w:r>
        <w:rPr>
          <w:rFonts w:hint="eastAsia" w:ascii="宋体" w:hAnsi="宋体"/>
          <w:color w:val="000000"/>
          <w:szCs w:val="21"/>
        </w:rPr>
        <w:t>本基金基金合同生效日为2021年5月27日，基金合同生效之日起三年后的对应日为2024年5月27日。截至2024年5月27日，本基金资产净值低于两亿元，已触发基金合同中约定的基金终止条款。根据基金合同有关约定，本基金将根据《基金合同》约定进入清算程序并终止，且无需召开基金份额持有人大会。</w:t>
      </w:r>
    </w:p>
    <w:p>
      <w:pPr>
        <w:spacing w:line="360" w:lineRule="auto"/>
        <w:rPr>
          <w:rFonts w:ascii="宋体" w:hAnsi="宋体"/>
          <w:b/>
          <w:szCs w:val="21"/>
        </w:rPr>
      </w:pPr>
      <w:r>
        <w:rPr>
          <w:rFonts w:ascii="宋体" w:hAnsi="宋体"/>
          <w:b/>
          <w:szCs w:val="21"/>
        </w:rPr>
        <w:t>4.3.</w:t>
      </w:r>
      <w:r>
        <w:rPr>
          <w:rFonts w:hint="eastAsia" w:ascii="宋体" w:hAnsi="宋体"/>
          <w:b/>
          <w:szCs w:val="21"/>
        </w:rPr>
        <w:t>3清算起始日</w:t>
      </w:r>
    </w:p>
    <w:p>
      <w:pPr>
        <w:pStyle w:val="24"/>
      </w:pPr>
      <w:r>
        <w:rPr>
          <w:rFonts w:hint="eastAsia"/>
        </w:rPr>
        <w:t>根据博时基金管理有限公司于2024年5月28日发布的《博时基金管理有限公司关于博时港股通红利精选混合型发起式证券投资基金合同终止及基金财产清算的公告》，本基金的清算起始日为2024年5月28日。</w:t>
      </w:r>
    </w:p>
    <w:p>
      <w:pPr>
        <w:spacing w:line="360" w:lineRule="auto"/>
        <w:rPr>
          <w:rFonts w:ascii="宋体" w:hAnsi="宋体"/>
          <w:b/>
          <w:szCs w:val="21"/>
        </w:rPr>
      </w:pPr>
      <w:r>
        <w:rPr>
          <w:rFonts w:ascii="宋体" w:hAnsi="宋体"/>
          <w:b/>
          <w:szCs w:val="21"/>
        </w:rPr>
        <w:t>4.3.</w:t>
      </w:r>
      <w:r>
        <w:rPr>
          <w:rFonts w:hint="eastAsia" w:ascii="宋体" w:hAnsi="宋体"/>
          <w:b/>
          <w:szCs w:val="21"/>
        </w:rPr>
        <w:t>4清算财务报表的编制基础</w:t>
      </w:r>
    </w:p>
    <w:p>
      <w:pPr>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如财务报表附注</w:t>
      </w:r>
      <w:r>
        <w:rPr>
          <w:rFonts w:asciiTheme="minorEastAsia" w:hAnsiTheme="minorEastAsia" w:eastAsiaTheme="minorEastAsia"/>
          <w:color w:val="000000"/>
          <w:szCs w:val="21"/>
        </w:rPr>
        <w:t>4.3.3</w:t>
      </w:r>
      <w:r>
        <w:rPr>
          <w:rFonts w:hint="eastAsia" w:asciiTheme="minorEastAsia" w:hAnsiTheme="minorEastAsia" w:eastAsiaTheme="minorEastAsia"/>
          <w:color w:val="000000"/>
          <w:szCs w:val="21"/>
        </w:rPr>
        <w:t>所述，自2024年5月28日起，本基金进入清算程序，因此本财务报表以清算基础编制。</w:t>
      </w:r>
    </w:p>
    <w:p>
      <w:pPr>
        <w:spacing w:line="360" w:lineRule="auto"/>
        <w:ind w:firstLine="420" w:firstLineChars="200"/>
        <w:rPr>
          <w:rFonts w:asciiTheme="minorEastAsia" w:hAnsiTheme="minorEastAsia" w:eastAsiaTheme="minorEastAsia"/>
          <w:color w:val="000000"/>
          <w:szCs w:val="21"/>
        </w:rPr>
      </w:pPr>
      <w:r>
        <w:rPr>
          <w:rFonts w:asciiTheme="minorEastAsia" w:hAnsiTheme="minorEastAsia" w:eastAsiaTheme="minorEastAsia"/>
          <w:color w:val="000000"/>
          <w:szCs w:val="21"/>
        </w:rPr>
        <w:t>本基金财务报表按附注</w:t>
      </w:r>
      <w:r>
        <w:rPr>
          <w:rFonts w:hint="eastAsia" w:asciiTheme="minorEastAsia" w:hAnsiTheme="minorEastAsia" w:eastAsiaTheme="minorEastAsia"/>
          <w:color w:val="000000"/>
          <w:szCs w:val="21"/>
        </w:rPr>
        <w:t>4.3.5</w:t>
      </w:r>
      <w:r>
        <w:rPr>
          <w:rFonts w:asciiTheme="minorEastAsia" w:hAnsiTheme="minorEastAsia" w:eastAsiaTheme="minorEastAsia"/>
          <w:color w:val="000000"/>
          <w:szCs w:val="21"/>
        </w:rPr>
        <w:t>中所述的</w:t>
      </w:r>
      <w:r>
        <w:rPr>
          <w:rFonts w:hint="eastAsia" w:asciiTheme="minorEastAsia" w:hAnsiTheme="minorEastAsia" w:eastAsiaTheme="minorEastAsia"/>
          <w:color w:val="000000"/>
          <w:szCs w:val="21"/>
        </w:rPr>
        <w:t>重要</w:t>
      </w:r>
      <w:r>
        <w:rPr>
          <w:rFonts w:asciiTheme="minorEastAsia" w:hAnsiTheme="minorEastAsia" w:eastAsiaTheme="minorEastAsia"/>
          <w:color w:val="000000"/>
          <w:szCs w:val="21"/>
        </w:rPr>
        <w:t>会计政策和会计估计以清算基础编制。于</w:t>
      </w:r>
      <w:r>
        <w:rPr>
          <w:rFonts w:hint="eastAsia" w:asciiTheme="minorEastAsia" w:hAnsiTheme="minorEastAsia" w:eastAsiaTheme="minorEastAsia"/>
          <w:color w:val="000000"/>
          <w:szCs w:val="21"/>
        </w:rPr>
        <w:t>2024年5月27日</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基金最后运作日</w:t>
      </w:r>
      <w:r>
        <w:rPr>
          <w:rFonts w:asciiTheme="minorEastAsia" w:hAnsiTheme="minorEastAsia" w:eastAsiaTheme="minorEastAsia"/>
          <w:color w:val="000000"/>
          <w:szCs w:val="21"/>
        </w:rPr>
        <w:t>)，所有资产以可收回金额与原账面价值孰低计量，负债以预计需要清偿的金额计量。</w:t>
      </w:r>
    </w:p>
    <w:p>
      <w:pPr>
        <w:spacing w:line="360" w:lineRule="auto"/>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此外，本基金财务报表按照中国证券投资基金业协会(以下简称“中国基金业协会”)颁布的《证券投资基金会计核算业务指引》、《基金合同》约定的资产估值和会计核算方法及在财务报表附注4</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3所列示的中国证监会、中国基金业协会发布的有关规定及允许的基金行业实务操作编制。</w:t>
      </w:r>
    </w:p>
    <w:p>
      <w:pPr>
        <w:spacing w:line="360" w:lineRule="auto"/>
        <w:rPr>
          <w:rFonts w:ascii="宋体" w:hAnsi="宋体"/>
          <w:b/>
          <w:szCs w:val="21"/>
        </w:rPr>
      </w:pPr>
      <w:r>
        <w:rPr>
          <w:rFonts w:ascii="宋体" w:hAnsi="宋体"/>
          <w:b/>
          <w:szCs w:val="21"/>
        </w:rPr>
        <w:t>4.3.</w:t>
      </w:r>
      <w:r>
        <w:rPr>
          <w:rFonts w:hint="eastAsia" w:ascii="宋体" w:hAnsi="宋体"/>
          <w:b/>
          <w:szCs w:val="21"/>
        </w:rPr>
        <w:t>5 重要会计政策和会计估计</w:t>
      </w:r>
    </w:p>
    <w:p>
      <w:pPr>
        <w:spacing w:line="360" w:lineRule="auto"/>
        <w:rPr>
          <w:rFonts w:ascii="宋体" w:hAnsi="宋体"/>
          <w:b/>
          <w:szCs w:val="21"/>
        </w:rPr>
      </w:pPr>
      <w:r>
        <w:rPr>
          <w:rFonts w:ascii="宋体" w:hAnsi="宋体"/>
          <w:b/>
          <w:szCs w:val="21"/>
        </w:rPr>
        <w:t>4.3.</w:t>
      </w:r>
      <w:r>
        <w:rPr>
          <w:rFonts w:hint="eastAsia" w:ascii="宋体" w:hAnsi="宋体"/>
          <w:b/>
          <w:szCs w:val="21"/>
        </w:rPr>
        <w:t>5</w:t>
      </w:r>
      <w:r>
        <w:rPr>
          <w:rFonts w:ascii="宋体" w:hAnsi="宋体"/>
          <w:b/>
          <w:szCs w:val="21"/>
        </w:rPr>
        <w:t>.</w:t>
      </w:r>
      <w:r>
        <w:rPr>
          <w:rFonts w:hint="eastAsia" w:ascii="宋体" w:hAnsi="宋体"/>
          <w:b/>
          <w:szCs w:val="21"/>
        </w:rPr>
        <w:t>1清算期间</w:t>
      </w:r>
    </w:p>
    <w:p>
      <w:pPr>
        <w:spacing w:line="360" w:lineRule="auto"/>
        <w:ind w:firstLine="420" w:firstLineChars="200"/>
        <w:rPr>
          <w:rFonts w:ascii="宋体" w:hAnsi="宋体"/>
          <w:color w:val="000000"/>
          <w:szCs w:val="21"/>
        </w:rPr>
      </w:pPr>
      <w:r>
        <w:rPr>
          <w:rFonts w:hint="eastAsia" w:ascii="宋体" w:hAnsi="宋体"/>
          <w:color w:val="000000"/>
          <w:szCs w:val="21"/>
        </w:rPr>
        <w:t>本清算期间为2024年5月28日至2024年6月5日。</w:t>
      </w:r>
    </w:p>
    <w:p>
      <w:pPr>
        <w:spacing w:line="360" w:lineRule="auto"/>
        <w:rPr>
          <w:rFonts w:ascii="宋体" w:hAnsi="宋体"/>
          <w:b/>
          <w:szCs w:val="21"/>
        </w:rPr>
      </w:pPr>
      <w:r>
        <w:rPr>
          <w:rFonts w:ascii="宋体" w:hAnsi="宋体"/>
          <w:b/>
          <w:szCs w:val="21"/>
        </w:rPr>
        <w:t>4.3.</w:t>
      </w:r>
      <w:r>
        <w:rPr>
          <w:rFonts w:hint="eastAsia" w:ascii="宋体" w:hAnsi="宋体"/>
          <w:b/>
          <w:szCs w:val="21"/>
        </w:rPr>
        <w:t>5</w:t>
      </w:r>
      <w:r>
        <w:rPr>
          <w:rFonts w:ascii="宋体" w:hAnsi="宋体"/>
          <w:b/>
          <w:szCs w:val="21"/>
        </w:rPr>
        <w:t>.2 记账本位币</w:t>
      </w:r>
    </w:p>
    <w:p>
      <w:pPr>
        <w:spacing w:line="360" w:lineRule="auto"/>
        <w:ind w:firstLine="420" w:firstLineChars="200"/>
        <w:rPr>
          <w:rFonts w:ascii="宋体" w:hAnsi="宋体"/>
          <w:color w:val="000000"/>
          <w:szCs w:val="21"/>
        </w:rPr>
      </w:pPr>
      <w:r>
        <w:rPr>
          <w:rFonts w:hint="eastAsia" w:ascii="宋体" w:hAnsi="宋体"/>
          <w:color w:val="000000"/>
          <w:szCs w:val="21"/>
        </w:rPr>
        <w:t>本清算财务报表以人民币为记账本位币。</w:t>
      </w:r>
    </w:p>
    <w:p>
      <w:pPr>
        <w:spacing w:line="360" w:lineRule="auto"/>
        <w:rPr>
          <w:rFonts w:ascii="宋体" w:hAnsi="宋体"/>
          <w:b/>
          <w:szCs w:val="21"/>
        </w:rPr>
      </w:pPr>
      <w:r>
        <w:rPr>
          <w:rFonts w:ascii="宋体" w:hAnsi="宋体"/>
          <w:b/>
          <w:szCs w:val="21"/>
        </w:rPr>
        <w:t>4.3.</w:t>
      </w:r>
      <w:r>
        <w:rPr>
          <w:rFonts w:hint="eastAsia" w:ascii="宋体" w:hAnsi="宋体"/>
          <w:b/>
          <w:szCs w:val="21"/>
        </w:rPr>
        <w:t>5</w:t>
      </w:r>
      <w:r>
        <w:rPr>
          <w:rFonts w:ascii="宋体" w:hAnsi="宋体"/>
          <w:b/>
          <w:szCs w:val="21"/>
        </w:rPr>
        <w:t>.</w:t>
      </w:r>
      <w:r>
        <w:rPr>
          <w:rFonts w:hint="eastAsia" w:ascii="宋体" w:hAnsi="宋体"/>
          <w:b/>
          <w:szCs w:val="21"/>
        </w:rPr>
        <w:t>3</w:t>
      </w:r>
      <w:r>
        <w:rPr>
          <w:rFonts w:ascii="宋体" w:hAnsi="宋体"/>
          <w:b/>
          <w:szCs w:val="21"/>
        </w:rPr>
        <w:t xml:space="preserve"> </w:t>
      </w:r>
      <w:r>
        <w:rPr>
          <w:rFonts w:hint="eastAsia" w:ascii="宋体" w:hAnsi="宋体"/>
          <w:b/>
          <w:szCs w:val="21"/>
        </w:rPr>
        <w:t xml:space="preserve">应收利息的确认和计量 </w:t>
      </w:r>
    </w:p>
    <w:p>
      <w:pPr>
        <w:spacing w:line="360" w:lineRule="auto"/>
        <w:ind w:firstLine="420" w:firstLineChars="200"/>
        <w:rPr>
          <w:rFonts w:ascii="宋体" w:hAnsi="宋体"/>
          <w:color w:val="000000"/>
          <w:szCs w:val="21"/>
        </w:rPr>
      </w:pPr>
      <w:r>
        <w:rPr>
          <w:rFonts w:ascii="宋体" w:hAnsi="宋体"/>
          <w:color w:val="000000"/>
          <w:szCs w:val="21"/>
        </w:rPr>
        <w:t>应收款项按照未来应收取的款项金额计量。</w:t>
      </w:r>
    </w:p>
    <w:p>
      <w:pPr>
        <w:spacing w:line="360" w:lineRule="auto"/>
        <w:rPr>
          <w:rFonts w:ascii="宋体" w:hAnsi="宋体"/>
          <w:b/>
          <w:szCs w:val="21"/>
        </w:rPr>
      </w:pPr>
      <w:r>
        <w:rPr>
          <w:rFonts w:ascii="宋体" w:hAnsi="宋体"/>
          <w:b/>
          <w:szCs w:val="21"/>
        </w:rPr>
        <w:t>4.3.</w:t>
      </w:r>
      <w:r>
        <w:rPr>
          <w:rFonts w:hint="eastAsia" w:ascii="宋体" w:hAnsi="宋体"/>
          <w:b/>
          <w:szCs w:val="21"/>
        </w:rPr>
        <w:t>5</w:t>
      </w:r>
      <w:r>
        <w:rPr>
          <w:rFonts w:ascii="宋体" w:hAnsi="宋体"/>
          <w:b/>
          <w:szCs w:val="21"/>
        </w:rPr>
        <w:t>.</w:t>
      </w:r>
      <w:r>
        <w:rPr>
          <w:rFonts w:hint="eastAsia" w:ascii="宋体" w:hAnsi="宋体"/>
          <w:b/>
          <w:szCs w:val="21"/>
        </w:rPr>
        <w:t>4</w:t>
      </w:r>
      <w:r>
        <w:rPr>
          <w:rFonts w:ascii="宋体" w:hAnsi="宋体"/>
          <w:b/>
          <w:szCs w:val="21"/>
        </w:rPr>
        <w:t xml:space="preserve"> </w:t>
      </w:r>
      <w:r>
        <w:rPr>
          <w:rFonts w:hint="eastAsia" w:ascii="宋体" w:hAnsi="宋体"/>
          <w:b/>
          <w:szCs w:val="21"/>
        </w:rPr>
        <w:t xml:space="preserve">应付款项的确认和计量 </w:t>
      </w:r>
    </w:p>
    <w:p>
      <w:pPr>
        <w:spacing w:line="360" w:lineRule="auto"/>
        <w:ind w:firstLine="420" w:firstLineChars="200"/>
        <w:rPr>
          <w:rFonts w:ascii="宋体" w:hAnsi="宋体"/>
          <w:color w:val="000000"/>
          <w:szCs w:val="21"/>
        </w:rPr>
      </w:pPr>
      <w:r>
        <w:rPr>
          <w:rFonts w:ascii="宋体" w:hAnsi="宋体"/>
          <w:color w:val="000000"/>
          <w:szCs w:val="21"/>
        </w:rPr>
        <w:t>应付款项按照未来应支付的款项金额计量。</w:t>
      </w:r>
    </w:p>
    <w:p>
      <w:pPr>
        <w:spacing w:line="360" w:lineRule="auto"/>
        <w:rPr>
          <w:rFonts w:ascii="宋体" w:hAnsi="宋体"/>
          <w:b/>
          <w:szCs w:val="21"/>
        </w:rPr>
      </w:pPr>
      <w:r>
        <w:rPr>
          <w:rFonts w:ascii="宋体" w:hAnsi="宋体"/>
          <w:b/>
          <w:szCs w:val="21"/>
        </w:rPr>
        <w:t>4.3.</w:t>
      </w:r>
      <w:r>
        <w:rPr>
          <w:rFonts w:hint="eastAsia" w:ascii="宋体" w:hAnsi="宋体"/>
          <w:b/>
          <w:szCs w:val="21"/>
        </w:rPr>
        <w:t>5</w:t>
      </w:r>
      <w:r>
        <w:rPr>
          <w:rFonts w:ascii="宋体" w:hAnsi="宋体"/>
          <w:b/>
          <w:szCs w:val="21"/>
        </w:rPr>
        <w:t>.</w:t>
      </w:r>
      <w:r>
        <w:rPr>
          <w:rFonts w:hint="eastAsia" w:ascii="宋体" w:hAnsi="宋体"/>
          <w:b/>
          <w:szCs w:val="21"/>
        </w:rPr>
        <w:t>5</w:t>
      </w:r>
      <w:r>
        <w:rPr>
          <w:rFonts w:ascii="宋体" w:hAnsi="宋体"/>
          <w:b/>
          <w:szCs w:val="21"/>
        </w:rPr>
        <w:t xml:space="preserve"> </w:t>
      </w:r>
      <w:r>
        <w:rPr>
          <w:rFonts w:hint="eastAsia" w:ascii="宋体" w:hAnsi="宋体"/>
          <w:b/>
          <w:szCs w:val="21"/>
        </w:rPr>
        <w:t xml:space="preserve">清算收益的确认和计量 </w:t>
      </w:r>
    </w:p>
    <w:p>
      <w:pPr>
        <w:spacing w:line="360" w:lineRule="auto"/>
        <w:ind w:firstLine="420" w:firstLineChars="200"/>
        <w:rPr>
          <w:rFonts w:ascii="宋体" w:hAnsi="宋体"/>
          <w:color w:val="000000"/>
          <w:szCs w:val="21"/>
        </w:rPr>
      </w:pPr>
      <w:r>
        <w:rPr>
          <w:rFonts w:ascii="宋体" w:hAnsi="宋体"/>
          <w:color w:val="000000"/>
          <w:szCs w:val="21"/>
        </w:rPr>
        <w:t>清算收益按照实际发生的收益金额或未来应收取的款项金额计量。</w:t>
      </w:r>
    </w:p>
    <w:p>
      <w:pPr>
        <w:spacing w:line="360" w:lineRule="auto"/>
        <w:rPr>
          <w:rFonts w:ascii="宋体" w:hAnsi="宋体"/>
          <w:b/>
          <w:szCs w:val="21"/>
        </w:rPr>
      </w:pPr>
      <w:r>
        <w:rPr>
          <w:rFonts w:ascii="宋体" w:hAnsi="宋体"/>
          <w:b/>
          <w:szCs w:val="21"/>
        </w:rPr>
        <w:t>4.3.</w:t>
      </w:r>
      <w:r>
        <w:rPr>
          <w:rFonts w:hint="eastAsia" w:ascii="宋体" w:hAnsi="宋体"/>
          <w:b/>
          <w:szCs w:val="21"/>
        </w:rPr>
        <w:t>5</w:t>
      </w:r>
      <w:r>
        <w:rPr>
          <w:rFonts w:ascii="宋体" w:hAnsi="宋体"/>
          <w:b/>
          <w:szCs w:val="21"/>
        </w:rPr>
        <w:t>.6</w:t>
      </w:r>
      <w:r>
        <w:rPr>
          <w:rFonts w:hint="eastAsia" w:ascii="宋体" w:hAnsi="宋体"/>
          <w:b/>
          <w:szCs w:val="21"/>
        </w:rPr>
        <w:t xml:space="preserve">清算费用的确认和计量 </w:t>
      </w:r>
    </w:p>
    <w:p>
      <w:pPr>
        <w:spacing w:line="360" w:lineRule="auto"/>
        <w:ind w:firstLine="420" w:firstLineChars="200"/>
        <w:rPr>
          <w:rFonts w:ascii="宋体" w:hAnsi="宋体"/>
          <w:color w:val="000000"/>
          <w:szCs w:val="21"/>
        </w:rPr>
      </w:pPr>
      <w:r>
        <w:rPr>
          <w:rFonts w:ascii="宋体" w:hAnsi="宋体"/>
          <w:color w:val="000000"/>
          <w:szCs w:val="21"/>
        </w:rPr>
        <w:t>清算费用按照实际发生的费用金额或未来应支付的款项金额计量。</w:t>
      </w:r>
    </w:p>
    <w:p>
      <w:pPr>
        <w:spacing w:line="360" w:lineRule="auto"/>
        <w:rPr>
          <w:rFonts w:ascii="宋体" w:hAnsi="宋体"/>
          <w:b/>
          <w:szCs w:val="21"/>
        </w:rPr>
      </w:pPr>
      <w:r>
        <w:rPr>
          <w:rFonts w:ascii="宋体" w:hAnsi="宋体"/>
          <w:b/>
          <w:szCs w:val="21"/>
        </w:rPr>
        <w:t>4.3.</w:t>
      </w:r>
      <w:r>
        <w:rPr>
          <w:rFonts w:hint="eastAsia" w:ascii="宋体" w:hAnsi="宋体"/>
          <w:b/>
          <w:szCs w:val="21"/>
        </w:rPr>
        <w:t>6 税项</w:t>
      </w:r>
    </w:p>
    <w:p>
      <w:pPr>
        <w:spacing w:line="360" w:lineRule="auto"/>
        <w:ind w:firstLine="420" w:firstLineChars="200"/>
        <w:rPr>
          <w:rFonts w:hint="eastAsia" w:ascii="宋体" w:hAnsi="宋体"/>
          <w:color w:val="000000"/>
          <w:szCs w:val="21"/>
        </w:rPr>
      </w:pPr>
      <w:bookmarkStart w:id="47" w:name="_Toc491963087"/>
      <w:bookmarkStart w:id="48" w:name="_Toc484769809"/>
      <w:r>
        <w:rPr>
          <w:rFonts w:hint="eastAsia" w:ascii="宋体" w:hAnsi="宋体"/>
          <w:color w:val="000000"/>
          <w:szCs w:val="21"/>
        </w:rPr>
        <w:t>根据财政部、国家税务总局财税[2002]128号《关于开放式证券投资基金有关税收问题的通知》、财税[2008]1号《关于企业所得税若干优惠政策的通知》、财税[2012]85号《关于实施上市公司股息红利差别化个人所得税政策有关问题的通知》、财税[2014]81号《财政部国家税务总局证监会关于沪港股票市场交易互联互通机制试点有关税收政策的通知》、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财税[2016]127号《财政部国家税务总局证监会关于深港股票市场交易互联互通机制试点有关税收政策的通知》、财税[2016]140号《关于明确金融 房地产开发 教育辅助服务等增值税政策的通知》、财税[2017]2号《关于资管产品增值税政策有关问题的补充通知》、财税[2017]56号《关于资管产品增值税有关问题的通知》、财税[2017]90号《关于租入固定资产进项税额抵扣等增值税政策的通知》及其他相关财税法规和实务操作，主要税项列示如下：</w:t>
      </w:r>
    </w:p>
    <w:p>
      <w:pPr>
        <w:spacing w:line="360" w:lineRule="auto"/>
        <w:ind w:firstLine="420" w:firstLineChars="200"/>
        <w:rPr>
          <w:rFonts w:hint="eastAsia" w:ascii="宋体" w:hAnsi="宋体"/>
          <w:color w:val="000000"/>
          <w:szCs w:val="21"/>
        </w:rPr>
      </w:pPr>
      <w:r>
        <w:rPr>
          <w:rFonts w:hint="eastAsia" w:ascii="宋体" w:hAnsi="宋体"/>
          <w:color w:val="000000"/>
          <w:szCs w:val="21"/>
        </w:rPr>
        <w:t>(1)资管产品运营过程中发生的增值税应税行为，以资管产品管理人为增值税纳税人。资管产品管理人运营资管产品过程中发生的增值税应税行为，暂适用简易计税方法，按照3%的征收率缴纳增值税。</w:t>
      </w:r>
    </w:p>
    <w:p>
      <w:pPr>
        <w:spacing w:line="360" w:lineRule="auto"/>
        <w:ind w:firstLine="420" w:firstLineChars="200"/>
        <w:rPr>
          <w:rFonts w:hint="eastAsia" w:ascii="宋体" w:hAnsi="宋体"/>
          <w:color w:val="000000"/>
          <w:szCs w:val="21"/>
        </w:rPr>
      </w:pPr>
      <w:r>
        <w:rPr>
          <w:rFonts w:hint="eastAsia" w:ascii="宋体" w:hAnsi="宋体"/>
          <w:color w:val="000000"/>
          <w:szCs w:val="21"/>
        </w:rPr>
        <w:t>对证券投资基金管理人运用基金买卖股票、债券的转让收入免征增值税，对国债、地方政府债以及金融同业往来利息收入亦免征增值税。资管产品管理人运营资管产品提供的贷款服务，以产生的利息及利息性质的收入为销售额。</w:t>
      </w:r>
    </w:p>
    <w:p>
      <w:pPr>
        <w:spacing w:line="360" w:lineRule="auto"/>
        <w:ind w:firstLine="420" w:firstLineChars="200"/>
        <w:rPr>
          <w:rFonts w:hint="eastAsia" w:ascii="宋体" w:hAnsi="宋体"/>
          <w:color w:val="000000"/>
          <w:szCs w:val="21"/>
        </w:rPr>
      </w:pPr>
      <w:r>
        <w:rPr>
          <w:rFonts w:hint="eastAsia" w:ascii="宋体" w:hAnsi="宋体"/>
          <w:color w:val="000000"/>
          <w:szCs w:val="21"/>
        </w:rPr>
        <w:t>(2)对基金从证券市场中取得的收入，包括买卖股票、债券的差价收入，股票的股息、红利收入，债券的利息收入及其他收入，暂不征收企业所得税。</w:t>
      </w:r>
    </w:p>
    <w:p>
      <w:pPr>
        <w:spacing w:line="360" w:lineRule="auto"/>
        <w:ind w:firstLine="420" w:firstLineChars="200"/>
        <w:rPr>
          <w:rFonts w:hint="eastAsia" w:ascii="宋体" w:hAnsi="宋体"/>
          <w:color w:val="000000"/>
          <w:szCs w:val="21"/>
        </w:rPr>
      </w:pPr>
      <w:r>
        <w:rPr>
          <w:rFonts w:hint="eastAsia" w:ascii="宋体" w:hAnsi="宋体"/>
          <w:color w:val="000000"/>
          <w:szCs w:val="21"/>
        </w:rPr>
        <w:t>(3)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w:t>
      </w:r>
    </w:p>
    <w:p>
      <w:pPr>
        <w:spacing w:line="360" w:lineRule="auto"/>
        <w:ind w:firstLine="420" w:firstLineChars="200"/>
        <w:rPr>
          <w:rFonts w:hint="eastAsia" w:ascii="宋体" w:hAnsi="宋体"/>
          <w:color w:val="000000"/>
          <w:szCs w:val="21"/>
        </w:rPr>
      </w:pPr>
      <w:r>
        <w:rPr>
          <w:rFonts w:hint="eastAsia" w:ascii="宋体" w:hAnsi="宋体"/>
          <w:color w:val="000000"/>
          <w:szCs w:val="21"/>
        </w:rPr>
        <w:t>对基金通过沪港通/深港通投资香港联交所上市H股取得的股息红利，H股公司应向中国证券登记结算有限责任公司(以下简称“中国结算”)提出申请，由中国结算向H股公司提供内地个人投资者名册，H股公司按照20%的税率代扣个人所得税。基金通过沪港通/深港通投资香港联交所上市的非H股取得的股息红利，由中国结算按照20%的税率代扣个人所得税。</w:t>
      </w:r>
    </w:p>
    <w:p>
      <w:pPr>
        <w:spacing w:line="360" w:lineRule="auto"/>
        <w:ind w:firstLine="420" w:firstLineChars="200"/>
        <w:rPr>
          <w:rFonts w:hint="eastAsia" w:ascii="宋体" w:hAnsi="宋体"/>
          <w:color w:val="000000"/>
          <w:szCs w:val="21"/>
        </w:rPr>
      </w:pPr>
      <w:r>
        <w:rPr>
          <w:rFonts w:hint="eastAsia" w:ascii="宋体" w:hAnsi="宋体"/>
          <w:color w:val="000000"/>
          <w:szCs w:val="21"/>
        </w:rPr>
        <w:t>(4)基金卖出股票按0.1%的税率缴纳股票交易印花税，买入股票不征收股票交易印花税。根据财政部、国家税务总局公告2023年第39号《关于减半征收证券交易印花税的公告》，自2023年8月28日起，证券交易印花税实施减半征收。</w:t>
      </w:r>
    </w:p>
    <w:p>
      <w:pPr>
        <w:spacing w:line="360" w:lineRule="auto"/>
        <w:ind w:firstLine="420" w:firstLineChars="200"/>
        <w:rPr>
          <w:rFonts w:hint="eastAsia" w:ascii="宋体" w:hAnsi="宋体"/>
          <w:color w:val="000000"/>
          <w:szCs w:val="21"/>
        </w:rPr>
      </w:pPr>
      <w:r>
        <w:rPr>
          <w:rFonts w:hint="eastAsia" w:ascii="宋体" w:hAnsi="宋体"/>
          <w:color w:val="000000"/>
          <w:szCs w:val="21"/>
        </w:rPr>
        <w:t>基金通过沪港通/深港通买卖、继承、赠与联交所上市股票，按照香港特别行政区现行税法规定缴纳印花税。</w:t>
      </w:r>
    </w:p>
    <w:p>
      <w:pPr>
        <w:spacing w:line="360" w:lineRule="auto"/>
        <w:ind w:firstLine="420" w:firstLineChars="200"/>
      </w:pPr>
      <w:r>
        <w:rPr>
          <w:rFonts w:hint="eastAsia" w:ascii="宋体" w:hAnsi="宋体"/>
          <w:color w:val="000000"/>
          <w:szCs w:val="21"/>
        </w:rPr>
        <w:t>(5)本基金的城市维护建设税、教育费附加和地方教育附加等税费按照实际缴纳增值税额的适用比例计算缴纳。</w:t>
      </w:r>
    </w:p>
    <w:p>
      <w:pPr>
        <w:spacing w:line="360" w:lineRule="auto"/>
        <w:ind w:firstLine="562" w:firstLineChars="200"/>
        <w:jc w:val="center"/>
        <w:rPr>
          <w:rStyle w:val="20"/>
          <w:rFonts w:ascii="宋体" w:hAnsi="宋体"/>
        </w:rPr>
      </w:pPr>
      <w:r>
        <w:rPr>
          <w:rStyle w:val="20"/>
          <w:rFonts w:hint="eastAsia" w:ascii="宋体" w:hAnsi="宋体"/>
        </w:rPr>
        <w:t>5、清算情况</w:t>
      </w:r>
      <w:bookmarkEnd w:id="47"/>
    </w:p>
    <w:p>
      <w:pPr>
        <w:pStyle w:val="3"/>
        <w:spacing w:before="0" w:after="0"/>
        <w:rPr>
          <w:rFonts w:ascii="宋体" w:hAnsi="宋体" w:eastAsia="宋体"/>
          <w:kern w:val="0"/>
          <w:sz w:val="21"/>
          <w:szCs w:val="21"/>
        </w:rPr>
      </w:pPr>
      <w:bookmarkStart w:id="49" w:name="_Toc491963088"/>
      <w:r>
        <w:rPr>
          <w:rFonts w:hint="eastAsia" w:ascii="宋体" w:hAnsi="宋体" w:eastAsia="宋体"/>
          <w:kern w:val="0"/>
          <w:sz w:val="21"/>
          <w:szCs w:val="21"/>
        </w:rPr>
        <w:t>5.1 资产负债清算情况</w:t>
      </w:r>
      <w:bookmarkEnd w:id="49"/>
    </w:p>
    <w:p>
      <w:pPr>
        <w:pStyle w:val="24"/>
      </w:pPr>
      <w:r>
        <w:rPr>
          <w:rFonts w:hint="eastAsia"/>
        </w:rPr>
        <w:t>自2024年5月28日至2024年6月5日止为本次清算期间，基金财产清算小组对本基金的基金财产进行清算，全部清算工作按清算原则和清算手续进行。具体清算情况如下：</w:t>
      </w:r>
    </w:p>
    <w:p>
      <w:pPr>
        <w:pStyle w:val="24"/>
      </w:pPr>
      <w:r>
        <w:rPr>
          <w:rFonts w:hint="eastAsia"/>
        </w:rPr>
        <w:t>截至本次清算期结束日（2024年6月5日），各项资产负债清算情况如下：</w:t>
      </w:r>
    </w:p>
    <w:p>
      <w:pPr>
        <w:pStyle w:val="24"/>
        <w:numPr>
          <w:ilvl w:val="0"/>
          <w:numId w:val="1"/>
        </w:numPr>
        <w:ind w:firstLineChars="0"/>
      </w:pPr>
      <w:r>
        <w:rPr>
          <w:rFonts w:hint="eastAsia"/>
        </w:rPr>
        <w:t>本基金最后运作日银行存款为8,321,181.23元（含应计利息1,329.37元），在清算期间产生银行存款应计利息</w:t>
      </w:r>
      <w:r>
        <w:t>1193.35</w:t>
      </w:r>
      <w:r>
        <w:rPr>
          <w:rFonts w:hint="eastAsia"/>
        </w:rPr>
        <w:t>元，预计将于2024年6月21日收到银行存款应计利息。</w:t>
      </w:r>
    </w:p>
    <w:p>
      <w:pPr>
        <w:pStyle w:val="24"/>
        <w:numPr>
          <w:ilvl w:val="0"/>
          <w:numId w:val="1"/>
        </w:numPr>
        <w:ind w:firstLineChars="0"/>
      </w:pPr>
      <w:r>
        <w:rPr>
          <w:rFonts w:hint="eastAsia"/>
        </w:rPr>
        <w:t>本基金最后运作日深股通备付金余额为3,072,713.63元（含应计利息793.45元），在清算期内上述款项产生应计利息</w:t>
      </w:r>
      <w:r>
        <w:t>310.63</w:t>
      </w:r>
      <w:r>
        <w:rPr>
          <w:rFonts w:hint="eastAsia"/>
        </w:rPr>
        <w:t>元，截至</w:t>
      </w:r>
      <w:r>
        <w:t>2024年6月</w:t>
      </w:r>
      <w:r>
        <w:rPr>
          <w:rFonts w:hint="eastAsia"/>
        </w:rPr>
        <w:t>5</w:t>
      </w:r>
      <w:r>
        <w:t>日</w:t>
      </w:r>
      <w:r>
        <w:rPr>
          <w:rFonts w:hint="eastAsia"/>
        </w:rPr>
        <w:t>深港通备付金本金已全部收回，预计将于2024年6月21日收到深股通备付金应计利息。</w:t>
      </w:r>
    </w:p>
    <w:p>
      <w:pPr>
        <w:pStyle w:val="24"/>
        <w:numPr>
          <w:ilvl w:val="0"/>
          <w:numId w:val="1"/>
        </w:numPr>
        <w:ind w:firstLineChars="0"/>
        <w:rPr>
          <w:rFonts w:hint="eastAsia"/>
        </w:rPr>
      </w:pPr>
      <w:r>
        <w:rPr>
          <w:rFonts w:hint="eastAsia"/>
        </w:rPr>
        <w:t>本基金在清算期间产生上交所结算保证金</w:t>
      </w:r>
      <w:r>
        <w:t>322.01</w:t>
      </w:r>
      <w:r>
        <w:rPr>
          <w:rFonts w:hint="eastAsia"/>
        </w:rPr>
        <w:t>元（含应计利息0.02元），预计将于2024年6月21日收到上交所结算保证金应计利息。</w:t>
      </w:r>
    </w:p>
    <w:p>
      <w:pPr>
        <w:pStyle w:val="24"/>
        <w:numPr>
          <w:ilvl w:val="0"/>
          <w:numId w:val="1"/>
        </w:numPr>
        <w:ind w:firstLineChars="0"/>
        <w:rPr>
          <w:rFonts w:hint="eastAsia"/>
        </w:rPr>
      </w:pPr>
      <w:r>
        <w:rPr>
          <w:rFonts w:hint="eastAsia"/>
        </w:rPr>
        <w:t>本基金在清算期间产生深交所结算保证金</w:t>
      </w:r>
      <w:r>
        <w:t>29.53</w:t>
      </w:r>
      <w:r>
        <w:rPr>
          <w:rFonts w:hint="eastAsia"/>
        </w:rPr>
        <w:t>元（未产生应计利息），预计将于后续月份收回深交所结算保证金本金。</w:t>
      </w:r>
    </w:p>
    <w:p>
      <w:pPr>
        <w:pStyle w:val="24"/>
        <w:numPr>
          <w:ilvl w:val="0"/>
          <w:numId w:val="1"/>
        </w:numPr>
        <w:ind w:firstLineChars="0"/>
      </w:pPr>
      <w:r>
        <w:rPr>
          <w:rFonts w:hint="eastAsia"/>
        </w:rPr>
        <w:t>本基金最后运作日深股通风控资金余额为7,105.17元（含应计利息11.53元），在清算期内上述款项产生应计利息0.74元，截至2024年5月30日深股通风控资金本金已全部收回，预计将于2024年6月21日收到日深股通风控资金应计利息</w:t>
      </w:r>
      <w:bookmarkStart w:id="82" w:name="_GoBack"/>
      <w:bookmarkEnd w:id="82"/>
      <w:r>
        <w:rPr>
          <w:rFonts w:hint="eastAsia"/>
        </w:rPr>
        <w:t>。</w:t>
      </w:r>
    </w:p>
    <w:p>
      <w:pPr>
        <w:pStyle w:val="24"/>
        <w:numPr>
          <w:ilvl w:val="0"/>
          <w:numId w:val="1"/>
        </w:numPr>
        <w:ind w:firstLineChars="0"/>
      </w:pPr>
      <w:r>
        <w:rPr>
          <w:rFonts w:hint="eastAsia"/>
        </w:rPr>
        <w:t>本基金最后运作日应收股利余额为</w:t>
      </w:r>
      <w:r>
        <w:t>6</w:t>
      </w:r>
      <w:r>
        <w:rPr>
          <w:rFonts w:hint="eastAsia"/>
        </w:rPr>
        <w:t>,</w:t>
      </w:r>
      <w:r>
        <w:t>038.38</w:t>
      </w:r>
      <w:r>
        <w:rPr>
          <w:rFonts w:hint="eastAsia"/>
        </w:rPr>
        <w:t>元，</w:t>
      </w:r>
      <w:r>
        <w:rPr>
          <w:rFonts w:hint="eastAsia"/>
          <w:lang w:eastAsia="zh-CN"/>
        </w:rPr>
        <w:t>其中腾讯控股应收股利</w:t>
      </w:r>
      <w:r>
        <w:rPr>
          <w:rFonts w:hint="eastAsia"/>
          <w:lang w:val="en-US" w:eastAsia="zh-CN"/>
        </w:rPr>
        <w:t>1</w:t>
      </w:r>
      <w:r>
        <w:rPr>
          <w:rFonts w:hint="eastAsia"/>
        </w:rPr>
        <w:t>,</w:t>
      </w:r>
      <w:r>
        <w:rPr>
          <w:rFonts w:hint="eastAsia"/>
          <w:lang w:val="en-US" w:eastAsia="zh-CN"/>
        </w:rPr>
        <w:t>238.38元，</w:t>
      </w:r>
      <w:r>
        <w:rPr>
          <w:rFonts w:hint="eastAsia"/>
        </w:rPr>
        <w:t>截至2024年6月5日已收到</w:t>
      </w:r>
      <w:r>
        <w:t>1</w:t>
      </w:r>
      <w:r>
        <w:rPr>
          <w:rFonts w:hint="eastAsia"/>
        </w:rPr>
        <w:t>,</w:t>
      </w:r>
      <w:r>
        <w:t>260.17</w:t>
      </w:r>
      <w:r>
        <w:rPr>
          <w:rFonts w:hint="eastAsia"/>
        </w:rPr>
        <w:t>元</w:t>
      </w:r>
      <w:r>
        <w:rPr>
          <w:rFonts w:hint="eastAsia"/>
          <w:lang w:eastAsia="zh-CN"/>
        </w:rPr>
        <w:t>；紫金矿业应收股利</w:t>
      </w:r>
      <w:r>
        <w:rPr>
          <w:rFonts w:hint="eastAsia"/>
        </w:rPr>
        <w:t>4,800.00元预计于2024年7月收回。</w:t>
      </w:r>
    </w:p>
    <w:p>
      <w:pPr>
        <w:pStyle w:val="24"/>
        <w:numPr>
          <w:ilvl w:val="0"/>
          <w:numId w:val="1"/>
        </w:numPr>
        <w:ind w:firstLineChars="0"/>
        <w:rPr>
          <w:rFonts w:hint="eastAsia"/>
        </w:rPr>
      </w:pPr>
      <w:r>
        <w:rPr>
          <w:rFonts w:hint="eastAsia"/>
        </w:rPr>
        <w:t>本基金最后运作日应收申购款、应收转入款合计为</w:t>
      </w:r>
      <w:r>
        <w:t>149</w:t>
      </w:r>
      <w:r>
        <w:rPr>
          <w:rFonts w:hint="eastAsia"/>
        </w:rPr>
        <w:t>,</w:t>
      </w:r>
      <w:r>
        <w:t>146.66</w:t>
      </w:r>
      <w:r>
        <w:rPr>
          <w:rFonts w:hint="eastAsia"/>
        </w:rPr>
        <w:t>元，截至2024年</w:t>
      </w:r>
      <w:r>
        <w:t>6月</w:t>
      </w:r>
      <w:r>
        <w:rPr>
          <w:rFonts w:hint="eastAsia"/>
        </w:rPr>
        <w:t>5</w:t>
      </w:r>
      <w:r>
        <w:t>日</w:t>
      </w:r>
      <w:r>
        <w:rPr>
          <w:rFonts w:hint="eastAsia"/>
        </w:rPr>
        <w:t>该款项已全部收到。</w:t>
      </w:r>
    </w:p>
    <w:p>
      <w:pPr>
        <w:pStyle w:val="24"/>
        <w:numPr>
          <w:ilvl w:val="0"/>
          <w:numId w:val="1"/>
        </w:numPr>
        <w:ind w:firstLineChars="0"/>
        <w:rPr>
          <w:rFonts w:hint="eastAsia"/>
        </w:rPr>
      </w:pPr>
      <w:r>
        <w:rPr>
          <w:rFonts w:hint="eastAsia"/>
        </w:rPr>
        <w:t>本基金最后运作日应收清算款为</w:t>
      </w:r>
      <w:r>
        <w:t>6</w:t>
      </w:r>
      <w:r>
        <w:rPr>
          <w:rFonts w:hint="eastAsia"/>
        </w:rPr>
        <w:t>,</w:t>
      </w:r>
      <w:r>
        <w:t>902</w:t>
      </w:r>
      <w:r>
        <w:rPr>
          <w:rFonts w:hint="eastAsia"/>
        </w:rPr>
        <w:t>,</w:t>
      </w:r>
      <w:r>
        <w:t>854.27</w:t>
      </w:r>
      <w:r>
        <w:rPr>
          <w:rFonts w:hint="eastAsia"/>
        </w:rPr>
        <w:t>元，该款项已于2024年5月30日收到。</w:t>
      </w:r>
    </w:p>
    <w:p>
      <w:pPr>
        <w:pStyle w:val="24"/>
        <w:numPr>
          <w:ilvl w:val="0"/>
          <w:numId w:val="1"/>
        </w:numPr>
        <w:ind w:firstLineChars="0"/>
      </w:pPr>
      <w:r>
        <w:rPr>
          <w:rFonts w:hint="eastAsia"/>
        </w:rPr>
        <w:t>本基金最后运作日应付赎回款、应付转出款合计为</w:t>
      </w:r>
      <w:r>
        <w:t>2</w:t>
      </w:r>
      <w:r>
        <w:rPr>
          <w:rFonts w:hint="eastAsia"/>
        </w:rPr>
        <w:t>,</w:t>
      </w:r>
      <w:r>
        <w:t>221</w:t>
      </w:r>
      <w:r>
        <w:rPr>
          <w:rFonts w:hint="eastAsia"/>
        </w:rPr>
        <w:t>,</w:t>
      </w:r>
      <w:r>
        <w:t>531.60</w:t>
      </w:r>
      <w:r>
        <w:rPr>
          <w:rFonts w:hint="eastAsia"/>
        </w:rPr>
        <w:t>元，截至2024年</w:t>
      </w:r>
      <w:r>
        <w:t>6月</w:t>
      </w:r>
      <w:r>
        <w:rPr>
          <w:rFonts w:hint="eastAsia"/>
        </w:rPr>
        <w:t>5</w:t>
      </w:r>
      <w:r>
        <w:t>日</w:t>
      </w:r>
      <w:r>
        <w:rPr>
          <w:rFonts w:hint="eastAsia"/>
        </w:rPr>
        <w:t>该款项已全部划出。</w:t>
      </w:r>
    </w:p>
    <w:p>
      <w:pPr>
        <w:pStyle w:val="24"/>
        <w:numPr>
          <w:ilvl w:val="0"/>
          <w:numId w:val="1"/>
        </w:numPr>
        <w:ind w:firstLineChars="0"/>
      </w:pPr>
      <w:r>
        <w:rPr>
          <w:rFonts w:hint="eastAsia"/>
        </w:rPr>
        <w:t>本基金最后运作日应付管理人报酬为</w:t>
      </w:r>
      <w:r>
        <w:t>14</w:t>
      </w:r>
      <w:r>
        <w:rPr>
          <w:rFonts w:hint="eastAsia"/>
        </w:rPr>
        <w:t>,</w:t>
      </w:r>
      <w:r>
        <w:t>822.72</w:t>
      </w:r>
      <w:r>
        <w:rPr>
          <w:rFonts w:hint="eastAsia"/>
        </w:rPr>
        <w:t>元，该款项已于</w:t>
      </w:r>
      <w:r>
        <w:t>202</w:t>
      </w:r>
      <w:r>
        <w:rPr>
          <w:rFonts w:hint="eastAsia"/>
        </w:rPr>
        <w:t>4</w:t>
      </w:r>
      <w:r>
        <w:t>年</w:t>
      </w:r>
      <w:r>
        <w:rPr>
          <w:rFonts w:hint="eastAsia"/>
        </w:rPr>
        <w:t>6</w:t>
      </w:r>
      <w:r>
        <w:t>月5日</w:t>
      </w:r>
      <w:r>
        <w:rPr>
          <w:rFonts w:hint="eastAsia"/>
        </w:rPr>
        <w:t>支付。</w:t>
      </w:r>
    </w:p>
    <w:p>
      <w:pPr>
        <w:pStyle w:val="24"/>
        <w:numPr>
          <w:ilvl w:val="0"/>
          <w:numId w:val="1"/>
        </w:numPr>
        <w:ind w:firstLineChars="0"/>
      </w:pPr>
      <w:r>
        <w:rPr>
          <w:rFonts w:hint="eastAsia"/>
        </w:rPr>
        <w:t>本基金最后运作日应付托管费为</w:t>
      </w:r>
      <w:r>
        <w:t>2</w:t>
      </w:r>
      <w:r>
        <w:rPr>
          <w:rFonts w:hint="eastAsia"/>
        </w:rPr>
        <w:t>,</w:t>
      </w:r>
      <w:r>
        <w:t>470.47</w:t>
      </w:r>
      <w:r>
        <w:rPr>
          <w:rFonts w:hint="eastAsia"/>
        </w:rPr>
        <w:t>元，该款项已于</w:t>
      </w:r>
      <w:r>
        <w:t>202</w:t>
      </w:r>
      <w:r>
        <w:rPr>
          <w:rFonts w:hint="eastAsia"/>
        </w:rPr>
        <w:t>4</w:t>
      </w:r>
      <w:r>
        <w:t>年</w:t>
      </w:r>
      <w:r>
        <w:rPr>
          <w:rFonts w:hint="eastAsia"/>
        </w:rPr>
        <w:t>6</w:t>
      </w:r>
      <w:r>
        <w:t>月5日</w:t>
      </w:r>
      <w:r>
        <w:rPr>
          <w:rFonts w:hint="eastAsia"/>
        </w:rPr>
        <w:t>支付。</w:t>
      </w:r>
    </w:p>
    <w:p>
      <w:pPr>
        <w:pStyle w:val="24"/>
        <w:numPr>
          <w:ilvl w:val="0"/>
          <w:numId w:val="1"/>
        </w:numPr>
        <w:ind w:firstLineChars="0"/>
      </w:pPr>
      <w:r>
        <w:rPr>
          <w:rFonts w:hint="eastAsia"/>
        </w:rPr>
        <w:t>本基金最后运作日应付销售服务费为</w:t>
      </w:r>
      <w:r>
        <w:t>2</w:t>
      </w:r>
      <w:r>
        <w:rPr>
          <w:rFonts w:hint="eastAsia"/>
        </w:rPr>
        <w:t>,</w:t>
      </w:r>
      <w:r>
        <w:t>329.48</w:t>
      </w:r>
      <w:r>
        <w:rPr>
          <w:rFonts w:hint="eastAsia"/>
        </w:rPr>
        <w:t>元，该款项已于</w:t>
      </w:r>
      <w:r>
        <w:t>202</w:t>
      </w:r>
      <w:r>
        <w:rPr>
          <w:rFonts w:hint="eastAsia"/>
        </w:rPr>
        <w:t>4</w:t>
      </w:r>
      <w:r>
        <w:t>年</w:t>
      </w:r>
      <w:r>
        <w:rPr>
          <w:rFonts w:hint="eastAsia"/>
        </w:rPr>
        <w:t>6</w:t>
      </w:r>
      <w:r>
        <w:t>月5日</w:t>
      </w:r>
      <w:r>
        <w:rPr>
          <w:rFonts w:hint="eastAsia"/>
        </w:rPr>
        <w:t>支付。</w:t>
      </w:r>
    </w:p>
    <w:p>
      <w:pPr>
        <w:pStyle w:val="24"/>
        <w:numPr>
          <w:ilvl w:val="0"/>
          <w:numId w:val="1"/>
        </w:numPr>
        <w:ind w:firstLineChars="0"/>
        <w:rPr>
          <w:rFonts w:hint="eastAsia"/>
        </w:rPr>
      </w:pPr>
      <w:r>
        <w:rPr>
          <w:rFonts w:hint="eastAsia"/>
        </w:rPr>
        <w:t>本基金最后运作日应付清算款为</w:t>
      </w:r>
      <w:r>
        <w:t>175.64</w:t>
      </w:r>
      <w:r>
        <w:rPr>
          <w:rFonts w:hint="eastAsia"/>
        </w:rPr>
        <w:t>元，该款项已于2024年5月28日划出。</w:t>
      </w:r>
    </w:p>
    <w:p>
      <w:pPr>
        <w:pStyle w:val="24"/>
        <w:numPr>
          <w:ilvl w:val="0"/>
          <w:numId w:val="1"/>
        </w:numPr>
        <w:ind w:firstLineChars="0"/>
      </w:pPr>
      <w:r>
        <w:rPr>
          <w:rFonts w:hint="eastAsia"/>
        </w:rPr>
        <w:t>本基金最后运作日其他负债为</w:t>
      </w:r>
      <w:r>
        <w:t>40</w:t>
      </w:r>
      <w:r>
        <w:rPr>
          <w:rFonts w:hint="eastAsia"/>
        </w:rPr>
        <w:t>,</w:t>
      </w:r>
      <w:r>
        <w:t>201.48</w:t>
      </w:r>
      <w:r>
        <w:rPr>
          <w:rFonts w:hint="eastAsia"/>
        </w:rPr>
        <w:t>元，包括应付交易费用、预提清算律师费、预提审计费和预提中债登账户维护费。其中：</w:t>
      </w:r>
    </w:p>
    <w:p>
      <w:pPr>
        <w:pStyle w:val="24"/>
        <w:numPr>
          <w:ilvl w:val="0"/>
          <w:numId w:val="2"/>
        </w:numPr>
        <w:ind w:firstLineChars="0"/>
      </w:pPr>
      <w:r>
        <w:rPr>
          <w:rFonts w:hint="eastAsia"/>
        </w:rPr>
        <w:t>应付赎回费和转出费合计为</w:t>
      </w:r>
      <w:r>
        <w:t>25</w:t>
      </w:r>
      <w:r>
        <w:rPr>
          <w:rFonts w:hint="eastAsia"/>
          <w:lang w:val="en-US" w:eastAsia="zh-CN"/>
        </w:rPr>
        <w:t>1</w:t>
      </w:r>
      <w:r>
        <w:t>.</w:t>
      </w:r>
      <w:r>
        <w:rPr>
          <w:rFonts w:hint="eastAsia"/>
          <w:lang w:val="en-US" w:eastAsia="zh-CN"/>
        </w:rPr>
        <w:t>08</w:t>
      </w:r>
      <w:r>
        <w:rPr>
          <w:rFonts w:hint="eastAsia"/>
        </w:rPr>
        <w:t>元，</w:t>
      </w:r>
      <w:r>
        <w:rPr>
          <w:rFonts w:hint="eastAsia"/>
          <w:lang w:val="en-US" w:eastAsia="zh-CN"/>
        </w:rPr>
        <w:t>2024年5月28日产生应付</w:t>
      </w:r>
      <w:r>
        <w:rPr>
          <w:rFonts w:hint="eastAsia"/>
        </w:rPr>
        <w:t>赎回费和转出费</w:t>
      </w:r>
      <w:r>
        <w:rPr>
          <w:rFonts w:hint="eastAsia"/>
          <w:lang w:val="en-US" w:eastAsia="zh-CN"/>
        </w:rPr>
        <w:t>0.48元，</w:t>
      </w:r>
      <w:r>
        <w:rPr>
          <w:rFonts w:hint="eastAsia"/>
        </w:rPr>
        <w:t>截至</w:t>
      </w:r>
      <w:r>
        <w:t>2024年6月</w:t>
      </w:r>
      <w:r>
        <w:rPr>
          <w:rFonts w:hint="eastAsia"/>
        </w:rPr>
        <w:t>5</w:t>
      </w:r>
      <w:r>
        <w:t>日</w:t>
      </w:r>
      <w:r>
        <w:rPr>
          <w:rFonts w:hint="eastAsia"/>
        </w:rPr>
        <w:t>已全部支付；</w:t>
      </w:r>
    </w:p>
    <w:p>
      <w:pPr>
        <w:pStyle w:val="24"/>
        <w:numPr>
          <w:ilvl w:val="0"/>
          <w:numId w:val="2"/>
        </w:numPr>
      </w:pPr>
      <w:r>
        <w:rPr>
          <w:rFonts w:hint="eastAsia"/>
        </w:rPr>
        <w:t>应付交易费用为</w:t>
      </w:r>
      <w:r>
        <w:t>13</w:t>
      </w:r>
      <w:r>
        <w:rPr>
          <w:rFonts w:hint="eastAsia"/>
        </w:rPr>
        <w:t>,</w:t>
      </w:r>
      <w:r>
        <w:t>650.40</w:t>
      </w:r>
      <w:r>
        <w:rPr>
          <w:rFonts w:hint="eastAsia"/>
        </w:rPr>
        <w:t>元，其中应付佣金</w:t>
      </w:r>
      <w:r>
        <w:t>13</w:t>
      </w:r>
      <w:r>
        <w:rPr>
          <w:rFonts w:hint="eastAsia"/>
        </w:rPr>
        <w:t>,</w:t>
      </w:r>
      <w:r>
        <w:t>650.40</w:t>
      </w:r>
      <w:r>
        <w:rPr>
          <w:rFonts w:hint="eastAsia"/>
        </w:rPr>
        <w:t>元，清算期间未产生应付佣金，该款项已于2024年6月3日支付；</w:t>
      </w:r>
    </w:p>
    <w:p>
      <w:pPr>
        <w:pStyle w:val="24"/>
        <w:numPr>
          <w:ilvl w:val="0"/>
          <w:numId w:val="2"/>
        </w:numPr>
      </w:pPr>
      <w:r>
        <w:rPr>
          <w:rFonts w:hint="eastAsia"/>
        </w:rPr>
        <w:t>应付清算律师费10</w:t>
      </w:r>
      <w:r>
        <w:t>,000.00</w:t>
      </w:r>
      <w:r>
        <w:rPr>
          <w:rFonts w:hint="eastAsia"/>
        </w:rPr>
        <w:t>元，该款项将于取得律师费发票后支付；</w:t>
      </w:r>
    </w:p>
    <w:p>
      <w:pPr>
        <w:pStyle w:val="24"/>
        <w:numPr>
          <w:ilvl w:val="0"/>
          <w:numId w:val="2"/>
        </w:numPr>
      </w:pPr>
      <w:r>
        <w:rPr>
          <w:rFonts w:hint="eastAsia"/>
        </w:rPr>
        <w:t>预提审计费13</w:t>
      </w:r>
      <w:r>
        <w:t>,</w:t>
      </w:r>
      <w:r>
        <w:rPr>
          <w:rFonts w:hint="eastAsia"/>
        </w:rPr>
        <w:t>3</w:t>
      </w:r>
      <w:r>
        <w:t>00.00</w:t>
      </w:r>
      <w:r>
        <w:rPr>
          <w:rFonts w:hint="eastAsia"/>
        </w:rPr>
        <w:t>元，该款项将于取得审计费发票后支付；</w:t>
      </w:r>
    </w:p>
    <w:p>
      <w:pPr>
        <w:pStyle w:val="24"/>
        <w:numPr>
          <w:ilvl w:val="0"/>
          <w:numId w:val="2"/>
        </w:numPr>
      </w:pPr>
      <w:r>
        <w:rPr>
          <w:rFonts w:hint="eastAsia"/>
        </w:rPr>
        <w:t>预提中债登账户维护费3</w:t>
      </w:r>
      <w:r>
        <w:t>,</w:t>
      </w:r>
      <w:r>
        <w:rPr>
          <w:rFonts w:hint="eastAsia"/>
        </w:rPr>
        <w:t>0</w:t>
      </w:r>
      <w:r>
        <w:t>00.00</w:t>
      </w:r>
      <w:r>
        <w:rPr>
          <w:rFonts w:hint="eastAsia"/>
        </w:rPr>
        <w:t>元，该款项已于</w:t>
      </w:r>
      <w:r>
        <w:t>202</w:t>
      </w:r>
      <w:r>
        <w:rPr>
          <w:rFonts w:hint="eastAsia"/>
        </w:rPr>
        <w:t>4</w:t>
      </w:r>
      <w:r>
        <w:t>年</w:t>
      </w:r>
      <w:r>
        <w:rPr>
          <w:rFonts w:hint="eastAsia"/>
        </w:rPr>
        <w:t>5</w:t>
      </w:r>
      <w:r>
        <w:t>月3</w:t>
      </w:r>
      <w:r>
        <w:rPr>
          <w:rFonts w:hint="eastAsia"/>
        </w:rPr>
        <w:t>0</w:t>
      </w:r>
      <w:r>
        <w:t>日</w:t>
      </w:r>
      <w:r>
        <w:rPr>
          <w:rFonts w:hint="eastAsia"/>
        </w:rPr>
        <w:t>支付。</w:t>
      </w:r>
    </w:p>
    <w:bookmarkEnd w:id="48"/>
    <w:p>
      <w:pPr>
        <w:pStyle w:val="3"/>
        <w:spacing w:before="0" w:after="0"/>
        <w:rPr>
          <w:rFonts w:ascii="宋体" w:hAnsi="宋体" w:eastAsia="宋体"/>
          <w:kern w:val="0"/>
          <w:sz w:val="21"/>
          <w:szCs w:val="21"/>
        </w:rPr>
      </w:pPr>
      <w:bookmarkStart w:id="50" w:name="_Toc491963089"/>
      <w:r>
        <w:rPr>
          <w:rFonts w:hint="eastAsia" w:ascii="宋体" w:hAnsi="宋体" w:eastAsia="宋体"/>
          <w:kern w:val="0"/>
          <w:sz w:val="21"/>
          <w:szCs w:val="21"/>
        </w:rPr>
        <w:t>5.2 截至本次清算期结束日的剩余财产情况及剩余财产分配安排</w:t>
      </w:r>
      <w:bookmarkEnd w:id="50"/>
    </w:p>
    <w:tbl>
      <w:tblPr>
        <w:tblStyle w:val="13"/>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57"/>
        <w:gridCol w:w="4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57" w:type="dxa"/>
            <w:vAlign w:val="center"/>
          </w:tcPr>
          <w:p>
            <w:pPr>
              <w:pStyle w:val="11"/>
              <w:jc w:val="center"/>
              <w:rPr>
                <w:rFonts w:ascii="宋体" w:hAnsi="宋体" w:eastAsia="宋体"/>
                <w:b/>
                <w:color w:val="000000" w:themeColor="text1"/>
                <w:sz w:val="21"/>
                <w:szCs w:val="21"/>
                <w14:textFill>
                  <w14:solidFill>
                    <w14:schemeClr w14:val="tx1"/>
                  </w14:solidFill>
                </w14:textFill>
              </w:rPr>
            </w:pPr>
            <w:r>
              <w:rPr>
                <w:rFonts w:ascii="宋体" w:hAnsi="宋体" w:eastAsia="宋体"/>
                <w:b/>
                <w:color w:val="000000" w:themeColor="text1"/>
                <w:sz w:val="21"/>
                <w:szCs w:val="21"/>
                <w14:textFill>
                  <w14:solidFill>
                    <w14:schemeClr w14:val="tx1"/>
                  </w14:solidFill>
                </w14:textFill>
              </w:rPr>
              <w:t>项目</w:t>
            </w:r>
          </w:p>
        </w:tc>
        <w:tc>
          <w:tcPr>
            <w:tcW w:w="4115" w:type="dxa"/>
            <w:vAlign w:val="center"/>
          </w:tcPr>
          <w:p>
            <w:pPr>
              <w:pStyle w:val="11"/>
              <w:spacing w:before="0" w:beforeAutospacing="0" w:after="0" w:afterAutospacing="0"/>
              <w:jc w:val="center"/>
              <w:rPr>
                <w:rFonts w:ascii="宋体" w:hAnsi="宋体" w:eastAsia="宋体"/>
                <w:b/>
                <w:color w:val="000000" w:themeColor="text1"/>
                <w:sz w:val="21"/>
                <w:szCs w:val="21"/>
                <w:lang w:eastAsia="zh-CN"/>
                <w14:textFill>
                  <w14:solidFill>
                    <w14:schemeClr w14:val="tx1"/>
                  </w14:solidFill>
                </w14:textFill>
              </w:rPr>
            </w:pPr>
            <w:r>
              <w:rPr>
                <w:rFonts w:hint="eastAsia" w:ascii="宋体" w:hAnsi="宋体" w:eastAsia="宋体"/>
                <w:b/>
                <w:color w:val="000000" w:themeColor="text1"/>
                <w:sz w:val="21"/>
                <w:szCs w:val="21"/>
                <w:lang w:eastAsia="zh-CN"/>
                <w14:textFill>
                  <w14:solidFill>
                    <w14:schemeClr w14:val="tx1"/>
                  </w14:solidFill>
                </w14:textFill>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57" w:type="dxa"/>
            <w:vAlign w:val="center"/>
          </w:tcPr>
          <w:p>
            <w:pP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一、</w:t>
            </w:r>
            <w:r>
              <w:rPr>
                <w:rFonts w:hint="eastAsia" w:ascii="宋体" w:hAnsi="宋体"/>
                <w:b/>
                <w:color w:val="000000" w:themeColor="text1"/>
                <w:szCs w:val="21"/>
                <w14:textFill>
                  <w14:solidFill>
                    <w14:schemeClr w14:val="tx1"/>
                  </w14:solidFill>
                </w14:textFill>
              </w:rPr>
              <w:t>最后运作日2024年5月27日基金净资产</w:t>
            </w:r>
          </w:p>
        </w:tc>
        <w:tc>
          <w:tcPr>
            <w:tcW w:w="4115" w:type="dxa"/>
            <w:vAlign w:val="center"/>
          </w:tcPr>
          <w:p>
            <w:pPr>
              <w:ind w:left="-80"/>
              <w:jc w:val="right"/>
              <w:rPr>
                <w:rFonts w:ascii="Arial" w:hAnsi="Arial" w:cs="Arial"/>
                <w:b/>
                <w:color w:val="000000"/>
                <w:sz w:val="24"/>
                <w:highlight w:val="yellow"/>
              </w:rPr>
            </w:pPr>
            <w:r>
              <w:rPr>
                <w:rFonts w:ascii="Arial" w:hAnsi="Arial" w:cs="Arial"/>
                <w:b/>
                <w:color w:val="000000"/>
                <w:sz w:val="24"/>
              </w:rPr>
              <w:t>16,177,507.95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57"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加：2024年5月28日确认申购对价</w:t>
            </w:r>
          </w:p>
        </w:tc>
        <w:tc>
          <w:tcPr>
            <w:tcW w:w="4115" w:type="dxa"/>
            <w:vAlign w:val="center"/>
          </w:tcPr>
          <w:p>
            <w:pPr>
              <w:ind w:left="-80"/>
              <w:jc w:val="right"/>
              <w:rPr>
                <w:rFonts w:ascii="Arial" w:hAnsi="Arial" w:cs="Arial"/>
                <w:bCs/>
                <w:color w:val="000000"/>
                <w:sz w:val="24"/>
              </w:rPr>
            </w:pPr>
            <w:r>
              <w:rPr>
                <w:rFonts w:hint="eastAsia" w:ascii="Arial" w:hAnsi="Arial" w:cs="Arial"/>
                <w:bCs/>
                <w:color w:val="000000"/>
                <w:sz w:val="24"/>
              </w:rPr>
              <w:t>454,870.50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57"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减：2024年5月28日确认赎回对价</w:t>
            </w:r>
          </w:p>
        </w:tc>
        <w:tc>
          <w:tcPr>
            <w:tcW w:w="4115" w:type="dxa"/>
            <w:vAlign w:val="center"/>
          </w:tcPr>
          <w:p>
            <w:pPr>
              <w:ind w:left="-80"/>
              <w:jc w:val="right"/>
              <w:rPr>
                <w:rFonts w:ascii="Arial" w:hAnsi="Arial" w:cs="Arial"/>
                <w:bCs/>
                <w:color w:val="000000"/>
                <w:sz w:val="24"/>
              </w:rPr>
            </w:pPr>
            <w:r>
              <w:rPr>
                <w:rFonts w:hint="eastAsia" w:ascii="Arial" w:hAnsi="Arial" w:cs="Arial"/>
                <w:bCs/>
                <w:color w:val="000000"/>
                <w:sz w:val="24"/>
              </w:rPr>
              <w:t>787446.29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57"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加：清算期间净收益</w:t>
            </w:r>
          </w:p>
        </w:tc>
        <w:tc>
          <w:tcPr>
            <w:tcW w:w="4115" w:type="dxa"/>
            <w:shd w:val="clear" w:color="auto" w:fill="auto"/>
            <w:vAlign w:val="center"/>
          </w:tcPr>
          <w:p>
            <w:pPr>
              <w:ind w:left="-80"/>
              <w:jc w:val="right"/>
              <w:rPr>
                <w:rFonts w:ascii="Arial" w:hAnsi="Arial" w:cs="Arial"/>
                <w:color w:val="000000"/>
                <w:sz w:val="24"/>
              </w:rPr>
            </w:pPr>
            <w:r>
              <w:rPr>
                <w:rFonts w:hint="eastAsia" w:ascii="Arial" w:hAnsi="Arial" w:cs="Arial"/>
                <w:color w:val="000000"/>
                <w:sz w:val="24"/>
              </w:rPr>
              <w:t>4</w:t>
            </w:r>
            <w:r>
              <w:rPr>
                <w:rFonts w:ascii="Arial" w:hAnsi="Arial" w:cs="Arial"/>
                <w:color w:val="000000"/>
                <w:sz w:val="24"/>
              </w:rPr>
              <w:t>,010.17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57" w:type="dxa"/>
            <w:vAlign w:val="center"/>
          </w:tcPr>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二、2024年6月5日基金净资产</w:t>
            </w:r>
          </w:p>
        </w:tc>
        <w:tc>
          <w:tcPr>
            <w:tcW w:w="4115" w:type="dxa"/>
            <w:vAlign w:val="center"/>
          </w:tcPr>
          <w:p>
            <w:pPr>
              <w:ind w:left="-80"/>
              <w:jc w:val="right"/>
              <w:rPr>
                <w:rFonts w:ascii="Arial" w:hAnsi="Arial" w:cs="Arial"/>
                <w:b/>
                <w:color w:val="000000"/>
                <w:sz w:val="24"/>
                <w:highlight w:val="yellow"/>
              </w:rPr>
            </w:pPr>
            <w:r>
              <w:rPr>
                <w:rFonts w:ascii="Arial" w:hAnsi="Arial" w:cs="Arial"/>
                <w:b/>
                <w:color w:val="000000"/>
                <w:sz w:val="24"/>
              </w:rPr>
              <w:t>15,848,942.33</w:t>
            </w:r>
          </w:p>
        </w:tc>
      </w:tr>
    </w:tbl>
    <w:p>
      <w:pPr>
        <w:pStyle w:val="24"/>
      </w:pPr>
      <w:r>
        <w:rPr>
          <w:rFonts w:hint="eastAsia"/>
        </w:rPr>
        <w:t>截至本次清算期结束日2024年6月5日，本基金剩余财产为人民币</w:t>
      </w:r>
      <w:r>
        <w:t>15,848,942.33</w:t>
      </w:r>
      <w:r>
        <w:rPr>
          <w:rFonts w:hint="eastAsia"/>
        </w:rPr>
        <w:t>元。自本次清算期结束日次日2024年6月</w:t>
      </w:r>
      <w:r>
        <w:rPr>
          <w:rFonts w:hint="eastAsia"/>
          <w:lang w:val="en-US" w:eastAsia="zh-CN"/>
        </w:rPr>
        <w:t>6</w:t>
      </w:r>
      <w:r>
        <w:rPr>
          <w:rFonts w:hint="eastAsia"/>
        </w:rPr>
        <w:t>日至清算款划出前一日的收益和费用由基金份额持有人享有和承担。</w:t>
      </w:r>
    </w:p>
    <w:p>
      <w:pPr>
        <w:spacing w:line="360" w:lineRule="auto"/>
        <w:ind w:firstLine="420" w:firstLineChars="200"/>
        <w:rPr>
          <w:rFonts w:ascii="宋体" w:hAnsi="宋体"/>
          <w:szCs w:val="21"/>
        </w:rPr>
      </w:pPr>
      <w:r>
        <w:rPr>
          <w:rFonts w:hint="eastAsia" w:ascii="宋体" w:hAnsi="宋体"/>
          <w:szCs w:val="21"/>
        </w:rPr>
        <w:t>本清算报告已经基金托管人复核，将与会计师事务所出具的清算审计报告、律师事务所出具的法律意见书一并报中国证监会备案后向基金份额持有人公告。清算报告公告后，基金管理人将遵照法律法规、基金合同等规定及时进行分配。</w:t>
      </w:r>
    </w:p>
    <w:p>
      <w:pPr>
        <w:pStyle w:val="2"/>
        <w:keepNext/>
        <w:keepLines/>
        <w:widowControl w:val="0"/>
        <w:spacing w:before="312" w:beforeLines="100" w:after="312" w:afterLines="100" w:line="360" w:lineRule="auto"/>
        <w:jc w:val="center"/>
        <w:rPr>
          <w:rStyle w:val="20"/>
          <w:rFonts w:ascii="宋体" w:hAnsi="宋体"/>
        </w:rPr>
      </w:pPr>
      <w:bookmarkStart w:id="51" w:name="_Toc409100108"/>
      <w:bookmarkStart w:id="52" w:name="_Toc225500055"/>
      <w:bookmarkStart w:id="53" w:name="_Toc491963090"/>
      <w:bookmarkStart w:id="54" w:name="_Toc484769810"/>
      <w:bookmarkStart w:id="55" w:name="_Toc361324903"/>
      <w:bookmarkStart w:id="56" w:name="_Toc409100471"/>
      <w:bookmarkStart w:id="57" w:name="_Toc476577307"/>
      <w:r>
        <w:rPr>
          <w:rStyle w:val="20"/>
          <w:rFonts w:hint="eastAsia" w:ascii="宋体" w:hAnsi="宋体"/>
        </w:rPr>
        <w:t>6、</w:t>
      </w:r>
      <w:r>
        <w:rPr>
          <w:rStyle w:val="20"/>
          <w:rFonts w:ascii="宋体" w:hAnsi="宋体"/>
        </w:rPr>
        <w:t>备查文件目录</w:t>
      </w:r>
      <w:bookmarkEnd w:id="51"/>
      <w:bookmarkEnd w:id="52"/>
      <w:bookmarkEnd w:id="53"/>
      <w:bookmarkEnd w:id="54"/>
      <w:bookmarkEnd w:id="55"/>
      <w:bookmarkEnd w:id="56"/>
      <w:bookmarkEnd w:id="57"/>
    </w:p>
    <w:p>
      <w:pPr>
        <w:pStyle w:val="3"/>
        <w:spacing w:before="0" w:after="0"/>
        <w:rPr>
          <w:rFonts w:ascii="宋体" w:hAnsi="宋体" w:eastAsia="宋体"/>
          <w:kern w:val="0"/>
          <w:sz w:val="21"/>
          <w:szCs w:val="21"/>
        </w:rPr>
      </w:pPr>
      <w:bookmarkStart w:id="58" w:name="_Toc361324904"/>
      <w:bookmarkStart w:id="59" w:name="_Toc484607315"/>
      <w:bookmarkStart w:id="60" w:name="_Toc409100109"/>
      <w:bookmarkStart w:id="61" w:name="_Toc491963091"/>
      <w:bookmarkStart w:id="62" w:name="_Toc484769811"/>
      <w:bookmarkStart w:id="63" w:name="_Toc476577308"/>
      <w:bookmarkStart w:id="64" w:name="_Toc483396843"/>
      <w:bookmarkStart w:id="65" w:name="_Toc409100472"/>
      <w:r>
        <w:rPr>
          <w:rFonts w:hint="eastAsia" w:ascii="宋体" w:hAnsi="宋体" w:eastAsia="宋体"/>
          <w:kern w:val="0"/>
          <w:sz w:val="21"/>
          <w:szCs w:val="21"/>
        </w:rPr>
        <w:t>6</w:t>
      </w:r>
      <w:r>
        <w:rPr>
          <w:rFonts w:ascii="宋体" w:hAnsi="宋体" w:eastAsia="宋体"/>
          <w:kern w:val="0"/>
          <w:sz w:val="21"/>
          <w:szCs w:val="21"/>
        </w:rPr>
        <w:t>.1 备查文件目录</w:t>
      </w:r>
      <w:bookmarkEnd w:id="58"/>
      <w:bookmarkEnd w:id="59"/>
      <w:bookmarkEnd w:id="60"/>
      <w:bookmarkEnd w:id="61"/>
      <w:bookmarkEnd w:id="62"/>
      <w:bookmarkEnd w:id="63"/>
      <w:bookmarkEnd w:id="64"/>
      <w:bookmarkEnd w:id="65"/>
    </w:p>
    <w:p>
      <w:pPr>
        <w:spacing w:line="360" w:lineRule="auto"/>
        <w:ind w:firstLine="420" w:firstLineChars="200"/>
        <w:rPr>
          <w:rFonts w:ascii="宋体" w:hAnsi="宋体"/>
          <w:szCs w:val="21"/>
        </w:rPr>
      </w:pPr>
      <w:r>
        <w:rPr>
          <w:rFonts w:hint="eastAsia" w:ascii="宋体" w:hAnsi="宋体"/>
          <w:color w:val="000000"/>
          <w:szCs w:val="21"/>
        </w:rPr>
        <w:t>6.</w:t>
      </w:r>
      <w:r>
        <w:rPr>
          <w:rFonts w:ascii="宋体" w:hAnsi="宋体"/>
          <w:color w:val="000000"/>
          <w:szCs w:val="21"/>
        </w:rPr>
        <w:t>1.1</w:t>
      </w:r>
      <w:r>
        <w:rPr>
          <w:rFonts w:hint="eastAsia"/>
        </w:rPr>
        <w:t>博时港股通红利精选混合型发起式证券投资基金</w:t>
      </w:r>
      <w:r>
        <w:rPr>
          <w:rFonts w:ascii="宋体" w:hAnsi="宋体"/>
          <w:color w:val="000000"/>
          <w:szCs w:val="21"/>
        </w:rPr>
        <w:t>清算财务报表及审计报告</w:t>
      </w:r>
    </w:p>
    <w:p>
      <w:pPr>
        <w:spacing w:line="360" w:lineRule="auto"/>
        <w:ind w:firstLine="420" w:firstLineChars="200"/>
        <w:rPr>
          <w:rFonts w:ascii="宋体" w:hAnsi="宋体"/>
          <w:color w:val="000000"/>
          <w:szCs w:val="21"/>
        </w:rPr>
      </w:pPr>
      <w:r>
        <w:rPr>
          <w:rFonts w:hint="eastAsia" w:ascii="宋体" w:hAnsi="宋体"/>
          <w:color w:val="000000"/>
          <w:szCs w:val="21"/>
        </w:rPr>
        <w:t>6</w:t>
      </w:r>
      <w:r>
        <w:rPr>
          <w:rFonts w:ascii="宋体" w:hAnsi="宋体"/>
          <w:color w:val="000000"/>
          <w:szCs w:val="21"/>
        </w:rPr>
        <w:t>.1.2</w:t>
      </w:r>
      <w:r>
        <w:rPr>
          <w:rFonts w:hint="eastAsia" w:ascii="宋体" w:hAnsi="宋体"/>
          <w:color w:val="000000"/>
          <w:szCs w:val="21"/>
        </w:rPr>
        <w:t>上海源泰律师事务所关于博时港股通红利精选混合型发起式证券投资基金清算事宜之法律意见</w:t>
      </w:r>
    </w:p>
    <w:p>
      <w:pPr>
        <w:pStyle w:val="3"/>
        <w:spacing w:before="0" w:after="0"/>
        <w:rPr>
          <w:rFonts w:ascii="宋体" w:hAnsi="宋体" w:eastAsia="宋体"/>
          <w:kern w:val="0"/>
          <w:sz w:val="21"/>
          <w:szCs w:val="21"/>
        </w:rPr>
      </w:pPr>
      <w:bookmarkStart w:id="66" w:name="_Toc476577309"/>
      <w:bookmarkStart w:id="67" w:name="_Toc483396844"/>
      <w:bookmarkStart w:id="68" w:name="_Toc409100473"/>
      <w:bookmarkStart w:id="69" w:name="_Toc409100110"/>
      <w:bookmarkStart w:id="70" w:name="_Toc361324905"/>
      <w:bookmarkStart w:id="71" w:name="_Toc484769812"/>
      <w:bookmarkStart w:id="72" w:name="_Toc491963092"/>
      <w:bookmarkStart w:id="73" w:name="_Toc484607316"/>
      <w:r>
        <w:rPr>
          <w:rFonts w:hint="eastAsia" w:ascii="宋体" w:hAnsi="宋体" w:eastAsia="宋体"/>
          <w:kern w:val="0"/>
          <w:sz w:val="21"/>
          <w:szCs w:val="21"/>
        </w:rPr>
        <w:t>6</w:t>
      </w:r>
      <w:r>
        <w:rPr>
          <w:rFonts w:ascii="宋体" w:hAnsi="宋体" w:eastAsia="宋体"/>
          <w:kern w:val="0"/>
          <w:sz w:val="21"/>
          <w:szCs w:val="21"/>
        </w:rPr>
        <w:t>.2 存放地点</w:t>
      </w:r>
      <w:bookmarkEnd w:id="66"/>
      <w:bookmarkEnd w:id="67"/>
      <w:bookmarkEnd w:id="68"/>
      <w:bookmarkEnd w:id="69"/>
      <w:bookmarkEnd w:id="70"/>
      <w:bookmarkEnd w:id="71"/>
      <w:bookmarkEnd w:id="72"/>
      <w:bookmarkEnd w:id="73"/>
    </w:p>
    <w:p>
      <w:pPr>
        <w:spacing w:line="360" w:lineRule="auto"/>
        <w:ind w:firstLine="420" w:firstLineChars="200"/>
        <w:rPr>
          <w:rFonts w:ascii="宋体" w:hAnsi="宋体"/>
          <w:color w:val="000000"/>
          <w:szCs w:val="21"/>
        </w:rPr>
      </w:pPr>
      <w:r>
        <w:rPr>
          <w:rFonts w:ascii="宋体" w:hAnsi="宋体"/>
          <w:color w:val="000000"/>
          <w:szCs w:val="21"/>
        </w:rPr>
        <w:t>基金管理人、基金托管人处</w:t>
      </w:r>
    </w:p>
    <w:p>
      <w:pPr>
        <w:pStyle w:val="3"/>
        <w:spacing w:before="0" w:after="0"/>
        <w:rPr>
          <w:rFonts w:ascii="宋体" w:hAnsi="宋体" w:eastAsia="宋体"/>
          <w:kern w:val="0"/>
          <w:sz w:val="21"/>
          <w:szCs w:val="21"/>
        </w:rPr>
      </w:pPr>
      <w:bookmarkStart w:id="74" w:name="_Toc484607317"/>
      <w:bookmarkStart w:id="75" w:name="_Toc361324906"/>
      <w:bookmarkStart w:id="76" w:name="_Toc484769813"/>
      <w:bookmarkStart w:id="77" w:name="_Toc409100111"/>
      <w:bookmarkStart w:id="78" w:name="_Toc476577310"/>
      <w:bookmarkStart w:id="79" w:name="_Toc483396845"/>
      <w:bookmarkStart w:id="80" w:name="_Toc409100474"/>
      <w:bookmarkStart w:id="81" w:name="_Toc491963093"/>
      <w:r>
        <w:rPr>
          <w:rFonts w:hint="eastAsia" w:ascii="宋体" w:hAnsi="宋体" w:eastAsia="宋体"/>
          <w:kern w:val="0"/>
          <w:sz w:val="21"/>
          <w:szCs w:val="21"/>
        </w:rPr>
        <w:t>6</w:t>
      </w:r>
      <w:r>
        <w:rPr>
          <w:rFonts w:ascii="宋体" w:hAnsi="宋体" w:eastAsia="宋体"/>
          <w:kern w:val="0"/>
          <w:sz w:val="21"/>
          <w:szCs w:val="21"/>
        </w:rPr>
        <w:t>.3 查阅方式</w:t>
      </w:r>
      <w:bookmarkEnd w:id="74"/>
      <w:bookmarkEnd w:id="75"/>
      <w:bookmarkEnd w:id="76"/>
      <w:bookmarkEnd w:id="77"/>
      <w:bookmarkEnd w:id="78"/>
      <w:bookmarkEnd w:id="79"/>
      <w:bookmarkEnd w:id="80"/>
      <w:bookmarkEnd w:id="81"/>
    </w:p>
    <w:p>
      <w:pPr>
        <w:spacing w:line="360" w:lineRule="auto"/>
        <w:ind w:firstLine="420" w:firstLineChars="200"/>
        <w:rPr>
          <w:rFonts w:ascii="宋体" w:hAnsi="宋体"/>
          <w:color w:val="000000"/>
          <w:szCs w:val="21"/>
        </w:rPr>
      </w:pPr>
      <w:r>
        <w:rPr>
          <w:rFonts w:ascii="宋体" w:hAnsi="宋体"/>
          <w:color w:val="000000"/>
          <w:szCs w:val="21"/>
        </w:rPr>
        <w:t>投资者可在营业时间免费查阅，也可按工本费购买复印件</w:t>
      </w:r>
    </w:p>
    <w:p>
      <w:pPr>
        <w:spacing w:line="360" w:lineRule="auto"/>
        <w:ind w:firstLine="420" w:firstLineChars="200"/>
        <w:rPr>
          <w:rFonts w:ascii="宋体" w:hAnsi="宋体"/>
          <w:color w:val="000000"/>
          <w:szCs w:val="21"/>
        </w:rPr>
      </w:pPr>
      <w:r>
        <w:rPr>
          <w:rFonts w:ascii="宋体" w:hAnsi="宋体"/>
          <w:color w:val="000000"/>
          <w:szCs w:val="21"/>
        </w:rPr>
        <w:t>投资者对本报告书如有疑问，可咨询本基金管理人博时基金管理有限公司</w:t>
      </w:r>
    </w:p>
    <w:p>
      <w:pPr>
        <w:spacing w:line="360" w:lineRule="auto"/>
        <w:ind w:firstLine="420" w:firstLineChars="200"/>
        <w:rPr>
          <w:rFonts w:ascii="宋体" w:hAnsi="宋体"/>
          <w:color w:val="000000"/>
          <w:szCs w:val="21"/>
        </w:rPr>
      </w:pPr>
      <w:r>
        <w:rPr>
          <w:rFonts w:ascii="宋体" w:hAnsi="宋体"/>
          <w:color w:val="000000"/>
          <w:szCs w:val="21"/>
        </w:rPr>
        <w:t>博时一线通：95105568（免长途话费）</w:t>
      </w:r>
    </w:p>
    <w:p>
      <w:pPr>
        <w:spacing w:line="360" w:lineRule="auto"/>
        <w:ind w:firstLine="315" w:firstLineChars="150"/>
        <w:rPr>
          <w:rFonts w:ascii="宋体" w:hAnsi="宋体"/>
          <w:bCs/>
          <w:color w:val="000000" w:themeColor="text1"/>
          <w:szCs w:val="21"/>
          <w14:textFill>
            <w14:solidFill>
              <w14:schemeClr w14:val="tx1"/>
            </w14:solidFill>
          </w14:textFill>
        </w:rPr>
      </w:pPr>
    </w:p>
    <w:p>
      <w:pPr>
        <w:spacing w:line="360" w:lineRule="auto"/>
        <w:ind w:firstLine="315" w:firstLineChars="150"/>
        <w:rPr>
          <w:rFonts w:ascii="宋体" w:hAnsi="宋体"/>
          <w:bCs/>
          <w:color w:val="000000" w:themeColor="text1"/>
          <w:szCs w:val="21"/>
          <w14:textFill>
            <w14:solidFill>
              <w14:schemeClr w14:val="tx1"/>
            </w14:solidFill>
          </w14:textFill>
        </w:rPr>
      </w:pPr>
    </w:p>
    <w:p>
      <w:pPr>
        <w:spacing w:line="360" w:lineRule="auto"/>
        <w:ind w:firstLine="315" w:firstLineChars="150"/>
        <w:rPr>
          <w:rFonts w:ascii="宋体" w:hAnsi="宋体"/>
          <w:bCs/>
          <w:color w:val="000000" w:themeColor="text1"/>
          <w:szCs w:val="21"/>
          <w14:textFill>
            <w14:solidFill>
              <w14:schemeClr w14:val="tx1"/>
            </w14:solidFill>
          </w14:textFill>
        </w:rPr>
      </w:pPr>
    </w:p>
    <w:p>
      <w:pPr>
        <w:spacing w:line="360" w:lineRule="auto"/>
        <w:ind w:left="840"/>
        <w:jc w:val="right"/>
        <w:rPr>
          <w:rFonts w:ascii="宋体" w:hAnsi="宋体"/>
          <w:bCs/>
          <w:szCs w:val="21"/>
        </w:rPr>
      </w:pPr>
      <w:r>
        <w:rPr>
          <w:rFonts w:hint="eastAsia"/>
        </w:rPr>
        <w:t>博时港股通红利精选混合型发起式证券投资基金</w:t>
      </w:r>
      <w:r>
        <w:rPr>
          <w:rFonts w:hint="eastAsia" w:ascii="宋体" w:hAnsi="宋体"/>
          <w:bCs/>
          <w:szCs w:val="21"/>
        </w:rPr>
        <w:t>基金财产清算小组</w:t>
      </w:r>
    </w:p>
    <w:p>
      <w:pPr>
        <w:wordWrap w:val="0"/>
        <w:spacing w:line="360" w:lineRule="auto"/>
        <w:ind w:left="840" w:right="420" w:firstLine="3885" w:firstLineChars="1850"/>
        <w:jc w:val="right"/>
      </w:pPr>
      <w:r>
        <w:rPr>
          <w:rFonts w:hint="eastAsia" w:ascii="宋体" w:hAnsi="宋体"/>
          <w:bCs/>
          <w:szCs w:val="21"/>
        </w:rPr>
        <w:t>二〇二四年六</w:t>
      </w:r>
      <w:r>
        <w:rPr>
          <w:rFonts w:ascii="宋体" w:hAnsi="宋体"/>
          <w:bCs/>
          <w:szCs w:val="21"/>
        </w:rPr>
        <w:t>月</w:t>
      </w:r>
      <w:r>
        <w:rPr>
          <w:rFonts w:hint="eastAsia" w:ascii="宋体" w:hAnsi="宋体"/>
          <w:bCs/>
          <w:szCs w:val="21"/>
        </w:rPr>
        <w:t>二十八</w:t>
      </w:r>
      <w:r>
        <w:rPr>
          <w:rFonts w:ascii="宋体" w:hAnsi="宋体"/>
          <w:bCs/>
          <w:szCs w:val="21"/>
        </w:rPr>
        <w:t>日</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宋体棬　僬　.">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0446840"/>
    </w:sdtPr>
    <w:sdtContent>
      <w:p>
        <w:pPr>
          <w:pStyle w:val="7"/>
          <w:jc w:val="center"/>
        </w:pPr>
        <w:r>
          <w:fldChar w:fldCharType="begin"/>
        </w:r>
        <w:r>
          <w:instrText xml:space="preserve">PAGE   \* MERGEFORMAT</w:instrText>
        </w:r>
        <w:r>
          <w:fldChar w:fldCharType="separate"/>
        </w:r>
        <w:r>
          <w:rPr>
            <w:lang w:val="zh-CN"/>
          </w:rPr>
          <w:t>7</w:t>
        </w:r>
        <w: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0"/>
      </w:pBdr>
      <w:tabs>
        <w:tab w:val="left" w:pos="3105"/>
        <w:tab w:val="right" w:pos="9090"/>
      </w:tabs>
      <w:jc w:val="left"/>
    </w:pPr>
    <w:r>
      <w:rPr>
        <w:sz w:val="21"/>
        <w:szCs w:val="21"/>
      </w:rPr>
      <w:tab/>
    </w:r>
    <w:r>
      <w:rPr>
        <w:sz w:val="21"/>
        <w:szCs w:val="21"/>
      </w:rPr>
      <w:tab/>
    </w:r>
    <w:r>
      <w:drawing>
        <wp:anchor distT="0" distB="0" distL="114300" distR="114300" simplePos="0" relativeHeight="251660288" behindDoc="0" locked="0" layoutInCell="1" allowOverlap="1">
          <wp:simplePos x="0" y="0"/>
          <wp:positionH relativeFrom="column">
            <wp:posOffset>-13335</wp:posOffset>
          </wp:positionH>
          <wp:positionV relativeFrom="paragraph">
            <wp:posOffset>-190500</wp:posOffset>
          </wp:positionV>
          <wp:extent cx="1257300" cy="314325"/>
          <wp:effectExtent l="0" t="0" r="0" b="0"/>
          <wp:wrapNone/>
          <wp:docPr id="1" name="图片 1"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oser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1432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0"/>
      </w:pBdr>
      <w:tabs>
        <w:tab w:val="left" w:pos="3105"/>
        <w:tab w:val="right" w:pos="9090"/>
      </w:tabs>
      <w:jc w:val="left"/>
    </w:pPr>
    <w:r>
      <w:rPr>
        <w:sz w:val="21"/>
        <w:szCs w:val="21"/>
      </w:rPr>
      <w:tab/>
    </w:r>
    <w:r>
      <w:rPr>
        <w:sz w:val="21"/>
        <w:szCs w:val="21"/>
      </w:rPr>
      <w:tab/>
    </w:r>
    <w:r>
      <w:drawing>
        <wp:anchor distT="0" distB="0" distL="114300" distR="114300" simplePos="0" relativeHeight="251659264" behindDoc="0" locked="0" layoutInCell="1" allowOverlap="1">
          <wp:simplePos x="0" y="0"/>
          <wp:positionH relativeFrom="column">
            <wp:posOffset>-13335</wp:posOffset>
          </wp:positionH>
          <wp:positionV relativeFrom="paragraph">
            <wp:posOffset>-190500</wp:posOffset>
          </wp:positionV>
          <wp:extent cx="1257300" cy="314325"/>
          <wp:effectExtent l="0" t="0" r="0" b="0"/>
          <wp:wrapNone/>
          <wp:docPr id="3" name="图片 3"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oser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143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2FB67"/>
    <w:multiLevelType w:val="singleLevel"/>
    <w:tmpl w:val="EEF2FB67"/>
    <w:lvl w:ilvl="0" w:tentative="0">
      <w:start w:val="1"/>
      <w:numFmt w:val="decimal"/>
      <w:suff w:val="nothing"/>
      <w:lvlText w:val="%1）"/>
      <w:lvlJc w:val="left"/>
    </w:lvl>
  </w:abstractNum>
  <w:abstractNum w:abstractNumId="1">
    <w:nsid w:val="2C12B6DB"/>
    <w:multiLevelType w:val="singleLevel"/>
    <w:tmpl w:val="2C12B6D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06A"/>
    <w:rsid w:val="0000095F"/>
    <w:rsid w:val="00002E59"/>
    <w:rsid w:val="000137FB"/>
    <w:rsid w:val="00046922"/>
    <w:rsid w:val="0004747A"/>
    <w:rsid w:val="00047E84"/>
    <w:rsid w:val="00050AB3"/>
    <w:rsid w:val="00051D70"/>
    <w:rsid w:val="000539E5"/>
    <w:rsid w:val="00066462"/>
    <w:rsid w:val="000843E5"/>
    <w:rsid w:val="00090702"/>
    <w:rsid w:val="0009708C"/>
    <w:rsid w:val="000A67AD"/>
    <w:rsid w:val="000C1A89"/>
    <w:rsid w:val="000C581F"/>
    <w:rsid w:val="000D0010"/>
    <w:rsid w:val="000D2477"/>
    <w:rsid w:val="000E06DB"/>
    <w:rsid w:val="000E7AF8"/>
    <w:rsid w:val="000F0DB6"/>
    <w:rsid w:val="000F2AF4"/>
    <w:rsid w:val="000F38A7"/>
    <w:rsid w:val="00106078"/>
    <w:rsid w:val="00107B92"/>
    <w:rsid w:val="001102C9"/>
    <w:rsid w:val="00114B50"/>
    <w:rsid w:val="0012239E"/>
    <w:rsid w:val="00125BA9"/>
    <w:rsid w:val="001344F0"/>
    <w:rsid w:val="001461B5"/>
    <w:rsid w:val="001469B6"/>
    <w:rsid w:val="00155FBE"/>
    <w:rsid w:val="00167779"/>
    <w:rsid w:val="0017203A"/>
    <w:rsid w:val="001837B1"/>
    <w:rsid w:val="00192433"/>
    <w:rsid w:val="001943DA"/>
    <w:rsid w:val="001A25D5"/>
    <w:rsid w:val="001A6186"/>
    <w:rsid w:val="001A64D9"/>
    <w:rsid w:val="001A7F35"/>
    <w:rsid w:val="001B142B"/>
    <w:rsid w:val="001B307F"/>
    <w:rsid w:val="001B6418"/>
    <w:rsid w:val="001C3A12"/>
    <w:rsid w:val="001C4149"/>
    <w:rsid w:val="001C5110"/>
    <w:rsid w:val="001C5F1E"/>
    <w:rsid w:val="001C66F4"/>
    <w:rsid w:val="001E1155"/>
    <w:rsid w:val="001E7569"/>
    <w:rsid w:val="001F5482"/>
    <w:rsid w:val="0020164A"/>
    <w:rsid w:val="002025EA"/>
    <w:rsid w:val="002055DE"/>
    <w:rsid w:val="00214EB4"/>
    <w:rsid w:val="00234000"/>
    <w:rsid w:val="0023623C"/>
    <w:rsid w:val="0025064B"/>
    <w:rsid w:val="00256EF7"/>
    <w:rsid w:val="002653B2"/>
    <w:rsid w:val="00265EEB"/>
    <w:rsid w:val="002661A0"/>
    <w:rsid w:val="00270F6F"/>
    <w:rsid w:val="0027500E"/>
    <w:rsid w:val="002873D1"/>
    <w:rsid w:val="00293C58"/>
    <w:rsid w:val="002A1D5C"/>
    <w:rsid w:val="002B081E"/>
    <w:rsid w:val="002B3940"/>
    <w:rsid w:val="002B3A7F"/>
    <w:rsid w:val="002B64F0"/>
    <w:rsid w:val="002C206A"/>
    <w:rsid w:val="002C4039"/>
    <w:rsid w:val="002C59B8"/>
    <w:rsid w:val="002D012A"/>
    <w:rsid w:val="002D04D0"/>
    <w:rsid w:val="002D2D31"/>
    <w:rsid w:val="002E63F9"/>
    <w:rsid w:val="002F02F0"/>
    <w:rsid w:val="00300434"/>
    <w:rsid w:val="00301833"/>
    <w:rsid w:val="003018B1"/>
    <w:rsid w:val="00301ED8"/>
    <w:rsid w:val="00302213"/>
    <w:rsid w:val="003027CE"/>
    <w:rsid w:val="00302C6F"/>
    <w:rsid w:val="0031782A"/>
    <w:rsid w:val="0033087F"/>
    <w:rsid w:val="0033114F"/>
    <w:rsid w:val="00352159"/>
    <w:rsid w:val="00352E52"/>
    <w:rsid w:val="0035409D"/>
    <w:rsid w:val="00355AF9"/>
    <w:rsid w:val="00355DCE"/>
    <w:rsid w:val="003835CB"/>
    <w:rsid w:val="00385C7D"/>
    <w:rsid w:val="00386448"/>
    <w:rsid w:val="00394BF4"/>
    <w:rsid w:val="003A1F80"/>
    <w:rsid w:val="003A6373"/>
    <w:rsid w:val="003B1FF9"/>
    <w:rsid w:val="003C5425"/>
    <w:rsid w:val="003C62D7"/>
    <w:rsid w:val="003E2B75"/>
    <w:rsid w:val="003E4B0D"/>
    <w:rsid w:val="003E5A9A"/>
    <w:rsid w:val="004043E4"/>
    <w:rsid w:val="0040561C"/>
    <w:rsid w:val="00417206"/>
    <w:rsid w:val="00434B13"/>
    <w:rsid w:val="004361C8"/>
    <w:rsid w:val="00436D7F"/>
    <w:rsid w:val="0043770C"/>
    <w:rsid w:val="00440D43"/>
    <w:rsid w:val="0044360C"/>
    <w:rsid w:val="0044397B"/>
    <w:rsid w:val="004454E6"/>
    <w:rsid w:val="00453128"/>
    <w:rsid w:val="00455ED0"/>
    <w:rsid w:val="00456810"/>
    <w:rsid w:val="004850AB"/>
    <w:rsid w:val="00492EFF"/>
    <w:rsid w:val="00497D10"/>
    <w:rsid w:val="004A1313"/>
    <w:rsid w:val="004A4000"/>
    <w:rsid w:val="004A4328"/>
    <w:rsid w:val="004C29F5"/>
    <w:rsid w:val="004C5243"/>
    <w:rsid w:val="004D6178"/>
    <w:rsid w:val="004D72DD"/>
    <w:rsid w:val="004E0519"/>
    <w:rsid w:val="004F7FB1"/>
    <w:rsid w:val="00502816"/>
    <w:rsid w:val="00506722"/>
    <w:rsid w:val="00516AB2"/>
    <w:rsid w:val="00521F84"/>
    <w:rsid w:val="00523B76"/>
    <w:rsid w:val="00534804"/>
    <w:rsid w:val="005454AF"/>
    <w:rsid w:val="00553DD3"/>
    <w:rsid w:val="00564FC0"/>
    <w:rsid w:val="005660DC"/>
    <w:rsid w:val="005666E0"/>
    <w:rsid w:val="00570EEB"/>
    <w:rsid w:val="00573CCA"/>
    <w:rsid w:val="00586C11"/>
    <w:rsid w:val="00587EB1"/>
    <w:rsid w:val="00591E34"/>
    <w:rsid w:val="005A5F19"/>
    <w:rsid w:val="005B00B8"/>
    <w:rsid w:val="005B1DA8"/>
    <w:rsid w:val="005B3525"/>
    <w:rsid w:val="005B7865"/>
    <w:rsid w:val="005B7910"/>
    <w:rsid w:val="005C2636"/>
    <w:rsid w:val="005D0017"/>
    <w:rsid w:val="005D2BBF"/>
    <w:rsid w:val="005D3C26"/>
    <w:rsid w:val="005E066D"/>
    <w:rsid w:val="005E18FD"/>
    <w:rsid w:val="005E5097"/>
    <w:rsid w:val="005F07CE"/>
    <w:rsid w:val="00602945"/>
    <w:rsid w:val="00612741"/>
    <w:rsid w:val="00633374"/>
    <w:rsid w:val="0063424C"/>
    <w:rsid w:val="00635B20"/>
    <w:rsid w:val="00636096"/>
    <w:rsid w:val="00640A36"/>
    <w:rsid w:val="006458AE"/>
    <w:rsid w:val="00652E32"/>
    <w:rsid w:val="006560FD"/>
    <w:rsid w:val="00656396"/>
    <w:rsid w:val="00661C81"/>
    <w:rsid w:val="00662751"/>
    <w:rsid w:val="006631AD"/>
    <w:rsid w:val="00665EC2"/>
    <w:rsid w:val="00677478"/>
    <w:rsid w:val="00680A32"/>
    <w:rsid w:val="0068199C"/>
    <w:rsid w:val="006845C6"/>
    <w:rsid w:val="0069179C"/>
    <w:rsid w:val="00695712"/>
    <w:rsid w:val="006A0CA9"/>
    <w:rsid w:val="006A3832"/>
    <w:rsid w:val="006A3E46"/>
    <w:rsid w:val="006C0166"/>
    <w:rsid w:val="006C1070"/>
    <w:rsid w:val="006C1BF7"/>
    <w:rsid w:val="006C4287"/>
    <w:rsid w:val="006C4780"/>
    <w:rsid w:val="006D14C9"/>
    <w:rsid w:val="006D3ABB"/>
    <w:rsid w:val="006D76DC"/>
    <w:rsid w:val="006E1D19"/>
    <w:rsid w:val="006E6E99"/>
    <w:rsid w:val="006F57A7"/>
    <w:rsid w:val="006F661D"/>
    <w:rsid w:val="006F6EDE"/>
    <w:rsid w:val="007047E3"/>
    <w:rsid w:val="00711C49"/>
    <w:rsid w:val="00711DC1"/>
    <w:rsid w:val="00714FE5"/>
    <w:rsid w:val="00716C2D"/>
    <w:rsid w:val="007249F8"/>
    <w:rsid w:val="007302D4"/>
    <w:rsid w:val="00733FD6"/>
    <w:rsid w:val="00753286"/>
    <w:rsid w:val="007654B6"/>
    <w:rsid w:val="00765C51"/>
    <w:rsid w:val="00772D62"/>
    <w:rsid w:val="00772F4C"/>
    <w:rsid w:val="00784118"/>
    <w:rsid w:val="007A111F"/>
    <w:rsid w:val="007A1382"/>
    <w:rsid w:val="007A40C3"/>
    <w:rsid w:val="007A4276"/>
    <w:rsid w:val="007C073F"/>
    <w:rsid w:val="007C1E66"/>
    <w:rsid w:val="007C224B"/>
    <w:rsid w:val="007C390F"/>
    <w:rsid w:val="007C7E15"/>
    <w:rsid w:val="007D01A7"/>
    <w:rsid w:val="007D2C21"/>
    <w:rsid w:val="007D368E"/>
    <w:rsid w:val="007D4AE3"/>
    <w:rsid w:val="00800E5D"/>
    <w:rsid w:val="00801C52"/>
    <w:rsid w:val="008061B0"/>
    <w:rsid w:val="00815886"/>
    <w:rsid w:val="00815FC5"/>
    <w:rsid w:val="00831568"/>
    <w:rsid w:val="0083288E"/>
    <w:rsid w:val="00834CE7"/>
    <w:rsid w:val="00834E30"/>
    <w:rsid w:val="00845FBE"/>
    <w:rsid w:val="00846CD0"/>
    <w:rsid w:val="00862C4E"/>
    <w:rsid w:val="00872860"/>
    <w:rsid w:val="00873ADD"/>
    <w:rsid w:val="00876515"/>
    <w:rsid w:val="00881D41"/>
    <w:rsid w:val="008900EC"/>
    <w:rsid w:val="00893D5F"/>
    <w:rsid w:val="00895AEC"/>
    <w:rsid w:val="008A2534"/>
    <w:rsid w:val="008A2AC1"/>
    <w:rsid w:val="008A2CED"/>
    <w:rsid w:val="008A3541"/>
    <w:rsid w:val="008A37AA"/>
    <w:rsid w:val="008A3F14"/>
    <w:rsid w:val="008B2371"/>
    <w:rsid w:val="008B50E8"/>
    <w:rsid w:val="008B712C"/>
    <w:rsid w:val="008D28CA"/>
    <w:rsid w:val="008E72AB"/>
    <w:rsid w:val="008E7843"/>
    <w:rsid w:val="008F313A"/>
    <w:rsid w:val="008F4C4A"/>
    <w:rsid w:val="00912B1F"/>
    <w:rsid w:val="0091569A"/>
    <w:rsid w:val="009164BB"/>
    <w:rsid w:val="00916F0F"/>
    <w:rsid w:val="00924654"/>
    <w:rsid w:val="00925214"/>
    <w:rsid w:val="00933482"/>
    <w:rsid w:val="00933D33"/>
    <w:rsid w:val="00943B2B"/>
    <w:rsid w:val="00944AC0"/>
    <w:rsid w:val="009565F7"/>
    <w:rsid w:val="00971989"/>
    <w:rsid w:val="00980526"/>
    <w:rsid w:val="00981824"/>
    <w:rsid w:val="009837FE"/>
    <w:rsid w:val="00987D82"/>
    <w:rsid w:val="00993E2D"/>
    <w:rsid w:val="0099607C"/>
    <w:rsid w:val="00997E04"/>
    <w:rsid w:val="009A237A"/>
    <w:rsid w:val="009A2FA6"/>
    <w:rsid w:val="009A499E"/>
    <w:rsid w:val="009B6EC1"/>
    <w:rsid w:val="009D2820"/>
    <w:rsid w:val="009D2D6F"/>
    <w:rsid w:val="009D4DD9"/>
    <w:rsid w:val="009D5A9F"/>
    <w:rsid w:val="009E6708"/>
    <w:rsid w:val="009E6B28"/>
    <w:rsid w:val="009F2C95"/>
    <w:rsid w:val="009F6E54"/>
    <w:rsid w:val="00A01676"/>
    <w:rsid w:val="00A10A3B"/>
    <w:rsid w:val="00A10D1C"/>
    <w:rsid w:val="00A1145E"/>
    <w:rsid w:val="00A13B45"/>
    <w:rsid w:val="00A14A60"/>
    <w:rsid w:val="00A206FC"/>
    <w:rsid w:val="00A23D46"/>
    <w:rsid w:val="00A41815"/>
    <w:rsid w:val="00A42F5D"/>
    <w:rsid w:val="00A44F0D"/>
    <w:rsid w:val="00A46614"/>
    <w:rsid w:val="00A466EF"/>
    <w:rsid w:val="00A50F44"/>
    <w:rsid w:val="00A53B22"/>
    <w:rsid w:val="00A5445B"/>
    <w:rsid w:val="00A61272"/>
    <w:rsid w:val="00A7090F"/>
    <w:rsid w:val="00A716AE"/>
    <w:rsid w:val="00A728B4"/>
    <w:rsid w:val="00A738AB"/>
    <w:rsid w:val="00A74683"/>
    <w:rsid w:val="00A7603B"/>
    <w:rsid w:val="00A80DC2"/>
    <w:rsid w:val="00A83207"/>
    <w:rsid w:val="00A85B96"/>
    <w:rsid w:val="00A862A8"/>
    <w:rsid w:val="00A91EE9"/>
    <w:rsid w:val="00A92C7B"/>
    <w:rsid w:val="00A93929"/>
    <w:rsid w:val="00A96447"/>
    <w:rsid w:val="00AA2704"/>
    <w:rsid w:val="00AA33F7"/>
    <w:rsid w:val="00AA39EC"/>
    <w:rsid w:val="00AA6506"/>
    <w:rsid w:val="00AA6C39"/>
    <w:rsid w:val="00AB4223"/>
    <w:rsid w:val="00AB579F"/>
    <w:rsid w:val="00AC75BE"/>
    <w:rsid w:val="00AD127D"/>
    <w:rsid w:val="00AD1682"/>
    <w:rsid w:val="00AE14B8"/>
    <w:rsid w:val="00AE43CE"/>
    <w:rsid w:val="00AE5F6A"/>
    <w:rsid w:val="00AE7A23"/>
    <w:rsid w:val="00AF06A4"/>
    <w:rsid w:val="00B01D1F"/>
    <w:rsid w:val="00B01E39"/>
    <w:rsid w:val="00B02DAE"/>
    <w:rsid w:val="00B04DF8"/>
    <w:rsid w:val="00B062E1"/>
    <w:rsid w:val="00B12304"/>
    <w:rsid w:val="00B12398"/>
    <w:rsid w:val="00B16F0F"/>
    <w:rsid w:val="00B233AC"/>
    <w:rsid w:val="00B23421"/>
    <w:rsid w:val="00B262DD"/>
    <w:rsid w:val="00B326DE"/>
    <w:rsid w:val="00B339F1"/>
    <w:rsid w:val="00B43A95"/>
    <w:rsid w:val="00B47AF7"/>
    <w:rsid w:val="00B52FB8"/>
    <w:rsid w:val="00B63FC4"/>
    <w:rsid w:val="00B65F7A"/>
    <w:rsid w:val="00B76BFB"/>
    <w:rsid w:val="00B92205"/>
    <w:rsid w:val="00BB4559"/>
    <w:rsid w:val="00BB63F5"/>
    <w:rsid w:val="00BB738A"/>
    <w:rsid w:val="00BD1E5B"/>
    <w:rsid w:val="00BD3551"/>
    <w:rsid w:val="00BD659F"/>
    <w:rsid w:val="00BE252F"/>
    <w:rsid w:val="00BE3F6E"/>
    <w:rsid w:val="00BE4A70"/>
    <w:rsid w:val="00BE63B2"/>
    <w:rsid w:val="00BF1AD8"/>
    <w:rsid w:val="00BF5EF2"/>
    <w:rsid w:val="00BF72CC"/>
    <w:rsid w:val="00C04232"/>
    <w:rsid w:val="00C04BC2"/>
    <w:rsid w:val="00C11810"/>
    <w:rsid w:val="00C129EC"/>
    <w:rsid w:val="00C135C6"/>
    <w:rsid w:val="00C14A9A"/>
    <w:rsid w:val="00C16E1D"/>
    <w:rsid w:val="00C210B3"/>
    <w:rsid w:val="00C34DAD"/>
    <w:rsid w:val="00C403BF"/>
    <w:rsid w:val="00C4132F"/>
    <w:rsid w:val="00C435E3"/>
    <w:rsid w:val="00C525B7"/>
    <w:rsid w:val="00C53E41"/>
    <w:rsid w:val="00C53EB7"/>
    <w:rsid w:val="00C54720"/>
    <w:rsid w:val="00C63121"/>
    <w:rsid w:val="00C645B3"/>
    <w:rsid w:val="00C70690"/>
    <w:rsid w:val="00C80BA7"/>
    <w:rsid w:val="00C80C26"/>
    <w:rsid w:val="00C81D4D"/>
    <w:rsid w:val="00C8237F"/>
    <w:rsid w:val="00C8253B"/>
    <w:rsid w:val="00C94884"/>
    <w:rsid w:val="00CA06AD"/>
    <w:rsid w:val="00CA1F33"/>
    <w:rsid w:val="00CA5C95"/>
    <w:rsid w:val="00CA6D80"/>
    <w:rsid w:val="00CC654C"/>
    <w:rsid w:val="00CC6E89"/>
    <w:rsid w:val="00CD5F8A"/>
    <w:rsid w:val="00CD7E4B"/>
    <w:rsid w:val="00CE52AA"/>
    <w:rsid w:val="00CE593E"/>
    <w:rsid w:val="00CE79D7"/>
    <w:rsid w:val="00CF22FE"/>
    <w:rsid w:val="00D00B39"/>
    <w:rsid w:val="00D03B3C"/>
    <w:rsid w:val="00D05B80"/>
    <w:rsid w:val="00D14280"/>
    <w:rsid w:val="00D2112B"/>
    <w:rsid w:val="00D2538B"/>
    <w:rsid w:val="00D271CC"/>
    <w:rsid w:val="00D454FE"/>
    <w:rsid w:val="00D54D70"/>
    <w:rsid w:val="00D55E3E"/>
    <w:rsid w:val="00D634A0"/>
    <w:rsid w:val="00D77529"/>
    <w:rsid w:val="00D87A90"/>
    <w:rsid w:val="00D908BA"/>
    <w:rsid w:val="00D9606B"/>
    <w:rsid w:val="00DA44CC"/>
    <w:rsid w:val="00DA69B2"/>
    <w:rsid w:val="00DA6F9B"/>
    <w:rsid w:val="00DB3DDE"/>
    <w:rsid w:val="00DB41A3"/>
    <w:rsid w:val="00DD0701"/>
    <w:rsid w:val="00DD2101"/>
    <w:rsid w:val="00DE27CD"/>
    <w:rsid w:val="00DF0830"/>
    <w:rsid w:val="00DF0A36"/>
    <w:rsid w:val="00DF286B"/>
    <w:rsid w:val="00E036D0"/>
    <w:rsid w:val="00E03B99"/>
    <w:rsid w:val="00E04E1A"/>
    <w:rsid w:val="00E120A8"/>
    <w:rsid w:val="00E15DD1"/>
    <w:rsid w:val="00E21B3B"/>
    <w:rsid w:val="00E32073"/>
    <w:rsid w:val="00E3710A"/>
    <w:rsid w:val="00E40C23"/>
    <w:rsid w:val="00E42A7D"/>
    <w:rsid w:val="00E444C3"/>
    <w:rsid w:val="00E457A2"/>
    <w:rsid w:val="00E6420A"/>
    <w:rsid w:val="00E6428E"/>
    <w:rsid w:val="00E667C5"/>
    <w:rsid w:val="00E7448F"/>
    <w:rsid w:val="00E83CB9"/>
    <w:rsid w:val="00E85B5E"/>
    <w:rsid w:val="00E875CB"/>
    <w:rsid w:val="00E91065"/>
    <w:rsid w:val="00E91443"/>
    <w:rsid w:val="00E94390"/>
    <w:rsid w:val="00EA308B"/>
    <w:rsid w:val="00EB17F4"/>
    <w:rsid w:val="00F00548"/>
    <w:rsid w:val="00F01202"/>
    <w:rsid w:val="00F03A4C"/>
    <w:rsid w:val="00F12507"/>
    <w:rsid w:val="00F17F4A"/>
    <w:rsid w:val="00F25510"/>
    <w:rsid w:val="00F26433"/>
    <w:rsid w:val="00F31C2E"/>
    <w:rsid w:val="00F349E5"/>
    <w:rsid w:val="00F374DD"/>
    <w:rsid w:val="00F4536A"/>
    <w:rsid w:val="00F45604"/>
    <w:rsid w:val="00F52468"/>
    <w:rsid w:val="00F52622"/>
    <w:rsid w:val="00F869AE"/>
    <w:rsid w:val="00F94A1D"/>
    <w:rsid w:val="00FA203B"/>
    <w:rsid w:val="00FB4D56"/>
    <w:rsid w:val="00FB67B2"/>
    <w:rsid w:val="00FB68D0"/>
    <w:rsid w:val="00FC2B87"/>
    <w:rsid w:val="00FC4865"/>
    <w:rsid w:val="00FC7F9D"/>
    <w:rsid w:val="00FD4D5C"/>
    <w:rsid w:val="00FE3491"/>
    <w:rsid w:val="00FE7CDD"/>
    <w:rsid w:val="00FF0230"/>
    <w:rsid w:val="00FF0869"/>
    <w:rsid w:val="00FF26D8"/>
    <w:rsid w:val="047977D2"/>
    <w:rsid w:val="04F7265D"/>
    <w:rsid w:val="07943078"/>
    <w:rsid w:val="091D63A4"/>
    <w:rsid w:val="10831DE4"/>
    <w:rsid w:val="11EB6B32"/>
    <w:rsid w:val="16901E23"/>
    <w:rsid w:val="17175C7D"/>
    <w:rsid w:val="1FAB1BAE"/>
    <w:rsid w:val="222B67FB"/>
    <w:rsid w:val="233E198A"/>
    <w:rsid w:val="392917AD"/>
    <w:rsid w:val="3D895C3C"/>
    <w:rsid w:val="3DD178DA"/>
    <w:rsid w:val="437D2DDC"/>
    <w:rsid w:val="46822BBE"/>
    <w:rsid w:val="4A23051B"/>
    <w:rsid w:val="4D2475F0"/>
    <w:rsid w:val="50E330E0"/>
    <w:rsid w:val="53977593"/>
    <w:rsid w:val="576B462D"/>
    <w:rsid w:val="5AE17211"/>
    <w:rsid w:val="6A6212EC"/>
    <w:rsid w:val="752944B8"/>
    <w:rsid w:val="774E2707"/>
    <w:rsid w:val="7EE95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9"/>
    <w:pPr>
      <w:widowControl/>
      <w:jc w:val="left"/>
      <w:outlineLvl w:val="0"/>
    </w:pPr>
    <w:rPr>
      <w:kern w:val="0"/>
      <w:sz w:val="24"/>
      <w:szCs w:val="20"/>
      <w:lang w:val="en-GB"/>
    </w:rPr>
  </w:style>
  <w:style w:type="paragraph" w:styleId="3">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semiHidden/>
    <w:unhideWhenUsed/>
    <w:qFormat/>
    <w:uiPriority w:val="99"/>
    <w:pPr>
      <w:jc w:val="left"/>
    </w:pPr>
  </w:style>
  <w:style w:type="paragraph" w:styleId="5">
    <w:name w:val="Body Text Indent 2"/>
    <w:basedOn w:val="1"/>
    <w:link w:val="27"/>
    <w:qFormat/>
    <w:uiPriority w:val="0"/>
    <w:pPr>
      <w:spacing w:line="560" w:lineRule="exact"/>
      <w:ind w:firstLine="480" w:firstLineChars="200"/>
    </w:pPr>
    <w:rPr>
      <w:rFonts w:ascii="宋体" w:hAnsi="宋体"/>
      <w:color w:val="FF0000"/>
      <w:sz w:val="24"/>
    </w:rPr>
  </w:style>
  <w:style w:type="paragraph" w:styleId="6">
    <w:name w:val="Balloon Text"/>
    <w:basedOn w:val="1"/>
    <w:link w:val="31"/>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Normal (Web)"/>
    <w:basedOn w:val="1"/>
    <w:unhideWhenUsed/>
    <w:qFormat/>
    <w:uiPriority w:val="0"/>
    <w:pPr>
      <w:widowControl/>
      <w:spacing w:before="100" w:beforeAutospacing="1" w:after="100" w:afterAutospacing="1"/>
      <w:jc w:val="left"/>
    </w:pPr>
    <w:rPr>
      <w:rFonts w:ascii="Arial Unicode MS" w:hAnsi="Arial Unicode MS" w:eastAsia="Arial Unicode MS" w:cs="Arial Unicode MS"/>
      <w:kern w:val="0"/>
      <w:sz w:val="24"/>
      <w:lang w:val="en-GB" w:eastAsia="en-US"/>
    </w:rPr>
  </w:style>
  <w:style w:type="paragraph" w:styleId="12">
    <w:name w:val="annotation subject"/>
    <w:basedOn w:val="4"/>
    <w:next w:val="4"/>
    <w:link w:val="30"/>
    <w:semiHidden/>
    <w:unhideWhenUsed/>
    <w:qFormat/>
    <w:uiPriority w:val="99"/>
    <w:rPr>
      <w:b/>
      <w:bCs/>
    </w:r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styleId="16">
    <w:name w:val="annotation reference"/>
    <w:basedOn w:val="14"/>
    <w:semiHidden/>
    <w:unhideWhenUsed/>
    <w:qFormat/>
    <w:uiPriority w:val="99"/>
    <w:rPr>
      <w:sz w:val="21"/>
      <w:szCs w:val="21"/>
    </w:rPr>
  </w:style>
  <w:style w:type="character" w:customStyle="1" w:styleId="17">
    <w:name w:val="页眉 Char"/>
    <w:basedOn w:val="14"/>
    <w:link w:val="8"/>
    <w:qFormat/>
    <w:uiPriority w:val="0"/>
    <w:rPr>
      <w:sz w:val="18"/>
      <w:szCs w:val="18"/>
    </w:rPr>
  </w:style>
  <w:style w:type="character" w:customStyle="1" w:styleId="18">
    <w:name w:val="页脚 Char"/>
    <w:basedOn w:val="14"/>
    <w:link w:val="7"/>
    <w:qFormat/>
    <w:uiPriority w:val="99"/>
    <w:rPr>
      <w:sz w:val="18"/>
      <w:szCs w:val="18"/>
    </w:rPr>
  </w:style>
  <w:style w:type="character" w:customStyle="1" w:styleId="19">
    <w:name w:val="标题 1 Char"/>
    <w:basedOn w:val="14"/>
    <w:link w:val="2"/>
    <w:qFormat/>
    <w:uiPriority w:val="99"/>
    <w:rPr>
      <w:rFonts w:ascii="Times New Roman" w:hAnsi="Times New Roman" w:eastAsia="宋体" w:cs="Times New Roman"/>
      <w:kern w:val="0"/>
      <w:sz w:val="24"/>
      <w:szCs w:val="20"/>
      <w:lang w:val="en-GB"/>
    </w:rPr>
  </w:style>
  <w:style w:type="character" w:customStyle="1" w:styleId="20">
    <w:name w:val="标题 2 Char Char Char"/>
    <w:qFormat/>
    <w:uiPriority w:val="0"/>
    <w:rPr>
      <w:rFonts w:ascii="Arial" w:hAnsi="Arial" w:eastAsia="宋体"/>
      <w:b/>
      <w:kern w:val="2"/>
      <w:sz w:val="28"/>
      <w:szCs w:val="28"/>
      <w:lang w:val="en-US" w:eastAsia="zh-CN" w:bidi="ar-SA"/>
    </w:rPr>
  </w:style>
  <w:style w:type="character" w:customStyle="1" w:styleId="21">
    <w:name w:val="标题 2 Char"/>
    <w:basedOn w:val="14"/>
    <w:link w:val="3"/>
    <w:semiHidden/>
    <w:qFormat/>
    <w:uiPriority w:val="9"/>
    <w:rPr>
      <w:rFonts w:asciiTheme="majorHAnsi" w:hAnsiTheme="majorHAnsi" w:eastAsiaTheme="majorEastAsia" w:cstheme="majorBidi"/>
      <w:b/>
      <w:bCs/>
      <w:sz w:val="32"/>
      <w:szCs w:val="32"/>
    </w:rPr>
  </w:style>
  <w:style w:type="paragraph" w:customStyle="1" w:styleId="22">
    <w:name w:val="2级"/>
    <w:basedOn w:val="1"/>
    <w:link w:val="23"/>
    <w:qFormat/>
    <w:uiPriority w:val="0"/>
    <w:pPr>
      <w:keepNext/>
      <w:keepLines/>
      <w:widowControl/>
      <w:spacing w:before="260" w:after="260"/>
      <w:jc w:val="left"/>
      <w:outlineLvl w:val="1"/>
    </w:pPr>
    <w:rPr>
      <w:rFonts w:asciiTheme="minorEastAsia" w:hAnsiTheme="minorEastAsia" w:cstheme="minorBidi"/>
      <w:b/>
      <w:bCs/>
      <w:sz w:val="24"/>
    </w:rPr>
  </w:style>
  <w:style w:type="character" w:customStyle="1" w:styleId="23">
    <w:name w:val="2级 Char"/>
    <w:basedOn w:val="14"/>
    <w:link w:val="22"/>
    <w:qFormat/>
    <w:uiPriority w:val="0"/>
    <w:rPr>
      <w:rFonts w:eastAsia="宋体" w:asciiTheme="minorEastAsia" w:hAnsiTheme="minorEastAsia"/>
      <w:b/>
      <w:bCs/>
      <w:sz w:val="24"/>
      <w:szCs w:val="24"/>
    </w:rPr>
  </w:style>
  <w:style w:type="paragraph" w:customStyle="1" w:styleId="24">
    <w:name w:val="正文XB"/>
    <w:basedOn w:val="1"/>
    <w:link w:val="25"/>
    <w:qFormat/>
    <w:uiPriority w:val="0"/>
    <w:pPr>
      <w:spacing w:line="360" w:lineRule="auto"/>
      <w:ind w:firstLine="420" w:firstLineChars="200"/>
    </w:pPr>
    <w:rPr>
      <w:rFonts w:ascii="宋体" w:hAnsi="宋体"/>
      <w:color w:val="000000"/>
      <w:szCs w:val="21"/>
    </w:rPr>
  </w:style>
  <w:style w:type="character" w:customStyle="1" w:styleId="25">
    <w:name w:val="正文XB Char"/>
    <w:basedOn w:val="14"/>
    <w:link w:val="24"/>
    <w:qFormat/>
    <w:uiPriority w:val="0"/>
    <w:rPr>
      <w:rFonts w:ascii="宋体" w:hAnsi="宋体" w:eastAsia="宋体" w:cs="Times New Roman"/>
      <w:color w:val="000000"/>
      <w:szCs w:val="21"/>
    </w:rPr>
  </w:style>
  <w:style w:type="paragraph" w:styleId="26">
    <w:name w:val="List Paragraph"/>
    <w:basedOn w:val="1"/>
    <w:unhideWhenUsed/>
    <w:qFormat/>
    <w:uiPriority w:val="99"/>
    <w:pPr>
      <w:ind w:firstLine="420" w:firstLineChars="200"/>
    </w:pPr>
  </w:style>
  <w:style w:type="character" w:customStyle="1" w:styleId="27">
    <w:name w:val="正文文本缩进 2 Char"/>
    <w:basedOn w:val="14"/>
    <w:link w:val="5"/>
    <w:qFormat/>
    <w:uiPriority w:val="0"/>
    <w:rPr>
      <w:rFonts w:ascii="宋体" w:hAnsi="宋体" w:eastAsia="宋体" w:cs="Times New Roman"/>
      <w:color w:val="FF0000"/>
      <w:sz w:val="24"/>
      <w:szCs w:val="24"/>
    </w:rPr>
  </w:style>
  <w:style w:type="paragraph" w:customStyle="1" w:styleId="28">
    <w:name w:val="Default"/>
    <w:qFormat/>
    <w:uiPriority w:val="0"/>
    <w:pPr>
      <w:widowControl w:val="0"/>
      <w:autoSpaceDE w:val="0"/>
      <w:autoSpaceDN w:val="0"/>
      <w:adjustRightInd w:val="0"/>
    </w:pPr>
    <w:rPr>
      <w:rFonts w:ascii="宋体棬　僬　." w:eastAsia="宋体棬　僬　." w:cs="宋体棬　僬　." w:hAnsiTheme="minorHAnsi"/>
      <w:color w:val="000000"/>
      <w:sz w:val="24"/>
      <w:szCs w:val="24"/>
      <w:lang w:val="en-US" w:eastAsia="zh-CN" w:bidi="ar-SA"/>
    </w:rPr>
  </w:style>
  <w:style w:type="character" w:customStyle="1" w:styleId="29">
    <w:name w:val="批注文字 Char"/>
    <w:basedOn w:val="14"/>
    <w:link w:val="4"/>
    <w:semiHidden/>
    <w:qFormat/>
    <w:uiPriority w:val="99"/>
    <w:rPr>
      <w:rFonts w:ascii="Times New Roman" w:hAnsi="Times New Roman" w:eastAsia="宋体" w:cs="Times New Roman"/>
      <w:szCs w:val="24"/>
    </w:rPr>
  </w:style>
  <w:style w:type="character" w:customStyle="1" w:styleId="30">
    <w:name w:val="批注主题 Char"/>
    <w:basedOn w:val="29"/>
    <w:link w:val="12"/>
    <w:semiHidden/>
    <w:qFormat/>
    <w:uiPriority w:val="99"/>
    <w:rPr>
      <w:rFonts w:ascii="Times New Roman" w:hAnsi="Times New Roman" w:eastAsia="宋体" w:cs="Times New Roman"/>
      <w:b/>
      <w:bCs/>
      <w:szCs w:val="24"/>
    </w:rPr>
  </w:style>
  <w:style w:type="character" w:customStyle="1" w:styleId="31">
    <w:name w:val="批注框文本 Char"/>
    <w:basedOn w:val="14"/>
    <w:link w:val="6"/>
    <w:semiHidden/>
    <w:qFormat/>
    <w:uiPriority w:val="99"/>
    <w:rPr>
      <w:rFonts w:ascii="Times New Roman" w:hAnsi="Times New Roman" w:eastAsia="宋体" w:cs="Times New Roman"/>
      <w:sz w:val="18"/>
      <w:szCs w:val="18"/>
    </w:rPr>
  </w:style>
  <w:style w:type="paragraph" w:customStyle="1" w:styleId="32">
    <w:name w:val="TOC 标题1"/>
    <w:basedOn w:val="2"/>
    <w:next w:val="1"/>
    <w:semiHidden/>
    <w:unhideWhenUsed/>
    <w:qFormat/>
    <w:uiPriority w:val="39"/>
    <w:pPr>
      <w:keepNext/>
      <w:keepLines/>
      <w:spacing w:before="480" w:line="276" w:lineRule="auto"/>
      <w:outlineLvl w:val="9"/>
    </w:pPr>
    <w:rPr>
      <w:rFonts w:asciiTheme="majorHAnsi" w:hAnsiTheme="majorHAnsi" w:eastAsiaTheme="majorEastAsia" w:cstheme="majorBidi"/>
      <w:b/>
      <w:bCs/>
      <w:color w:val="376092" w:themeColor="accent1" w:themeShade="BF"/>
      <w:sz w:val="28"/>
      <w:szCs w:val="28"/>
      <w:lang w:val="en-US"/>
    </w:rPr>
  </w:style>
  <w:style w:type="paragraph" w:styleId="33">
    <w:name w:val="No Spacing"/>
    <w:basedOn w:val="1"/>
    <w:link w:val="34"/>
    <w:qFormat/>
    <w:uiPriority w:val="1"/>
    <w:pPr>
      <w:widowControl/>
      <w:jc w:val="left"/>
    </w:pPr>
    <w:rPr>
      <w:rFonts w:asciiTheme="minorHAnsi" w:hAnsiTheme="minorHAnsi" w:eastAsiaTheme="minorEastAsia" w:cstheme="minorBidi"/>
      <w:szCs w:val="21"/>
    </w:rPr>
  </w:style>
  <w:style w:type="character" w:customStyle="1" w:styleId="34">
    <w:name w:val="无间隔 Char"/>
    <w:basedOn w:val="14"/>
    <w:link w:val="33"/>
    <w:qFormat/>
    <w:locked/>
    <w:uiPriority w:val="1"/>
    <w:rPr>
      <w:szCs w:val="21"/>
    </w:r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6">
    <w:name w:val="无缩进备注"/>
    <w:basedOn w:val="1"/>
    <w:link w:val="37"/>
    <w:qFormat/>
    <w:uiPriority w:val="0"/>
    <w:pPr>
      <w:tabs>
        <w:tab w:val="left" w:pos="426"/>
      </w:tabs>
      <w:jc w:val="left"/>
    </w:pPr>
    <w:rPr>
      <w:rFonts w:ascii="宋体" w:hAnsi="宋体"/>
      <w:kern w:val="0"/>
      <w:szCs w:val="21"/>
    </w:rPr>
  </w:style>
  <w:style w:type="character" w:customStyle="1" w:styleId="37">
    <w:name w:val="无缩进备注 Char"/>
    <w:basedOn w:val="14"/>
    <w:link w:val="36"/>
    <w:qFormat/>
    <w:uiPriority w:val="0"/>
    <w:rPr>
      <w:rFonts w:ascii="宋体" w:hAnsi="宋体" w:eastAsia="宋体" w:cs="Times New Roman"/>
      <w:kern w:val="0"/>
      <w:szCs w:val="21"/>
    </w:rPr>
  </w:style>
  <w:style w:type="character" w:customStyle="1" w:styleId="38">
    <w:name w:val="read1"/>
    <w:basedOn w:val="14"/>
    <w:qFormat/>
    <w:uiPriority w:val="0"/>
    <w:rPr>
      <w:rFonts w:hint="default"/>
      <w:color w:val="000000"/>
      <w:spacing w:val="45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2E308-3860-4B85-87A9-2C7A862269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1643</Words>
  <Characters>9366</Characters>
  <Lines>78</Lines>
  <Paragraphs>21</Paragraphs>
  <TotalTime>21</TotalTime>
  <ScaleCrop>false</ScaleCrop>
  <LinksUpToDate>false</LinksUpToDate>
  <CharactersWithSpaces>10988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2023-05-24T07:18:00Z</dcterms:created>
  <dc:creator>段宏竹</dc:creator>
  <cp:lastModifiedBy>shangguanyq</cp:lastModifiedBy>
  <cp:lastPrinted>2023-01-11T01:54:00Z</cp:lastPrinted>
  <dcterms:modified xsi:type="dcterms:W3CDTF">2024-06-18T06:59:27Z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76A22DAD6FB340F199AD7262B444EFA3</vt:lpwstr>
  </property>
</Properties>
</file>