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961" w:rsidRPr="003834D2" w:rsidRDefault="00002961" w:rsidP="0046050D">
      <w:pPr>
        <w:widowControl/>
        <w:spacing w:line="60" w:lineRule="auto"/>
        <w:jc w:val="center"/>
        <w:outlineLvl w:val="1"/>
        <w:rPr>
          <w:rFonts w:ascii="宋体" w:eastAsia="宋体" w:hAnsi="宋体" w:cs="宋体"/>
          <w:b/>
          <w:bCs/>
          <w:color w:val="333333"/>
          <w:kern w:val="0"/>
          <w:sz w:val="28"/>
          <w:szCs w:val="28"/>
        </w:rPr>
      </w:pPr>
      <w:bookmarkStart w:id="0" w:name="_GoBack"/>
      <w:bookmarkEnd w:id="0"/>
      <w:r w:rsidRPr="0046050D">
        <w:rPr>
          <w:rFonts w:ascii="宋体" w:eastAsia="宋体" w:hAnsi="宋体" w:cs="宋体" w:hint="eastAsia"/>
          <w:b/>
          <w:bCs/>
          <w:color w:val="333333"/>
          <w:kern w:val="0"/>
          <w:sz w:val="28"/>
          <w:szCs w:val="28"/>
        </w:rPr>
        <w:t>银</w:t>
      </w:r>
      <w:r w:rsidRPr="003834D2">
        <w:rPr>
          <w:rFonts w:ascii="宋体" w:eastAsia="宋体" w:hAnsi="宋体" w:cs="宋体" w:hint="eastAsia"/>
          <w:b/>
          <w:bCs/>
          <w:color w:val="333333"/>
          <w:kern w:val="0"/>
          <w:sz w:val="28"/>
          <w:szCs w:val="28"/>
        </w:rPr>
        <w:t>河基金管理有限公司关于旗下</w:t>
      </w:r>
      <w:r w:rsidR="00B215DC">
        <w:rPr>
          <w:rFonts w:ascii="宋体" w:eastAsia="宋体" w:hAnsi="宋体" w:cs="宋体" w:hint="eastAsia"/>
          <w:b/>
          <w:bCs/>
          <w:color w:val="333333"/>
          <w:kern w:val="0"/>
          <w:sz w:val="28"/>
          <w:szCs w:val="28"/>
        </w:rPr>
        <w:t>部分</w:t>
      </w:r>
      <w:r w:rsidR="004B77F3" w:rsidRPr="004B77F3">
        <w:rPr>
          <w:rFonts w:ascii="宋体" w:eastAsia="宋体" w:hAnsi="宋体" w:cs="宋体"/>
          <w:b/>
          <w:bCs/>
          <w:color w:val="333333"/>
          <w:kern w:val="0"/>
          <w:sz w:val="28"/>
          <w:szCs w:val="28"/>
        </w:rPr>
        <w:t>基金</w:t>
      </w:r>
      <w:r w:rsidRPr="003834D2">
        <w:rPr>
          <w:rFonts w:ascii="宋体" w:eastAsia="宋体" w:hAnsi="宋体" w:cs="宋体" w:hint="eastAsia"/>
          <w:b/>
          <w:bCs/>
          <w:color w:val="333333"/>
          <w:kern w:val="0"/>
          <w:sz w:val="28"/>
          <w:szCs w:val="28"/>
        </w:rPr>
        <w:t>增加</w:t>
      </w:r>
      <w:r w:rsidR="00BA0AAE" w:rsidRPr="00BA0AAE">
        <w:rPr>
          <w:rFonts w:ascii="宋体" w:eastAsia="宋体" w:hAnsi="宋体" w:cs="宋体" w:hint="eastAsia"/>
          <w:b/>
          <w:bCs/>
          <w:color w:val="333333"/>
          <w:kern w:val="0"/>
          <w:sz w:val="28"/>
          <w:szCs w:val="28"/>
        </w:rPr>
        <w:t>中信证券股份有限公司</w:t>
      </w:r>
      <w:r w:rsidR="00BA0AAE">
        <w:rPr>
          <w:rFonts w:ascii="宋体" w:eastAsia="宋体" w:hAnsi="宋体" w:cs="宋体" w:hint="eastAsia"/>
          <w:b/>
          <w:bCs/>
          <w:color w:val="333333"/>
          <w:kern w:val="0"/>
          <w:sz w:val="28"/>
          <w:szCs w:val="28"/>
        </w:rPr>
        <w:t>等</w:t>
      </w:r>
      <w:r w:rsidRPr="003834D2">
        <w:rPr>
          <w:rFonts w:ascii="宋体" w:eastAsia="宋体" w:hAnsi="宋体" w:cs="宋体" w:hint="eastAsia"/>
          <w:b/>
          <w:bCs/>
          <w:color w:val="333333"/>
          <w:kern w:val="0"/>
          <w:sz w:val="28"/>
          <w:szCs w:val="28"/>
        </w:rPr>
        <w:t>为代销</w:t>
      </w:r>
      <w:r w:rsidR="0021406F" w:rsidRPr="003834D2">
        <w:rPr>
          <w:rFonts w:ascii="宋体" w:eastAsia="宋体" w:hAnsi="宋体" w:cs="宋体" w:hint="eastAsia"/>
          <w:b/>
          <w:bCs/>
          <w:color w:val="333333"/>
          <w:kern w:val="0"/>
          <w:sz w:val="28"/>
          <w:szCs w:val="28"/>
        </w:rPr>
        <w:t>机构</w:t>
      </w:r>
      <w:r w:rsidR="00D738DC" w:rsidRPr="00D738DC">
        <w:rPr>
          <w:rFonts w:ascii="宋体" w:eastAsia="宋体" w:hAnsi="宋体" w:cs="宋体" w:hint="eastAsia"/>
          <w:b/>
          <w:bCs/>
          <w:color w:val="333333"/>
          <w:kern w:val="0"/>
          <w:sz w:val="28"/>
          <w:szCs w:val="28"/>
        </w:rPr>
        <w:t>并开通定投、转换业务及参加费率优惠活动的公告</w:t>
      </w:r>
    </w:p>
    <w:p w:rsidR="00B215DC" w:rsidRDefault="00F65856" w:rsidP="00B215DC">
      <w:pPr>
        <w:widowControl/>
        <w:spacing w:line="288" w:lineRule="auto"/>
        <w:ind w:firstLine="374"/>
        <w:rPr>
          <w:rFonts w:ascii="宋体" w:eastAsia="宋体" w:hAnsi="宋体" w:cs="Tahoma"/>
          <w:color w:val="000000"/>
          <w:kern w:val="0"/>
          <w:szCs w:val="21"/>
        </w:rPr>
      </w:pPr>
      <w:r w:rsidRPr="00F65856">
        <w:rPr>
          <w:rFonts w:ascii="宋体" w:hAnsi="宋体" w:cs="宋体" w:hint="eastAsia"/>
          <w:kern w:val="0"/>
          <w:szCs w:val="21"/>
        </w:rPr>
        <w:t>为更好地满足广大投资者的需求，银河基金管理有限公司（以下简称“本公司”</w:t>
      </w:r>
      <w:r>
        <w:rPr>
          <w:rFonts w:ascii="宋体" w:hAnsi="宋体" w:cs="宋体" w:hint="eastAsia"/>
          <w:kern w:val="0"/>
          <w:szCs w:val="21"/>
        </w:rPr>
        <w:t>、“基金管理人”</w:t>
      </w:r>
      <w:r w:rsidRPr="00F65856">
        <w:rPr>
          <w:rFonts w:ascii="宋体" w:hAnsi="宋体" w:cs="宋体" w:hint="eastAsia"/>
          <w:kern w:val="0"/>
          <w:szCs w:val="21"/>
        </w:rPr>
        <w:t>）与</w:t>
      </w:r>
      <w:r w:rsidR="00360932">
        <w:rPr>
          <w:rFonts w:ascii="宋体" w:hAnsi="宋体" w:cs="宋体" w:hint="eastAsia"/>
          <w:kern w:val="0"/>
          <w:szCs w:val="21"/>
        </w:rPr>
        <w:t>中信证券股份有限公司、</w:t>
      </w:r>
      <w:r w:rsidR="00360932" w:rsidRPr="00360932">
        <w:rPr>
          <w:rFonts w:ascii="宋体" w:hAnsi="宋体" w:cs="宋体" w:hint="eastAsia"/>
          <w:kern w:val="0"/>
          <w:szCs w:val="21"/>
        </w:rPr>
        <w:t>中信证券华南股份有限公司、中信证券（山东）有限责任公司</w:t>
      </w:r>
      <w:r w:rsidR="00360932">
        <w:rPr>
          <w:rFonts w:ascii="宋体" w:hAnsi="宋体" w:cs="宋体" w:hint="eastAsia"/>
          <w:kern w:val="0"/>
          <w:szCs w:val="21"/>
        </w:rPr>
        <w:t>、</w:t>
      </w:r>
      <w:r w:rsidR="00360932" w:rsidRPr="00360932">
        <w:rPr>
          <w:rFonts w:ascii="宋体" w:hAnsi="宋体" w:cs="宋体" w:hint="eastAsia"/>
          <w:kern w:val="0"/>
          <w:szCs w:val="21"/>
        </w:rPr>
        <w:t>中信期货有限公司</w:t>
      </w:r>
      <w:r w:rsidRPr="00F65856">
        <w:rPr>
          <w:rFonts w:ascii="宋体" w:hAnsi="宋体" w:cs="宋体" w:hint="eastAsia"/>
          <w:kern w:val="0"/>
          <w:szCs w:val="21"/>
        </w:rPr>
        <w:t>协商</w:t>
      </w:r>
      <w:r>
        <w:rPr>
          <w:rFonts w:ascii="宋体" w:hAnsi="宋体" w:cs="宋体" w:hint="eastAsia"/>
          <w:kern w:val="0"/>
          <w:szCs w:val="21"/>
        </w:rPr>
        <w:t>决定</w:t>
      </w:r>
      <w:r w:rsidRPr="00F65856">
        <w:rPr>
          <w:rFonts w:ascii="宋体" w:hAnsi="宋体" w:cs="宋体" w:hint="eastAsia"/>
          <w:kern w:val="0"/>
          <w:szCs w:val="21"/>
        </w:rPr>
        <w:t>，</w:t>
      </w:r>
      <w:r w:rsidR="00C30181" w:rsidRPr="003834D2">
        <w:rPr>
          <w:rFonts w:ascii="宋体" w:hAnsi="宋体" w:cs="宋体" w:hint="eastAsia"/>
          <w:kern w:val="0"/>
          <w:szCs w:val="21"/>
        </w:rPr>
        <w:t>自</w:t>
      </w:r>
      <w:r w:rsidR="00360932" w:rsidRPr="003834D2">
        <w:rPr>
          <w:rFonts w:ascii="宋体" w:hAnsi="宋体" w:cs="宋体" w:hint="eastAsia"/>
          <w:kern w:val="0"/>
          <w:szCs w:val="21"/>
        </w:rPr>
        <w:t>202</w:t>
      </w:r>
      <w:r w:rsidR="00360932">
        <w:rPr>
          <w:rFonts w:ascii="宋体" w:hAnsi="宋体" w:cs="宋体"/>
          <w:kern w:val="0"/>
          <w:szCs w:val="21"/>
        </w:rPr>
        <w:t>4</w:t>
      </w:r>
      <w:r w:rsidR="00360932" w:rsidRPr="003834D2">
        <w:rPr>
          <w:rFonts w:ascii="宋体" w:hAnsi="宋体" w:cs="宋体" w:hint="eastAsia"/>
          <w:kern w:val="0"/>
          <w:szCs w:val="21"/>
        </w:rPr>
        <w:t>年</w:t>
      </w:r>
      <w:r w:rsidR="00B215DC">
        <w:rPr>
          <w:rFonts w:ascii="宋体" w:hAnsi="宋体" w:cs="宋体"/>
          <w:kern w:val="0"/>
          <w:szCs w:val="21"/>
        </w:rPr>
        <w:t>6</w:t>
      </w:r>
      <w:r w:rsidR="00C30181" w:rsidRPr="003834D2">
        <w:rPr>
          <w:rFonts w:ascii="宋体" w:hAnsi="宋体" w:cs="宋体" w:hint="eastAsia"/>
          <w:kern w:val="0"/>
          <w:szCs w:val="21"/>
        </w:rPr>
        <w:t>月</w:t>
      </w:r>
      <w:r w:rsidR="00B215DC">
        <w:rPr>
          <w:rFonts w:ascii="宋体" w:hAnsi="宋体" w:cs="宋体"/>
          <w:kern w:val="0"/>
          <w:szCs w:val="21"/>
        </w:rPr>
        <w:t>28</w:t>
      </w:r>
      <w:r w:rsidR="00C30181" w:rsidRPr="00413B7B">
        <w:rPr>
          <w:rFonts w:ascii="宋体" w:hAnsi="宋体" w:cs="宋体" w:hint="eastAsia"/>
          <w:kern w:val="0"/>
          <w:szCs w:val="21"/>
        </w:rPr>
        <w:t>日起</w:t>
      </w:r>
      <w:r w:rsidR="00C30181" w:rsidRPr="003834D2">
        <w:rPr>
          <w:rFonts w:ascii="宋体" w:hAnsi="宋体" w:cs="宋体" w:hint="eastAsia"/>
          <w:kern w:val="0"/>
          <w:szCs w:val="21"/>
        </w:rPr>
        <w:t>，</w:t>
      </w:r>
      <w:r w:rsidR="002C2994" w:rsidRPr="003834D2">
        <w:rPr>
          <w:rFonts w:ascii="宋体" w:hAnsi="宋体" w:cs="宋体" w:hint="eastAsia"/>
          <w:kern w:val="0"/>
          <w:szCs w:val="21"/>
        </w:rPr>
        <w:t>本公司</w:t>
      </w:r>
      <w:r w:rsidR="00C30181" w:rsidRPr="003834D2">
        <w:rPr>
          <w:rFonts w:ascii="宋体" w:hAnsi="宋体" w:cs="宋体" w:hint="eastAsia"/>
          <w:kern w:val="0"/>
          <w:szCs w:val="21"/>
        </w:rPr>
        <w:t>旗下</w:t>
      </w:r>
      <w:r w:rsidR="00B215DC" w:rsidRPr="00B215DC">
        <w:rPr>
          <w:rFonts w:ascii="Arial" w:hAnsi="Arial" w:cs="Arial" w:hint="eastAsia"/>
          <w:color w:val="333333"/>
          <w:shd w:val="clear" w:color="auto" w:fill="FFFFFF"/>
        </w:rPr>
        <w:t>部分基金</w:t>
      </w:r>
      <w:r w:rsidR="0007554C" w:rsidRPr="003834D2">
        <w:rPr>
          <w:rFonts w:ascii="宋体" w:hAnsi="宋体" w:cs="宋体" w:hint="eastAsia"/>
          <w:kern w:val="0"/>
          <w:szCs w:val="21"/>
        </w:rPr>
        <w:t>新增</w:t>
      </w:r>
      <w:r w:rsidR="00DD326C" w:rsidRPr="00DD326C">
        <w:rPr>
          <w:rFonts w:ascii="宋体" w:eastAsia="宋体" w:hAnsi="宋体" w:cs="Tahoma" w:hint="eastAsia"/>
          <w:color w:val="000000"/>
          <w:kern w:val="0"/>
          <w:szCs w:val="21"/>
        </w:rPr>
        <w:t>上述销售机构</w:t>
      </w:r>
      <w:r w:rsidR="0007554C" w:rsidRPr="003834D2">
        <w:rPr>
          <w:rFonts w:ascii="宋体" w:hAnsi="宋体" w:cs="宋体" w:hint="eastAsia"/>
          <w:kern w:val="0"/>
          <w:szCs w:val="21"/>
        </w:rPr>
        <w:t>为代销机构，</w:t>
      </w:r>
      <w:r w:rsidR="00960F3A" w:rsidRPr="003834D2">
        <w:rPr>
          <w:rFonts w:ascii="宋体" w:hAnsi="宋体" w:cs="宋体" w:hint="eastAsia"/>
          <w:kern w:val="0"/>
          <w:szCs w:val="21"/>
        </w:rPr>
        <w:t>同时开通定投</w:t>
      </w:r>
      <w:r w:rsidR="002C2994" w:rsidRPr="003834D2">
        <w:rPr>
          <w:rFonts w:ascii="宋体" w:hAnsi="宋体" w:cs="宋体" w:hint="eastAsia"/>
          <w:kern w:val="0"/>
          <w:szCs w:val="21"/>
        </w:rPr>
        <w:t>、转换业务</w:t>
      </w:r>
      <w:r w:rsidR="00B215DC" w:rsidRPr="00B215DC">
        <w:rPr>
          <w:rFonts w:ascii="宋体" w:hAnsi="宋体" w:cs="宋体" w:hint="eastAsia"/>
          <w:kern w:val="0"/>
          <w:szCs w:val="21"/>
        </w:rPr>
        <w:t>及参加费率优惠活动。定投起始金额为10元起，申购、定投费率优惠活动的优惠规则及结束时间以上述代销机构相关公告为准。基金能否互转请以本公司具体业务公告为准。</w:t>
      </w:r>
    </w:p>
    <w:p w:rsidR="00B215DC" w:rsidRDefault="00B215DC" w:rsidP="00D738DC">
      <w:pPr>
        <w:widowControl/>
        <w:spacing w:line="288" w:lineRule="auto"/>
        <w:ind w:firstLine="374"/>
        <w:rPr>
          <w:rFonts w:ascii="宋体" w:eastAsia="宋体" w:hAnsi="宋体" w:cs="Tahoma"/>
          <w:b/>
          <w:color w:val="000000"/>
          <w:kern w:val="0"/>
          <w:szCs w:val="21"/>
        </w:rPr>
      </w:pPr>
      <w:r>
        <w:rPr>
          <w:rFonts w:ascii="宋体" w:eastAsia="宋体" w:hAnsi="宋体" w:cs="Tahoma" w:hint="eastAsia"/>
          <w:b/>
          <w:color w:val="000000"/>
          <w:kern w:val="0"/>
          <w:szCs w:val="21"/>
        </w:rPr>
        <w:t>一、</w:t>
      </w:r>
      <w:r w:rsidRPr="0056706C">
        <w:rPr>
          <w:rFonts w:ascii="宋体" w:eastAsia="宋体" w:hAnsi="宋体" w:cs="Tahoma" w:hint="eastAsia"/>
          <w:b/>
          <w:color w:val="000000"/>
          <w:kern w:val="0"/>
          <w:szCs w:val="21"/>
        </w:rPr>
        <w:t>适用基金</w:t>
      </w:r>
    </w:p>
    <w:tbl>
      <w:tblPr>
        <w:tblW w:w="5000" w:type="pct"/>
        <w:tblLook w:val="04A0"/>
      </w:tblPr>
      <w:tblGrid>
        <w:gridCol w:w="722"/>
        <w:gridCol w:w="1457"/>
        <w:gridCol w:w="3203"/>
        <w:gridCol w:w="1749"/>
        <w:gridCol w:w="1391"/>
      </w:tblGrid>
      <w:tr w:rsidR="008A6E9C" w:rsidRPr="008A6E9C" w:rsidTr="00D738DC">
        <w:trPr>
          <w:trHeight w:val="510"/>
        </w:trPr>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b/>
                <w:bCs/>
                <w:color w:val="000000"/>
                <w:kern w:val="0"/>
                <w:szCs w:val="21"/>
              </w:rPr>
            </w:pPr>
            <w:r w:rsidRPr="008A6E9C">
              <w:rPr>
                <w:rFonts w:ascii="宋体" w:eastAsia="宋体" w:hAnsi="宋体" w:cs="宋体" w:hint="eastAsia"/>
                <w:b/>
                <w:bCs/>
                <w:color w:val="000000"/>
                <w:kern w:val="0"/>
                <w:szCs w:val="21"/>
              </w:rPr>
              <w:t>序号</w:t>
            </w: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b/>
                <w:bCs/>
                <w:color w:val="000000"/>
                <w:kern w:val="0"/>
                <w:szCs w:val="21"/>
              </w:rPr>
            </w:pPr>
            <w:r w:rsidRPr="008A6E9C">
              <w:rPr>
                <w:rFonts w:ascii="宋体" w:eastAsia="宋体" w:hAnsi="宋体" w:cs="宋体" w:hint="eastAsia"/>
                <w:b/>
                <w:bCs/>
                <w:color w:val="000000"/>
                <w:kern w:val="0"/>
                <w:szCs w:val="21"/>
              </w:rPr>
              <w:t>基金代码</w:t>
            </w:r>
          </w:p>
        </w:tc>
        <w:tc>
          <w:tcPr>
            <w:tcW w:w="1879" w:type="pct"/>
            <w:tcBorders>
              <w:top w:val="single" w:sz="4" w:space="0" w:color="auto"/>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b/>
                <w:bCs/>
                <w:color w:val="000000"/>
                <w:kern w:val="0"/>
                <w:szCs w:val="21"/>
              </w:rPr>
            </w:pPr>
            <w:r w:rsidRPr="008A6E9C">
              <w:rPr>
                <w:rFonts w:ascii="宋体" w:eastAsia="宋体" w:hAnsi="宋体" w:cs="宋体" w:hint="eastAsia"/>
                <w:b/>
                <w:bCs/>
                <w:color w:val="000000"/>
                <w:kern w:val="0"/>
                <w:szCs w:val="21"/>
              </w:rPr>
              <w:t>基金名称</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b/>
                <w:bCs/>
                <w:color w:val="000000"/>
                <w:kern w:val="0"/>
                <w:szCs w:val="21"/>
              </w:rPr>
            </w:pPr>
            <w:r w:rsidRPr="008A6E9C">
              <w:rPr>
                <w:rFonts w:ascii="宋体" w:eastAsia="宋体" w:hAnsi="宋体" w:cs="宋体" w:hint="eastAsia"/>
                <w:b/>
                <w:bCs/>
                <w:color w:val="000000"/>
                <w:kern w:val="0"/>
                <w:szCs w:val="21"/>
              </w:rPr>
              <w:t>基金简称</w:t>
            </w:r>
          </w:p>
        </w:tc>
        <w:tc>
          <w:tcPr>
            <w:tcW w:w="816" w:type="pct"/>
            <w:tcBorders>
              <w:top w:val="single" w:sz="4" w:space="0" w:color="auto"/>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b/>
                <w:bCs/>
                <w:color w:val="000000"/>
                <w:kern w:val="0"/>
                <w:szCs w:val="21"/>
              </w:rPr>
            </w:pPr>
            <w:r w:rsidRPr="008A6E9C">
              <w:rPr>
                <w:rFonts w:ascii="宋体" w:eastAsia="宋体" w:hAnsi="宋体" w:cs="宋体" w:hint="eastAsia"/>
                <w:b/>
                <w:bCs/>
                <w:color w:val="000000"/>
                <w:kern w:val="0"/>
                <w:szCs w:val="21"/>
              </w:rPr>
              <w:t>是否开通转换</w:t>
            </w:r>
          </w:p>
        </w:tc>
      </w:tr>
      <w:tr w:rsidR="008A6E9C" w:rsidRPr="008A6E9C" w:rsidTr="00D738DC">
        <w:trPr>
          <w:trHeight w:val="102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1</w:t>
            </w:r>
          </w:p>
        </w:tc>
        <w:tc>
          <w:tcPr>
            <w:tcW w:w="855"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006070</w:t>
            </w:r>
          </w:p>
        </w:tc>
        <w:tc>
          <w:tcPr>
            <w:tcW w:w="1879"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银河沃丰纯债债券型证券投资基金</w:t>
            </w:r>
          </w:p>
        </w:tc>
        <w:tc>
          <w:tcPr>
            <w:tcW w:w="1026"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银河沃丰纯债</w:t>
            </w:r>
          </w:p>
        </w:tc>
        <w:tc>
          <w:tcPr>
            <w:tcW w:w="816"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是</w:t>
            </w:r>
          </w:p>
        </w:tc>
      </w:tr>
      <w:tr w:rsidR="008A6E9C" w:rsidRPr="008A6E9C" w:rsidTr="00D738DC">
        <w:trPr>
          <w:trHeight w:val="1275"/>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2</w:t>
            </w:r>
          </w:p>
        </w:tc>
        <w:tc>
          <w:tcPr>
            <w:tcW w:w="855"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006071</w:t>
            </w:r>
          </w:p>
        </w:tc>
        <w:tc>
          <w:tcPr>
            <w:tcW w:w="1879"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银河睿嘉纯债债券型证券投资基金A类份额</w:t>
            </w:r>
          </w:p>
        </w:tc>
        <w:tc>
          <w:tcPr>
            <w:tcW w:w="1026"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银河睿嘉债券A</w:t>
            </w:r>
          </w:p>
        </w:tc>
        <w:tc>
          <w:tcPr>
            <w:tcW w:w="816"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是</w:t>
            </w:r>
          </w:p>
        </w:tc>
      </w:tr>
      <w:tr w:rsidR="008A6E9C" w:rsidRPr="008A6E9C" w:rsidTr="00D738DC">
        <w:trPr>
          <w:trHeight w:val="1275"/>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3</w:t>
            </w:r>
          </w:p>
        </w:tc>
        <w:tc>
          <w:tcPr>
            <w:tcW w:w="855"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006403</w:t>
            </w:r>
          </w:p>
        </w:tc>
        <w:tc>
          <w:tcPr>
            <w:tcW w:w="1879"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银河睿嘉纯债债券型证券投资基金C类份额</w:t>
            </w:r>
          </w:p>
        </w:tc>
        <w:tc>
          <w:tcPr>
            <w:tcW w:w="1026"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银河睿嘉债券C</w:t>
            </w:r>
          </w:p>
        </w:tc>
        <w:tc>
          <w:tcPr>
            <w:tcW w:w="816"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是</w:t>
            </w:r>
          </w:p>
        </w:tc>
      </w:tr>
      <w:tr w:rsidR="008A6E9C" w:rsidRPr="008A6E9C" w:rsidTr="00D738DC">
        <w:trPr>
          <w:trHeight w:val="102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4</w:t>
            </w:r>
          </w:p>
        </w:tc>
        <w:tc>
          <w:tcPr>
            <w:tcW w:w="855"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006761</w:t>
            </w:r>
          </w:p>
        </w:tc>
        <w:tc>
          <w:tcPr>
            <w:tcW w:w="1879"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银河家盈纯债债券型证券投资基金</w:t>
            </w:r>
          </w:p>
        </w:tc>
        <w:tc>
          <w:tcPr>
            <w:tcW w:w="1026"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银河家盈债券</w:t>
            </w:r>
          </w:p>
        </w:tc>
        <w:tc>
          <w:tcPr>
            <w:tcW w:w="816"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是</w:t>
            </w:r>
          </w:p>
        </w:tc>
      </w:tr>
      <w:tr w:rsidR="008A6E9C" w:rsidRPr="008A6E9C" w:rsidTr="00D738DC">
        <w:trPr>
          <w:trHeight w:val="102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5</w:t>
            </w:r>
          </w:p>
        </w:tc>
        <w:tc>
          <w:tcPr>
            <w:tcW w:w="855"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006767</w:t>
            </w:r>
          </w:p>
        </w:tc>
        <w:tc>
          <w:tcPr>
            <w:tcW w:w="1879"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银河嘉裕纯债债券型证券投资基金</w:t>
            </w:r>
          </w:p>
        </w:tc>
        <w:tc>
          <w:tcPr>
            <w:tcW w:w="1026"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银河嘉裕债券</w:t>
            </w:r>
          </w:p>
        </w:tc>
        <w:tc>
          <w:tcPr>
            <w:tcW w:w="816"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是</w:t>
            </w:r>
          </w:p>
        </w:tc>
      </w:tr>
      <w:tr w:rsidR="008A6E9C" w:rsidRPr="008A6E9C" w:rsidTr="00D738DC">
        <w:trPr>
          <w:trHeight w:val="102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6</w:t>
            </w:r>
          </w:p>
        </w:tc>
        <w:tc>
          <w:tcPr>
            <w:tcW w:w="855"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006828</w:t>
            </w:r>
          </w:p>
        </w:tc>
        <w:tc>
          <w:tcPr>
            <w:tcW w:w="1879"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银河久泰纯债债券型证券投资基金</w:t>
            </w:r>
          </w:p>
        </w:tc>
        <w:tc>
          <w:tcPr>
            <w:tcW w:w="1026"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银河久泰债券</w:t>
            </w:r>
          </w:p>
        </w:tc>
        <w:tc>
          <w:tcPr>
            <w:tcW w:w="816" w:type="pct"/>
            <w:tcBorders>
              <w:top w:val="nil"/>
              <w:left w:val="nil"/>
              <w:bottom w:val="single" w:sz="4" w:space="0" w:color="auto"/>
              <w:right w:val="single" w:sz="4" w:space="0" w:color="auto"/>
            </w:tcBorders>
            <w:shd w:val="clear" w:color="auto" w:fill="auto"/>
            <w:vAlign w:val="center"/>
            <w:hideMark/>
          </w:tcPr>
          <w:p w:rsidR="008A6E9C" w:rsidRPr="008A6E9C" w:rsidRDefault="00F07E50" w:rsidP="008A6E9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否</w:t>
            </w:r>
          </w:p>
        </w:tc>
      </w:tr>
      <w:tr w:rsidR="008A6E9C" w:rsidRPr="008A6E9C" w:rsidTr="00D738DC">
        <w:trPr>
          <w:trHeight w:val="102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7</w:t>
            </w:r>
          </w:p>
        </w:tc>
        <w:tc>
          <w:tcPr>
            <w:tcW w:w="855"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007406</w:t>
            </w:r>
          </w:p>
        </w:tc>
        <w:tc>
          <w:tcPr>
            <w:tcW w:w="1879"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银河睿鑫纯债债券型证券投资基金</w:t>
            </w:r>
          </w:p>
        </w:tc>
        <w:tc>
          <w:tcPr>
            <w:tcW w:w="1026"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银河睿鑫债券</w:t>
            </w:r>
          </w:p>
        </w:tc>
        <w:tc>
          <w:tcPr>
            <w:tcW w:w="816" w:type="pct"/>
            <w:tcBorders>
              <w:top w:val="nil"/>
              <w:left w:val="nil"/>
              <w:bottom w:val="single" w:sz="4" w:space="0" w:color="auto"/>
              <w:right w:val="single" w:sz="4" w:space="0" w:color="auto"/>
            </w:tcBorders>
            <w:shd w:val="clear" w:color="auto" w:fill="auto"/>
            <w:vAlign w:val="center"/>
            <w:hideMark/>
          </w:tcPr>
          <w:p w:rsidR="008A6E9C" w:rsidRPr="008A6E9C" w:rsidRDefault="00EB2D53" w:rsidP="008A6E9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否</w:t>
            </w:r>
          </w:p>
        </w:tc>
      </w:tr>
      <w:tr w:rsidR="008A6E9C" w:rsidRPr="008A6E9C" w:rsidTr="00D738DC">
        <w:trPr>
          <w:trHeight w:val="1275"/>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8</w:t>
            </w:r>
          </w:p>
        </w:tc>
        <w:tc>
          <w:tcPr>
            <w:tcW w:w="855"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008563</w:t>
            </w:r>
          </w:p>
        </w:tc>
        <w:tc>
          <w:tcPr>
            <w:tcW w:w="1879"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银河臻优稳健配置混合型证券投资基金A类份额</w:t>
            </w:r>
          </w:p>
        </w:tc>
        <w:tc>
          <w:tcPr>
            <w:tcW w:w="1026"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银河臻优稳健配置混合A</w:t>
            </w:r>
          </w:p>
        </w:tc>
        <w:tc>
          <w:tcPr>
            <w:tcW w:w="816"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是</w:t>
            </w:r>
          </w:p>
        </w:tc>
      </w:tr>
      <w:tr w:rsidR="008A6E9C" w:rsidRPr="008A6E9C" w:rsidTr="00D738DC">
        <w:trPr>
          <w:trHeight w:val="1275"/>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lastRenderedPageBreak/>
              <w:t>9</w:t>
            </w:r>
          </w:p>
        </w:tc>
        <w:tc>
          <w:tcPr>
            <w:tcW w:w="855"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008564</w:t>
            </w:r>
          </w:p>
        </w:tc>
        <w:tc>
          <w:tcPr>
            <w:tcW w:w="1879"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银河臻优稳健配置混合型证券投资基金C类份额</w:t>
            </w:r>
          </w:p>
        </w:tc>
        <w:tc>
          <w:tcPr>
            <w:tcW w:w="1026"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银河臻优稳健配置混合C</w:t>
            </w:r>
          </w:p>
        </w:tc>
        <w:tc>
          <w:tcPr>
            <w:tcW w:w="816"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是</w:t>
            </w:r>
          </w:p>
        </w:tc>
      </w:tr>
      <w:tr w:rsidR="008A6E9C" w:rsidRPr="008A6E9C" w:rsidTr="00D738DC">
        <w:trPr>
          <w:trHeight w:val="1275"/>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10</w:t>
            </w:r>
          </w:p>
        </w:tc>
        <w:tc>
          <w:tcPr>
            <w:tcW w:w="855" w:type="pct"/>
            <w:tcBorders>
              <w:top w:val="nil"/>
              <w:left w:val="nil"/>
              <w:bottom w:val="single" w:sz="4" w:space="0" w:color="auto"/>
              <w:right w:val="single" w:sz="4" w:space="0" w:color="auto"/>
            </w:tcBorders>
            <w:shd w:val="clear" w:color="auto" w:fill="auto"/>
            <w:noWrap/>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015665</w:t>
            </w:r>
          </w:p>
        </w:tc>
        <w:tc>
          <w:tcPr>
            <w:tcW w:w="1879"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银河和美生活主题混合型证券投资基金C类份额</w:t>
            </w:r>
          </w:p>
        </w:tc>
        <w:tc>
          <w:tcPr>
            <w:tcW w:w="1026"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银河和美生活混合C</w:t>
            </w:r>
          </w:p>
        </w:tc>
        <w:tc>
          <w:tcPr>
            <w:tcW w:w="816"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是</w:t>
            </w:r>
          </w:p>
        </w:tc>
      </w:tr>
      <w:tr w:rsidR="008A6E9C" w:rsidRPr="008A6E9C" w:rsidTr="00D738DC">
        <w:trPr>
          <w:trHeight w:val="1275"/>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11</w:t>
            </w:r>
          </w:p>
        </w:tc>
        <w:tc>
          <w:tcPr>
            <w:tcW w:w="855"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015666</w:t>
            </w:r>
          </w:p>
        </w:tc>
        <w:tc>
          <w:tcPr>
            <w:tcW w:w="1879"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银河医药健康混合型证券投资基金C类份额</w:t>
            </w:r>
          </w:p>
        </w:tc>
        <w:tc>
          <w:tcPr>
            <w:tcW w:w="1026"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银河医药混合C</w:t>
            </w:r>
          </w:p>
        </w:tc>
        <w:tc>
          <w:tcPr>
            <w:tcW w:w="816"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否</w:t>
            </w:r>
          </w:p>
        </w:tc>
      </w:tr>
      <w:tr w:rsidR="008A6E9C" w:rsidRPr="008A6E9C" w:rsidTr="00D738DC">
        <w:trPr>
          <w:trHeight w:val="153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12</w:t>
            </w:r>
          </w:p>
        </w:tc>
        <w:tc>
          <w:tcPr>
            <w:tcW w:w="855"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015667</w:t>
            </w:r>
          </w:p>
        </w:tc>
        <w:tc>
          <w:tcPr>
            <w:tcW w:w="1879"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银河文体娱乐主题灵活配置混合型证券投资基金C类份额</w:t>
            </w:r>
          </w:p>
        </w:tc>
        <w:tc>
          <w:tcPr>
            <w:tcW w:w="1026"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银河文体娱乐混合C</w:t>
            </w:r>
          </w:p>
        </w:tc>
        <w:tc>
          <w:tcPr>
            <w:tcW w:w="816"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是</w:t>
            </w:r>
          </w:p>
        </w:tc>
      </w:tr>
      <w:tr w:rsidR="008A6E9C" w:rsidRPr="008A6E9C" w:rsidTr="00D738DC">
        <w:trPr>
          <w:trHeight w:val="1275"/>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13</w:t>
            </w:r>
          </w:p>
        </w:tc>
        <w:tc>
          <w:tcPr>
            <w:tcW w:w="855"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015668</w:t>
            </w:r>
          </w:p>
        </w:tc>
        <w:tc>
          <w:tcPr>
            <w:tcW w:w="1879"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银河消费驱动混合型证券投资基金C类份额</w:t>
            </w:r>
          </w:p>
        </w:tc>
        <w:tc>
          <w:tcPr>
            <w:tcW w:w="1026"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银河消费混合C</w:t>
            </w:r>
          </w:p>
        </w:tc>
        <w:tc>
          <w:tcPr>
            <w:tcW w:w="816" w:type="pct"/>
            <w:tcBorders>
              <w:top w:val="nil"/>
              <w:left w:val="nil"/>
              <w:bottom w:val="single" w:sz="4" w:space="0" w:color="auto"/>
              <w:right w:val="single" w:sz="4" w:space="0" w:color="auto"/>
            </w:tcBorders>
            <w:shd w:val="clear" w:color="auto" w:fill="auto"/>
            <w:vAlign w:val="center"/>
            <w:hideMark/>
          </w:tcPr>
          <w:p w:rsidR="008A6E9C" w:rsidRPr="008A6E9C" w:rsidRDefault="00EB2D53" w:rsidP="008A6E9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否</w:t>
            </w:r>
          </w:p>
        </w:tc>
      </w:tr>
      <w:tr w:rsidR="008A6E9C" w:rsidRPr="008A6E9C" w:rsidTr="00D738DC">
        <w:trPr>
          <w:trHeight w:val="1275"/>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14</w:t>
            </w:r>
          </w:p>
        </w:tc>
        <w:tc>
          <w:tcPr>
            <w:tcW w:w="855" w:type="pct"/>
            <w:tcBorders>
              <w:top w:val="nil"/>
              <w:left w:val="nil"/>
              <w:bottom w:val="single" w:sz="4" w:space="0" w:color="auto"/>
              <w:right w:val="single" w:sz="4" w:space="0" w:color="auto"/>
            </w:tcBorders>
            <w:shd w:val="clear" w:color="auto" w:fill="auto"/>
            <w:noWrap/>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015669</w:t>
            </w:r>
          </w:p>
        </w:tc>
        <w:tc>
          <w:tcPr>
            <w:tcW w:w="1879"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银河蓝筹精选混合型证券投资基金C类份额</w:t>
            </w:r>
          </w:p>
        </w:tc>
        <w:tc>
          <w:tcPr>
            <w:tcW w:w="1026"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银河蓝筹混合C</w:t>
            </w:r>
          </w:p>
        </w:tc>
        <w:tc>
          <w:tcPr>
            <w:tcW w:w="816" w:type="pct"/>
            <w:tcBorders>
              <w:top w:val="nil"/>
              <w:left w:val="nil"/>
              <w:bottom w:val="single" w:sz="4" w:space="0" w:color="auto"/>
              <w:right w:val="single" w:sz="4" w:space="0" w:color="auto"/>
            </w:tcBorders>
            <w:shd w:val="clear" w:color="auto" w:fill="auto"/>
            <w:vAlign w:val="center"/>
            <w:hideMark/>
          </w:tcPr>
          <w:p w:rsidR="008A6E9C" w:rsidRPr="008A6E9C" w:rsidRDefault="00EB2D53" w:rsidP="008A6E9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否</w:t>
            </w:r>
          </w:p>
        </w:tc>
      </w:tr>
      <w:tr w:rsidR="008A6E9C" w:rsidRPr="008A6E9C" w:rsidTr="00D738DC">
        <w:trPr>
          <w:trHeight w:val="1275"/>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15</w:t>
            </w:r>
          </w:p>
        </w:tc>
        <w:tc>
          <w:tcPr>
            <w:tcW w:w="855" w:type="pct"/>
            <w:tcBorders>
              <w:top w:val="nil"/>
              <w:left w:val="nil"/>
              <w:bottom w:val="single" w:sz="4" w:space="0" w:color="auto"/>
              <w:right w:val="single" w:sz="4" w:space="0" w:color="auto"/>
            </w:tcBorders>
            <w:shd w:val="clear" w:color="auto" w:fill="auto"/>
            <w:noWrap/>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015670</w:t>
            </w:r>
          </w:p>
        </w:tc>
        <w:tc>
          <w:tcPr>
            <w:tcW w:w="1879"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银河行业优选混合型证券投资基金C类份额</w:t>
            </w:r>
          </w:p>
        </w:tc>
        <w:tc>
          <w:tcPr>
            <w:tcW w:w="1026"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银河行业混合C</w:t>
            </w:r>
          </w:p>
        </w:tc>
        <w:tc>
          <w:tcPr>
            <w:tcW w:w="816" w:type="pct"/>
            <w:tcBorders>
              <w:top w:val="nil"/>
              <w:left w:val="nil"/>
              <w:bottom w:val="single" w:sz="4" w:space="0" w:color="auto"/>
              <w:right w:val="single" w:sz="4" w:space="0" w:color="auto"/>
            </w:tcBorders>
            <w:shd w:val="clear" w:color="auto" w:fill="auto"/>
            <w:vAlign w:val="center"/>
            <w:hideMark/>
          </w:tcPr>
          <w:p w:rsidR="008A6E9C" w:rsidRPr="008A6E9C" w:rsidRDefault="00EB2D53" w:rsidP="008A6E9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否</w:t>
            </w:r>
          </w:p>
        </w:tc>
      </w:tr>
      <w:tr w:rsidR="008A6E9C" w:rsidRPr="008A6E9C" w:rsidTr="00D738DC">
        <w:trPr>
          <w:trHeight w:val="102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16</w:t>
            </w:r>
          </w:p>
        </w:tc>
        <w:tc>
          <w:tcPr>
            <w:tcW w:w="855"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016018</w:t>
            </w:r>
          </w:p>
        </w:tc>
        <w:tc>
          <w:tcPr>
            <w:tcW w:w="1879"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银河康乐股票型证券投资基金C类份额</w:t>
            </w:r>
          </w:p>
        </w:tc>
        <w:tc>
          <w:tcPr>
            <w:tcW w:w="1026"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银河康乐股票C</w:t>
            </w:r>
          </w:p>
        </w:tc>
        <w:tc>
          <w:tcPr>
            <w:tcW w:w="816" w:type="pct"/>
            <w:tcBorders>
              <w:top w:val="nil"/>
              <w:left w:val="nil"/>
              <w:bottom w:val="single" w:sz="4" w:space="0" w:color="auto"/>
              <w:right w:val="single" w:sz="4" w:space="0" w:color="auto"/>
            </w:tcBorders>
            <w:shd w:val="clear" w:color="auto" w:fill="auto"/>
            <w:vAlign w:val="center"/>
            <w:hideMark/>
          </w:tcPr>
          <w:p w:rsidR="008A6E9C" w:rsidRPr="008A6E9C" w:rsidRDefault="00EB2D53" w:rsidP="008A6E9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否</w:t>
            </w:r>
          </w:p>
        </w:tc>
      </w:tr>
      <w:tr w:rsidR="008A6E9C" w:rsidRPr="008A6E9C" w:rsidTr="00D738DC">
        <w:trPr>
          <w:trHeight w:val="153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17</w:t>
            </w:r>
          </w:p>
        </w:tc>
        <w:tc>
          <w:tcPr>
            <w:tcW w:w="855"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018525</w:t>
            </w:r>
          </w:p>
        </w:tc>
        <w:tc>
          <w:tcPr>
            <w:tcW w:w="1879"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银河招益6个月持有期混合型证券投资基金A类份额</w:t>
            </w:r>
          </w:p>
        </w:tc>
        <w:tc>
          <w:tcPr>
            <w:tcW w:w="1026"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银河招益6个月持有混合A</w:t>
            </w:r>
          </w:p>
        </w:tc>
        <w:tc>
          <w:tcPr>
            <w:tcW w:w="816"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是</w:t>
            </w:r>
          </w:p>
        </w:tc>
      </w:tr>
      <w:tr w:rsidR="008A6E9C" w:rsidRPr="008A6E9C" w:rsidTr="00D738DC">
        <w:trPr>
          <w:trHeight w:val="153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18</w:t>
            </w:r>
          </w:p>
        </w:tc>
        <w:tc>
          <w:tcPr>
            <w:tcW w:w="855"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018526</w:t>
            </w:r>
          </w:p>
        </w:tc>
        <w:tc>
          <w:tcPr>
            <w:tcW w:w="1879"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银河招益6个月持有期混合型证券投资基金C类份额</w:t>
            </w:r>
          </w:p>
        </w:tc>
        <w:tc>
          <w:tcPr>
            <w:tcW w:w="1026"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银河招益6个月持有混合</w:t>
            </w:r>
          </w:p>
        </w:tc>
        <w:tc>
          <w:tcPr>
            <w:tcW w:w="816"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是</w:t>
            </w:r>
          </w:p>
        </w:tc>
      </w:tr>
      <w:tr w:rsidR="008A6E9C" w:rsidRPr="008A6E9C" w:rsidTr="00D738DC">
        <w:trPr>
          <w:trHeight w:val="153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lastRenderedPageBreak/>
              <w:t>19</w:t>
            </w:r>
          </w:p>
        </w:tc>
        <w:tc>
          <w:tcPr>
            <w:tcW w:w="855"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020252</w:t>
            </w:r>
          </w:p>
        </w:tc>
        <w:tc>
          <w:tcPr>
            <w:tcW w:w="1879"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银河中债0-3年政策性金融债指数证券投资基金A类份额</w:t>
            </w:r>
          </w:p>
        </w:tc>
        <w:tc>
          <w:tcPr>
            <w:tcW w:w="1026"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银河中债0-3年政金债指数A</w:t>
            </w:r>
          </w:p>
        </w:tc>
        <w:tc>
          <w:tcPr>
            <w:tcW w:w="816"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是</w:t>
            </w:r>
          </w:p>
        </w:tc>
      </w:tr>
      <w:tr w:rsidR="008A6E9C" w:rsidRPr="008A6E9C" w:rsidTr="00D738DC">
        <w:trPr>
          <w:trHeight w:val="153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20</w:t>
            </w:r>
          </w:p>
        </w:tc>
        <w:tc>
          <w:tcPr>
            <w:tcW w:w="855"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020253</w:t>
            </w:r>
          </w:p>
        </w:tc>
        <w:tc>
          <w:tcPr>
            <w:tcW w:w="1879"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银河中债0-3年政策性金融债指数证券投资基金C类份额</w:t>
            </w:r>
          </w:p>
        </w:tc>
        <w:tc>
          <w:tcPr>
            <w:tcW w:w="1026"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银河中债0-3年政金债指数C</w:t>
            </w:r>
          </w:p>
        </w:tc>
        <w:tc>
          <w:tcPr>
            <w:tcW w:w="816"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是</w:t>
            </w:r>
          </w:p>
        </w:tc>
      </w:tr>
      <w:tr w:rsidR="008A6E9C" w:rsidRPr="008A6E9C" w:rsidTr="00D738DC">
        <w:trPr>
          <w:trHeight w:val="1275"/>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21</w:t>
            </w:r>
          </w:p>
        </w:tc>
        <w:tc>
          <w:tcPr>
            <w:tcW w:w="855"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006128</w:t>
            </w:r>
          </w:p>
        </w:tc>
        <w:tc>
          <w:tcPr>
            <w:tcW w:w="1879"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银河和美生活主题混合型证券投资基金A类份额</w:t>
            </w:r>
          </w:p>
        </w:tc>
        <w:tc>
          <w:tcPr>
            <w:tcW w:w="1026"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银河和美生活混合A</w:t>
            </w:r>
          </w:p>
        </w:tc>
        <w:tc>
          <w:tcPr>
            <w:tcW w:w="816" w:type="pct"/>
            <w:tcBorders>
              <w:top w:val="nil"/>
              <w:left w:val="nil"/>
              <w:bottom w:val="single" w:sz="4" w:space="0" w:color="auto"/>
              <w:right w:val="single" w:sz="4" w:space="0" w:color="auto"/>
            </w:tcBorders>
            <w:shd w:val="clear" w:color="auto" w:fill="auto"/>
            <w:vAlign w:val="center"/>
            <w:hideMark/>
          </w:tcPr>
          <w:p w:rsidR="008A6E9C" w:rsidRPr="008A6E9C" w:rsidRDefault="008A6E9C" w:rsidP="008A6E9C">
            <w:pPr>
              <w:widowControl/>
              <w:jc w:val="center"/>
              <w:rPr>
                <w:rFonts w:ascii="宋体" w:eastAsia="宋体" w:hAnsi="宋体" w:cs="宋体"/>
                <w:color w:val="000000"/>
                <w:kern w:val="0"/>
                <w:szCs w:val="21"/>
              </w:rPr>
            </w:pPr>
            <w:r w:rsidRPr="008A6E9C">
              <w:rPr>
                <w:rFonts w:ascii="宋体" w:eastAsia="宋体" w:hAnsi="宋体" w:cs="宋体" w:hint="eastAsia"/>
                <w:color w:val="000000"/>
                <w:kern w:val="0"/>
                <w:szCs w:val="21"/>
              </w:rPr>
              <w:t>是</w:t>
            </w:r>
          </w:p>
        </w:tc>
      </w:tr>
    </w:tbl>
    <w:p w:rsidR="00B215DC" w:rsidRPr="003834D2" w:rsidRDefault="00B215DC" w:rsidP="00CB4ACD">
      <w:pPr>
        <w:widowControl/>
        <w:spacing w:line="288" w:lineRule="auto"/>
        <w:ind w:firstLine="374"/>
        <w:rPr>
          <w:rFonts w:ascii="宋体" w:eastAsia="宋体" w:hAnsi="宋体" w:cs="Tahoma"/>
          <w:color w:val="000000"/>
          <w:kern w:val="0"/>
          <w:szCs w:val="21"/>
        </w:rPr>
      </w:pPr>
    </w:p>
    <w:p w:rsidR="00446AE6" w:rsidRPr="002B36C4" w:rsidRDefault="00446AE6" w:rsidP="00446AE6">
      <w:pPr>
        <w:widowControl/>
        <w:spacing w:line="360" w:lineRule="auto"/>
        <w:ind w:firstLine="372"/>
        <w:jc w:val="left"/>
        <w:rPr>
          <w:rFonts w:ascii="宋体" w:eastAsia="宋体" w:hAnsi="宋体" w:cs="Tahoma"/>
          <w:b/>
          <w:color w:val="000000"/>
          <w:kern w:val="0"/>
          <w:szCs w:val="21"/>
        </w:rPr>
      </w:pPr>
      <w:r>
        <w:rPr>
          <w:rFonts w:ascii="宋体" w:eastAsia="宋体" w:hAnsi="宋体" w:cs="Tahoma" w:hint="eastAsia"/>
          <w:b/>
          <w:color w:val="000000"/>
          <w:kern w:val="0"/>
          <w:szCs w:val="21"/>
        </w:rPr>
        <w:t>二、投</w:t>
      </w:r>
      <w:r w:rsidRPr="002B36C4">
        <w:rPr>
          <w:rFonts w:ascii="宋体" w:eastAsia="宋体" w:hAnsi="宋体" w:cs="Tahoma" w:hint="eastAsia"/>
          <w:b/>
          <w:color w:val="000000"/>
          <w:kern w:val="0"/>
          <w:szCs w:val="21"/>
        </w:rPr>
        <w:t>资者可通过以下途径咨询有关详情</w:t>
      </w:r>
    </w:p>
    <w:p w:rsidR="00F52A67" w:rsidRPr="00BE7A4F" w:rsidRDefault="00825828" w:rsidP="00CB4ACD">
      <w:pPr>
        <w:widowControl/>
        <w:spacing w:line="288" w:lineRule="auto"/>
        <w:ind w:firstLineChars="177" w:firstLine="372"/>
        <w:jc w:val="left"/>
        <w:rPr>
          <w:rFonts w:asciiTheme="minorEastAsia" w:hAnsiTheme="minorEastAsia" w:cs="宋体"/>
          <w:color w:val="000000"/>
          <w:kern w:val="0"/>
          <w:szCs w:val="21"/>
        </w:rPr>
      </w:pPr>
      <w:r w:rsidRPr="00BE7A4F">
        <w:rPr>
          <w:rFonts w:asciiTheme="minorEastAsia" w:hAnsiTheme="minorEastAsia" w:cs="Tahoma" w:hint="eastAsia"/>
          <w:color w:val="000000"/>
          <w:kern w:val="0"/>
          <w:szCs w:val="21"/>
        </w:rPr>
        <w:t>1、</w:t>
      </w:r>
      <w:r w:rsidR="00F52A67" w:rsidRPr="00BE7A4F">
        <w:rPr>
          <w:rFonts w:asciiTheme="minorEastAsia" w:hAnsiTheme="minorEastAsia" w:cs="宋体" w:hint="eastAsia"/>
          <w:color w:val="000000"/>
          <w:kern w:val="0"/>
          <w:szCs w:val="21"/>
        </w:rPr>
        <w:t>银河基金管理有限公司</w:t>
      </w:r>
    </w:p>
    <w:p w:rsidR="00F52A67" w:rsidRPr="00BE7A4F" w:rsidRDefault="00F52A67" w:rsidP="00CB4ACD">
      <w:pPr>
        <w:spacing w:line="288" w:lineRule="auto"/>
        <w:ind w:firstLineChars="177" w:firstLine="372"/>
        <w:rPr>
          <w:rFonts w:asciiTheme="minorEastAsia" w:hAnsiTheme="minorEastAsia" w:cs="宋体"/>
          <w:color w:val="000000"/>
          <w:kern w:val="0"/>
          <w:szCs w:val="21"/>
        </w:rPr>
      </w:pPr>
      <w:r w:rsidRPr="00BE7A4F">
        <w:rPr>
          <w:rFonts w:asciiTheme="minorEastAsia" w:hAnsiTheme="minorEastAsia" w:cs="宋体" w:hint="eastAsia"/>
          <w:color w:val="000000"/>
          <w:kern w:val="0"/>
          <w:szCs w:val="21"/>
        </w:rPr>
        <w:t>客户服务电话：400-820-0860</w:t>
      </w:r>
    </w:p>
    <w:p w:rsidR="008B3C5E" w:rsidRDefault="00F52A67" w:rsidP="00CB4ACD">
      <w:pPr>
        <w:spacing w:line="288" w:lineRule="auto"/>
        <w:ind w:firstLineChars="177" w:firstLine="372"/>
        <w:rPr>
          <w:rFonts w:asciiTheme="minorEastAsia" w:hAnsiTheme="minorEastAsia" w:cs="宋体"/>
          <w:color w:val="000000"/>
          <w:kern w:val="0"/>
          <w:szCs w:val="21"/>
        </w:rPr>
      </w:pPr>
      <w:r w:rsidRPr="00BE7A4F">
        <w:rPr>
          <w:rFonts w:asciiTheme="minorEastAsia" w:hAnsiTheme="minorEastAsia" w:cs="宋体" w:hint="eastAsia"/>
          <w:color w:val="000000"/>
          <w:kern w:val="0"/>
          <w:szCs w:val="21"/>
        </w:rPr>
        <w:t>网址：</w:t>
      </w:r>
      <w:r w:rsidR="00BA0AAE" w:rsidRPr="00BA0AAE">
        <w:rPr>
          <w:rFonts w:asciiTheme="minorEastAsia" w:hAnsiTheme="minorEastAsia" w:cs="宋体" w:hint="eastAsia"/>
          <w:color w:val="000000"/>
          <w:kern w:val="0"/>
          <w:szCs w:val="21"/>
        </w:rPr>
        <w:t>www.c</w:t>
      </w:r>
      <w:r w:rsidR="00BA0AAE" w:rsidRPr="00BA0AAE">
        <w:rPr>
          <w:rFonts w:asciiTheme="minorEastAsia" w:hAnsiTheme="minorEastAsia" w:cs="宋体"/>
          <w:color w:val="000000"/>
          <w:kern w:val="0"/>
          <w:szCs w:val="21"/>
        </w:rPr>
        <w:t>gf.cn</w:t>
      </w:r>
    </w:p>
    <w:p w:rsidR="00C93073" w:rsidRPr="00BA0AAE" w:rsidRDefault="00C93073" w:rsidP="00BA0AAE">
      <w:pPr>
        <w:widowControl/>
        <w:spacing w:line="288" w:lineRule="auto"/>
        <w:ind w:firstLineChars="177" w:firstLine="372"/>
        <w:jc w:val="left"/>
        <w:rPr>
          <w:rFonts w:asciiTheme="minorEastAsia" w:hAnsiTheme="minorEastAsia" w:cs="Tahoma"/>
          <w:color w:val="000000"/>
          <w:kern w:val="0"/>
          <w:szCs w:val="21"/>
        </w:rPr>
      </w:pPr>
      <w:r w:rsidRPr="00BA0AAE">
        <w:rPr>
          <w:rFonts w:asciiTheme="minorEastAsia" w:hAnsiTheme="minorEastAsia" w:cs="Tahoma"/>
          <w:color w:val="000000"/>
          <w:kern w:val="0"/>
          <w:szCs w:val="21"/>
        </w:rPr>
        <w:t>2</w:t>
      </w:r>
      <w:r w:rsidRPr="00BA0AAE">
        <w:rPr>
          <w:rFonts w:asciiTheme="minorEastAsia" w:hAnsiTheme="minorEastAsia" w:cs="Tahoma" w:hint="eastAsia"/>
          <w:color w:val="000000"/>
          <w:kern w:val="0"/>
          <w:szCs w:val="21"/>
        </w:rPr>
        <w:t>、中信证券股份有限公司</w:t>
      </w:r>
    </w:p>
    <w:p w:rsidR="00360932" w:rsidRPr="00BA0AAE" w:rsidRDefault="00360932" w:rsidP="00BA0AAE">
      <w:pPr>
        <w:widowControl/>
        <w:spacing w:line="288" w:lineRule="auto"/>
        <w:ind w:firstLineChars="177" w:firstLine="372"/>
        <w:jc w:val="left"/>
        <w:rPr>
          <w:rFonts w:asciiTheme="minorEastAsia" w:hAnsiTheme="minorEastAsia" w:cs="Tahoma"/>
          <w:color w:val="000000"/>
          <w:kern w:val="0"/>
          <w:szCs w:val="21"/>
        </w:rPr>
      </w:pPr>
      <w:r w:rsidRPr="00BA0AAE">
        <w:rPr>
          <w:rFonts w:asciiTheme="minorEastAsia" w:hAnsiTheme="minorEastAsia" w:cs="Tahoma" w:hint="eastAsia"/>
          <w:color w:val="000000"/>
          <w:kern w:val="0"/>
          <w:szCs w:val="21"/>
        </w:rPr>
        <w:t>客户服务电话：</w:t>
      </w:r>
      <w:r w:rsidRPr="00BA0AAE">
        <w:rPr>
          <w:rFonts w:asciiTheme="minorEastAsia" w:hAnsiTheme="minorEastAsia" w:cs="Tahoma"/>
          <w:color w:val="000000"/>
          <w:kern w:val="0"/>
          <w:szCs w:val="21"/>
        </w:rPr>
        <w:t>95548</w:t>
      </w:r>
    </w:p>
    <w:p w:rsidR="00C93073" w:rsidRPr="00BA0AAE" w:rsidRDefault="00360932" w:rsidP="00BA0AAE">
      <w:pPr>
        <w:widowControl/>
        <w:spacing w:line="288" w:lineRule="auto"/>
        <w:ind w:firstLineChars="177" w:firstLine="372"/>
        <w:jc w:val="left"/>
        <w:rPr>
          <w:rFonts w:asciiTheme="minorEastAsia" w:hAnsiTheme="minorEastAsia" w:cs="Tahoma"/>
          <w:color w:val="000000"/>
          <w:kern w:val="0"/>
          <w:szCs w:val="21"/>
        </w:rPr>
      </w:pPr>
      <w:r w:rsidRPr="00BA0AAE">
        <w:rPr>
          <w:rFonts w:asciiTheme="minorEastAsia" w:hAnsiTheme="minorEastAsia" w:cs="Tahoma" w:hint="eastAsia"/>
          <w:color w:val="000000"/>
          <w:kern w:val="0"/>
          <w:szCs w:val="21"/>
        </w:rPr>
        <w:t>网址：</w:t>
      </w:r>
      <w:r w:rsidR="00C93073" w:rsidRPr="00BA0AAE">
        <w:rPr>
          <w:rFonts w:asciiTheme="minorEastAsia" w:hAnsiTheme="minorEastAsia" w:cs="Tahoma"/>
          <w:color w:val="000000"/>
          <w:kern w:val="0"/>
          <w:szCs w:val="21"/>
        </w:rPr>
        <w:t>www.citics.com</w:t>
      </w:r>
    </w:p>
    <w:p w:rsidR="00C93073" w:rsidRPr="00BA0AAE" w:rsidRDefault="00360932" w:rsidP="00BA0AAE">
      <w:pPr>
        <w:widowControl/>
        <w:spacing w:line="288" w:lineRule="auto"/>
        <w:ind w:firstLineChars="177" w:firstLine="372"/>
        <w:jc w:val="left"/>
        <w:rPr>
          <w:rFonts w:asciiTheme="minorEastAsia" w:hAnsiTheme="minorEastAsia" w:cs="Tahoma"/>
          <w:color w:val="000000"/>
          <w:kern w:val="0"/>
          <w:szCs w:val="21"/>
        </w:rPr>
      </w:pPr>
      <w:r w:rsidRPr="00BA0AAE">
        <w:rPr>
          <w:rFonts w:asciiTheme="minorEastAsia" w:hAnsiTheme="minorEastAsia" w:cs="Tahoma"/>
          <w:color w:val="000000"/>
          <w:kern w:val="0"/>
          <w:szCs w:val="21"/>
        </w:rPr>
        <w:t>3</w:t>
      </w:r>
      <w:r w:rsidR="00C93073" w:rsidRPr="00BA0AAE">
        <w:rPr>
          <w:rFonts w:asciiTheme="minorEastAsia" w:hAnsiTheme="minorEastAsia" w:cs="Tahoma" w:hint="eastAsia"/>
          <w:color w:val="000000"/>
          <w:kern w:val="0"/>
          <w:szCs w:val="21"/>
        </w:rPr>
        <w:t>、中信证券华南股份有限公司</w:t>
      </w:r>
    </w:p>
    <w:p w:rsidR="00C93073" w:rsidRPr="00BA0AAE" w:rsidRDefault="00C93073" w:rsidP="00BA0AAE">
      <w:pPr>
        <w:widowControl/>
        <w:spacing w:line="288" w:lineRule="auto"/>
        <w:ind w:firstLineChars="177" w:firstLine="372"/>
        <w:jc w:val="left"/>
        <w:rPr>
          <w:rFonts w:asciiTheme="minorEastAsia" w:hAnsiTheme="minorEastAsia" w:cs="Tahoma"/>
          <w:color w:val="000000"/>
          <w:kern w:val="0"/>
          <w:szCs w:val="21"/>
        </w:rPr>
      </w:pPr>
      <w:r w:rsidRPr="00BA0AAE">
        <w:rPr>
          <w:rFonts w:asciiTheme="minorEastAsia" w:hAnsiTheme="minorEastAsia" w:cs="Tahoma" w:hint="eastAsia"/>
          <w:color w:val="000000"/>
          <w:kern w:val="0"/>
          <w:szCs w:val="21"/>
        </w:rPr>
        <w:t>客户服务电话：</w:t>
      </w:r>
      <w:r w:rsidRPr="00BA0AAE">
        <w:rPr>
          <w:rFonts w:asciiTheme="minorEastAsia" w:hAnsiTheme="minorEastAsia" w:cs="Tahoma"/>
          <w:color w:val="000000"/>
          <w:kern w:val="0"/>
          <w:szCs w:val="21"/>
        </w:rPr>
        <w:t>95548</w:t>
      </w:r>
    </w:p>
    <w:p w:rsidR="00C93073" w:rsidRPr="00BA0AAE" w:rsidRDefault="00C93073" w:rsidP="00BA0AAE">
      <w:pPr>
        <w:widowControl/>
        <w:spacing w:line="288" w:lineRule="auto"/>
        <w:ind w:firstLineChars="177" w:firstLine="372"/>
        <w:jc w:val="left"/>
        <w:rPr>
          <w:rFonts w:asciiTheme="minorEastAsia" w:hAnsiTheme="minorEastAsia" w:cs="Tahoma"/>
          <w:color w:val="000000"/>
          <w:kern w:val="0"/>
          <w:szCs w:val="21"/>
        </w:rPr>
      </w:pPr>
      <w:r w:rsidRPr="00BA0AAE">
        <w:rPr>
          <w:rFonts w:asciiTheme="minorEastAsia" w:hAnsiTheme="minorEastAsia" w:cs="Tahoma" w:hint="eastAsia"/>
          <w:color w:val="000000"/>
          <w:kern w:val="0"/>
          <w:szCs w:val="21"/>
        </w:rPr>
        <w:t>网址：www.gzs.com.cn</w:t>
      </w:r>
    </w:p>
    <w:p w:rsidR="00C93073" w:rsidRPr="00BA0AAE" w:rsidRDefault="00360932" w:rsidP="00BA0AAE">
      <w:pPr>
        <w:widowControl/>
        <w:spacing w:line="288" w:lineRule="auto"/>
        <w:ind w:firstLineChars="177" w:firstLine="372"/>
        <w:jc w:val="left"/>
        <w:rPr>
          <w:rFonts w:asciiTheme="minorEastAsia" w:hAnsiTheme="minorEastAsia" w:cs="Tahoma"/>
          <w:color w:val="000000"/>
          <w:kern w:val="0"/>
          <w:szCs w:val="21"/>
        </w:rPr>
      </w:pPr>
      <w:r w:rsidRPr="00BA0AAE">
        <w:rPr>
          <w:rFonts w:asciiTheme="minorEastAsia" w:hAnsiTheme="minorEastAsia" w:cs="Tahoma"/>
          <w:color w:val="000000"/>
          <w:kern w:val="0"/>
          <w:szCs w:val="21"/>
        </w:rPr>
        <w:t>4</w:t>
      </w:r>
      <w:r w:rsidR="00C93073" w:rsidRPr="00BA0AAE">
        <w:rPr>
          <w:rFonts w:asciiTheme="minorEastAsia" w:hAnsiTheme="minorEastAsia" w:cs="Tahoma" w:hint="eastAsia"/>
          <w:color w:val="000000"/>
          <w:kern w:val="0"/>
          <w:szCs w:val="21"/>
        </w:rPr>
        <w:t>、中信证券（山东）有限责任公司</w:t>
      </w:r>
    </w:p>
    <w:p w:rsidR="00C93073" w:rsidRPr="00BA0AAE" w:rsidRDefault="00C93073" w:rsidP="00BA0AAE">
      <w:pPr>
        <w:widowControl/>
        <w:spacing w:line="288" w:lineRule="auto"/>
        <w:ind w:firstLineChars="177" w:firstLine="372"/>
        <w:jc w:val="left"/>
        <w:rPr>
          <w:rFonts w:asciiTheme="minorEastAsia" w:hAnsiTheme="minorEastAsia" w:cs="Tahoma"/>
          <w:color w:val="000000"/>
          <w:kern w:val="0"/>
          <w:szCs w:val="21"/>
        </w:rPr>
      </w:pPr>
      <w:r w:rsidRPr="00BA0AAE">
        <w:rPr>
          <w:rFonts w:asciiTheme="minorEastAsia" w:hAnsiTheme="minorEastAsia" w:cs="Tahoma" w:hint="eastAsia"/>
          <w:color w:val="000000"/>
          <w:kern w:val="0"/>
          <w:szCs w:val="21"/>
        </w:rPr>
        <w:t>客户服务电话：</w:t>
      </w:r>
      <w:r w:rsidRPr="00BA0AAE">
        <w:rPr>
          <w:rFonts w:asciiTheme="minorEastAsia" w:hAnsiTheme="minorEastAsia" w:cs="Tahoma"/>
          <w:color w:val="000000"/>
          <w:kern w:val="0"/>
          <w:szCs w:val="21"/>
        </w:rPr>
        <w:t>95548</w:t>
      </w:r>
    </w:p>
    <w:p w:rsidR="00360932" w:rsidRPr="00BA0AAE" w:rsidRDefault="00C93073" w:rsidP="00BA0AAE">
      <w:pPr>
        <w:widowControl/>
        <w:spacing w:line="288" w:lineRule="auto"/>
        <w:ind w:firstLineChars="177" w:firstLine="372"/>
        <w:jc w:val="left"/>
        <w:rPr>
          <w:rFonts w:asciiTheme="minorEastAsia" w:hAnsiTheme="minorEastAsia" w:cs="Tahoma"/>
          <w:color w:val="000000"/>
          <w:kern w:val="0"/>
          <w:szCs w:val="21"/>
        </w:rPr>
      </w:pPr>
      <w:r w:rsidRPr="00BA0AAE">
        <w:rPr>
          <w:rFonts w:asciiTheme="minorEastAsia" w:hAnsiTheme="minorEastAsia" w:cs="Tahoma" w:hint="eastAsia"/>
          <w:color w:val="000000"/>
          <w:kern w:val="0"/>
          <w:szCs w:val="21"/>
        </w:rPr>
        <w:t>网址：</w:t>
      </w:r>
      <w:r w:rsidRPr="00BA0AAE">
        <w:rPr>
          <w:rFonts w:asciiTheme="minorEastAsia" w:hAnsiTheme="minorEastAsia" w:cs="Tahoma"/>
          <w:color w:val="000000"/>
          <w:kern w:val="0"/>
          <w:szCs w:val="21"/>
        </w:rPr>
        <w:t>sd.citics.com</w:t>
      </w:r>
    </w:p>
    <w:p w:rsidR="00360932" w:rsidRPr="00BA0AAE" w:rsidRDefault="00360932" w:rsidP="00BA0AAE">
      <w:pPr>
        <w:widowControl/>
        <w:spacing w:line="288" w:lineRule="auto"/>
        <w:ind w:firstLineChars="177" w:firstLine="372"/>
        <w:jc w:val="left"/>
        <w:rPr>
          <w:rFonts w:asciiTheme="minorEastAsia" w:hAnsiTheme="minorEastAsia" w:cs="Tahoma"/>
          <w:color w:val="000000"/>
          <w:kern w:val="0"/>
          <w:szCs w:val="21"/>
        </w:rPr>
      </w:pPr>
      <w:r w:rsidRPr="00BA0AAE">
        <w:rPr>
          <w:rFonts w:asciiTheme="minorEastAsia" w:hAnsiTheme="minorEastAsia" w:cs="Tahoma" w:hint="eastAsia"/>
          <w:color w:val="000000"/>
          <w:kern w:val="0"/>
          <w:szCs w:val="21"/>
        </w:rPr>
        <w:t>5、中信期货有限公司</w:t>
      </w:r>
    </w:p>
    <w:p w:rsidR="00DD326C" w:rsidRPr="00BA0AAE" w:rsidRDefault="00DD326C" w:rsidP="00BA0AAE">
      <w:pPr>
        <w:widowControl/>
        <w:spacing w:line="288" w:lineRule="auto"/>
        <w:ind w:firstLineChars="177" w:firstLine="372"/>
        <w:jc w:val="left"/>
        <w:rPr>
          <w:rFonts w:asciiTheme="minorEastAsia" w:hAnsiTheme="minorEastAsia" w:cs="Tahoma"/>
          <w:color w:val="000000"/>
          <w:kern w:val="0"/>
          <w:szCs w:val="21"/>
        </w:rPr>
      </w:pPr>
      <w:r w:rsidRPr="00BA0AAE">
        <w:rPr>
          <w:rFonts w:asciiTheme="minorEastAsia" w:hAnsiTheme="minorEastAsia" w:cs="Tahoma" w:hint="eastAsia"/>
          <w:color w:val="000000"/>
          <w:kern w:val="0"/>
          <w:szCs w:val="21"/>
        </w:rPr>
        <w:t>客户服务电话：400</w:t>
      </w:r>
      <w:r w:rsidRPr="00BA0AAE">
        <w:rPr>
          <w:rFonts w:asciiTheme="minorEastAsia" w:hAnsiTheme="minorEastAsia" w:cs="Tahoma"/>
          <w:color w:val="000000"/>
          <w:kern w:val="0"/>
          <w:szCs w:val="21"/>
        </w:rPr>
        <w:t>-</w:t>
      </w:r>
      <w:r w:rsidRPr="00BA0AAE">
        <w:rPr>
          <w:rFonts w:asciiTheme="minorEastAsia" w:hAnsiTheme="minorEastAsia" w:cs="Tahoma" w:hint="eastAsia"/>
          <w:color w:val="000000"/>
          <w:kern w:val="0"/>
          <w:szCs w:val="21"/>
        </w:rPr>
        <w:t>990</w:t>
      </w:r>
      <w:r w:rsidRPr="00BA0AAE">
        <w:rPr>
          <w:rFonts w:asciiTheme="minorEastAsia" w:hAnsiTheme="minorEastAsia" w:cs="Tahoma"/>
          <w:color w:val="000000"/>
          <w:kern w:val="0"/>
          <w:szCs w:val="21"/>
        </w:rPr>
        <w:t>-</w:t>
      </w:r>
      <w:r w:rsidRPr="00BA0AAE">
        <w:rPr>
          <w:rFonts w:asciiTheme="minorEastAsia" w:hAnsiTheme="minorEastAsia" w:cs="Tahoma" w:hint="eastAsia"/>
          <w:color w:val="000000"/>
          <w:kern w:val="0"/>
          <w:szCs w:val="21"/>
        </w:rPr>
        <w:t>8826</w:t>
      </w:r>
    </w:p>
    <w:p w:rsidR="00BA0AAE" w:rsidRPr="00BA0AAE" w:rsidRDefault="00DD326C" w:rsidP="00BA0AAE">
      <w:pPr>
        <w:widowControl/>
        <w:spacing w:line="288" w:lineRule="auto"/>
        <w:ind w:firstLineChars="177" w:firstLine="372"/>
        <w:jc w:val="left"/>
        <w:rPr>
          <w:rFonts w:asciiTheme="minorEastAsia" w:hAnsiTheme="minorEastAsia" w:cs="Tahoma"/>
          <w:color w:val="000000"/>
          <w:kern w:val="0"/>
          <w:szCs w:val="21"/>
        </w:rPr>
      </w:pPr>
      <w:r w:rsidRPr="00BA0AAE">
        <w:rPr>
          <w:rFonts w:asciiTheme="minorEastAsia" w:hAnsiTheme="minorEastAsia" w:cs="Tahoma" w:hint="eastAsia"/>
          <w:color w:val="000000"/>
          <w:kern w:val="0"/>
          <w:szCs w:val="21"/>
        </w:rPr>
        <w:t>网址：www.citicsf.com</w:t>
      </w:r>
      <w:r w:rsidRPr="00BA0AAE" w:rsidDel="00C93073">
        <w:rPr>
          <w:rFonts w:asciiTheme="minorEastAsia" w:hAnsiTheme="minorEastAsia" w:cs="Tahoma" w:hint="eastAsia"/>
          <w:color w:val="000000"/>
          <w:kern w:val="0"/>
          <w:szCs w:val="21"/>
        </w:rPr>
        <w:t xml:space="preserve"> </w:t>
      </w:r>
    </w:p>
    <w:p w:rsidR="00413B7B" w:rsidRDefault="00DD326C" w:rsidP="004F1B70">
      <w:pPr>
        <w:spacing w:line="288" w:lineRule="auto"/>
        <w:ind w:firstLineChars="177" w:firstLine="372"/>
        <w:rPr>
          <w:rFonts w:asciiTheme="minorEastAsia" w:hAnsiTheme="minorEastAsia" w:cs="Tahoma"/>
          <w:color w:val="000000"/>
          <w:kern w:val="0"/>
          <w:szCs w:val="21"/>
        </w:rPr>
      </w:pPr>
      <w:r w:rsidRPr="00DD326C">
        <w:rPr>
          <w:rFonts w:ascii="宋体" w:hAnsi="宋体" w:cs="宋体" w:hint="eastAsia"/>
          <w:kern w:val="0"/>
          <w:szCs w:val="21"/>
        </w:rPr>
        <w:t>上述销售机构</w:t>
      </w:r>
      <w:r w:rsidR="00811E4C" w:rsidRPr="00811E4C">
        <w:rPr>
          <w:rFonts w:asciiTheme="minorEastAsia" w:hAnsiTheme="minorEastAsia" w:cs="Tahoma" w:hint="eastAsia"/>
          <w:color w:val="000000"/>
          <w:kern w:val="0"/>
          <w:szCs w:val="21"/>
        </w:rPr>
        <w:t>保留对上述业务的最终解释权。</w:t>
      </w:r>
    </w:p>
    <w:p w:rsidR="00811E4C" w:rsidRPr="00811E4C" w:rsidRDefault="00811E4C" w:rsidP="004F1B70">
      <w:pPr>
        <w:spacing w:line="288" w:lineRule="auto"/>
        <w:ind w:firstLineChars="177" w:firstLine="372"/>
        <w:rPr>
          <w:rFonts w:asciiTheme="minorEastAsia" w:hAnsiTheme="minorEastAsia" w:cs="Tahoma"/>
          <w:color w:val="000000"/>
          <w:kern w:val="0"/>
          <w:szCs w:val="21"/>
        </w:rPr>
      </w:pPr>
    </w:p>
    <w:p w:rsidR="00811E4C" w:rsidRPr="00811E4C" w:rsidRDefault="0015254D" w:rsidP="00811E4C">
      <w:pPr>
        <w:widowControl/>
        <w:spacing w:line="288" w:lineRule="auto"/>
        <w:ind w:firstLine="372"/>
        <w:jc w:val="left"/>
        <w:rPr>
          <w:rFonts w:ascii="宋体" w:hAnsi="宋体" w:cs="宋体"/>
          <w:color w:val="000000"/>
          <w:kern w:val="0"/>
          <w:szCs w:val="21"/>
        </w:rPr>
      </w:pPr>
      <w:r w:rsidRPr="00960F3A">
        <w:rPr>
          <w:rFonts w:ascii="宋体" w:hAnsi="宋体" w:cs="宋体" w:hint="eastAsia"/>
          <w:b/>
          <w:color w:val="000000"/>
          <w:kern w:val="0"/>
          <w:szCs w:val="21"/>
        </w:rPr>
        <w:t>风险提示：</w:t>
      </w:r>
      <w:r w:rsidR="00811E4C" w:rsidRPr="00811E4C">
        <w:rPr>
          <w:rFonts w:ascii="宋体" w:hAnsi="宋体" w:cs="宋体" w:hint="eastAsia"/>
          <w:color w:val="000000"/>
          <w:kern w:val="0"/>
          <w:szCs w:val="21"/>
        </w:rPr>
        <w:t>基金管理人承诺以诚实信用、勤勉尽责的原则管理和运用基金财产，但不保证基金一定盈利，也不保证最低收益。投资者做出投资决策之前，请仔细阅读基金合同、基金招募说明书和基金产品资料概要等产品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基金管理人提醒投资者基金投资的“买者自负”原则，在做出投资决策后，基金运营状况与基金净值变化引致的投资风险，由投资者自行负担。基金管理人、基金托管人、基金销售机构及相关机构不对基金投资收益做出任何承诺或保证。</w:t>
      </w:r>
    </w:p>
    <w:p w:rsidR="00F65856" w:rsidRDefault="00811E4C" w:rsidP="00CB4ACD">
      <w:pPr>
        <w:widowControl/>
        <w:spacing w:line="288" w:lineRule="auto"/>
        <w:ind w:firstLine="420"/>
        <w:jc w:val="left"/>
        <w:rPr>
          <w:rFonts w:ascii="宋体" w:hAnsi="宋体" w:cs="宋体"/>
          <w:color w:val="000000"/>
          <w:kern w:val="0"/>
          <w:szCs w:val="21"/>
        </w:rPr>
      </w:pPr>
      <w:r w:rsidRPr="00811E4C">
        <w:rPr>
          <w:rFonts w:ascii="宋体" w:hAnsi="宋体" w:cs="宋体" w:hint="eastAsia"/>
          <w:color w:val="000000"/>
          <w:kern w:val="0"/>
          <w:szCs w:val="21"/>
        </w:rPr>
        <w:t>投资者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rsidR="00F65856" w:rsidRDefault="00F65856" w:rsidP="00CB4ACD">
      <w:pPr>
        <w:widowControl/>
        <w:spacing w:line="288" w:lineRule="auto"/>
        <w:ind w:firstLine="420"/>
        <w:jc w:val="left"/>
        <w:rPr>
          <w:rFonts w:ascii="宋体" w:hAnsi="宋体" w:cs="宋体"/>
          <w:color w:val="000000"/>
          <w:kern w:val="0"/>
          <w:szCs w:val="21"/>
        </w:rPr>
      </w:pPr>
    </w:p>
    <w:p w:rsidR="009F178D" w:rsidRPr="0046050D" w:rsidRDefault="009F178D" w:rsidP="00C5146C">
      <w:pPr>
        <w:spacing w:line="336" w:lineRule="auto"/>
        <w:ind w:firstLineChars="200" w:firstLine="420"/>
        <w:jc w:val="right"/>
        <w:rPr>
          <w:rFonts w:ascii="宋体" w:hAnsi="宋体" w:cs="宋体"/>
          <w:color w:val="000000"/>
          <w:kern w:val="0"/>
          <w:szCs w:val="21"/>
        </w:rPr>
      </w:pPr>
      <w:r w:rsidRPr="0046050D">
        <w:rPr>
          <w:rFonts w:ascii="宋体" w:hAnsi="宋体" w:cs="宋体" w:hint="eastAsia"/>
          <w:color w:val="000000"/>
          <w:kern w:val="0"/>
          <w:szCs w:val="21"/>
        </w:rPr>
        <w:t>银河基金管理有限公司</w:t>
      </w:r>
    </w:p>
    <w:p w:rsidR="002322F7" w:rsidRPr="005735BE" w:rsidRDefault="00446AE6" w:rsidP="00C5146C">
      <w:pPr>
        <w:spacing w:line="336" w:lineRule="auto"/>
        <w:ind w:firstLineChars="200" w:firstLine="420"/>
        <w:jc w:val="right"/>
        <w:rPr>
          <w:sz w:val="24"/>
          <w:szCs w:val="24"/>
        </w:rPr>
      </w:pPr>
      <w:r w:rsidRPr="00413B7B">
        <w:rPr>
          <w:rFonts w:ascii="宋体" w:hAnsi="宋体" w:cs="宋体" w:hint="eastAsia"/>
          <w:color w:val="000000"/>
          <w:kern w:val="0"/>
          <w:szCs w:val="21"/>
        </w:rPr>
        <w:t>202</w:t>
      </w:r>
      <w:r w:rsidRPr="00413B7B">
        <w:rPr>
          <w:rFonts w:ascii="宋体" w:hAnsi="宋体" w:cs="宋体"/>
          <w:color w:val="000000"/>
          <w:kern w:val="0"/>
          <w:szCs w:val="21"/>
        </w:rPr>
        <w:t>4</w:t>
      </w:r>
      <w:r w:rsidRPr="00413B7B">
        <w:rPr>
          <w:rFonts w:ascii="宋体" w:hAnsi="宋体" w:cs="宋体" w:hint="eastAsia"/>
          <w:color w:val="000000"/>
          <w:kern w:val="0"/>
          <w:szCs w:val="21"/>
        </w:rPr>
        <w:t>年</w:t>
      </w:r>
      <w:r>
        <w:rPr>
          <w:rFonts w:ascii="宋体" w:hAnsi="宋体" w:cs="宋体"/>
          <w:color w:val="000000"/>
          <w:kern w:val="0"/>
          <w:szCs w:val="21"/>
        </w:rPr>
        <w:t>6</w:t>
      </w:r>
      <w:r w:rsidR="0081715A" w:rsidRPr="00413B7B">
        <w:rPr>
          <w:rFonts w:ascii="宋体" w:hAnsi="宋体" w:cs="宋体" w:hint="eastAsia"/>
          <w:color w:val="000000"/>
          <w:kern w:val="0"/>
          <w:szCs w:val="21"/>
        </w:rPr>
        <w:t>月</w:t>
      </w:r>
      <w:r>
        <w:rPr>
          <w:rFonts w:ascii="宋体" w:hAnsi="宋体" w:cs="宋体"/>
          <w:color w:val="000000"/>
          <w:kern w:val="0"/>
          <w:szCs w:val="21"/>
        </w:rPr>
        <w:t>28</w:t>
      </w:r>
      <w:r w:rsidR="009F178D" w:rsidRPr="00413B7B">
        <w:rPr>
          <w:rFonts w:ascii="宋体" w:hAnsi="宋体" w:cs="宋体" w:hint="eastAsia"/>
          <w:color w:val="000000"/>
          <w:kern w:val="0"/>
          <w:szCs w:val="21"/>
        </w:rPr>
        <w:t>日</w:t>
      </w:r>
    </w:p>
    <w:sectPr w:rsidR="002322F7" w:rsidRPr="005735BE" w:rsidSect="009C4E36">
      <w:pgSz w:w="11906" w:h="16838"/>
      <w:pgMar w:top="1418" w:right="1800" w:bottom="127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19C" w:rsidRDefault="00A5619C" w:rsidP="00D262DE">
      <w:r>
        <w:separator/>
      </w:r>
    </w:p>
  </w:endnote>
  <w:endnote w:type="continuationSeparator" w:id="0">
    <w:p w:rsidR="00A5619C" w:rsidRDefault="00A5619C" w:rsidP="00D262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19C" w:rsidRDefault="00A5619C" w:rsidP="00D262DE">
      <w:r>
        <w:separator/>
      </w:r>
    </w:p>
  </w:footnote>
  <w:footnote w:type="continuationSeparator" w:id="0">
    <w:p w:rsidR="00A5619C" w:rsidRDefault="00A5619C" w:rsidP="00D262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5BE8"/>
    <w:rsid w:val="00002961"/>
    <w:rsid w:val="00027E15"/>
    <w:rsid w:val="000553A1"/>
    <w:rsid w:val="0007554C"/>
    <w:rsid w:val="00077FFC"/>
    <w:rsid w:val="00081C8E"/>
    <w:rsid w:val="0008279C"/>
    <w:rsid w:val="00085C9F"/>
    <w:rsid w:val="000C5669"/>
    <w:rsid w:val="000D5CF9"/>
    <w:rsid w:val="000F16E6"/>
    <w:rsid w:val="000F1CD2"/>
    <w:rsid w:val="000F5AD6"/>
    <w:rsid w:val="0010360A"/>
    <w:rsid w:val="00130C83"/>
    <w:rsid w:val="00135BE8"/>
    <w:rsid w:val="0015254D"/>
    <w:rsid w:val="0016380C"/>
    <w:rsid w:val="001B37B1"/>
    <w:rsid w:val="001B5C3F"/>
    <w:rsid w:val="001C0E78"/>
    <w:rsid w:val="001D428B"/>
    <w:rsid w:val="001E264A"/>
    <w:rsid w:val="001F6817"/>
    <w:rsid w:val="00205CD5"/>
    <w:rsid w:val="002139A8"/>
    <w:rsid w:val="0021406F"/>
    <w:rsid w:val="00230295"/>
    <w:rsid w:val="002322F7"/>
    <w:rsid w:val="002465B7"/>
    <w:rsid w:val="00257BAE"/>
    <w:rsid w:val="00263AF2"/>
    <w:rsid w:val="00284B60"/>
    <w:rsid w:val="002A0CD4"/>
    <w:rsid w:val="002C2994"/>
    <w:rsid w:val="002D273D"/>
    <w:rsid w:val="002D57DE"/>
    <w:rsid w:val="00360932"/>
    <w:rsid w:val="00363B6B"/>
    <w:rsid w:val="003834D2"/>
    <w:rsid w:val="003943C4"/>
    <w:rsid w:val="003A3613"/>
    <w:rsid w:val="003B2685"/>
    <w:rsid w:val="003E2F7A"/>
    <w:rsid w:val="003E3076"/>
    <w:rsid w:val="003E34CA"/>
    <w:rsid w:val="003E606C"/>
    <w:rsid w:val="0040116D"/>
    <w:rsid w:val="00413B7B"/>
    <w:rsid w:val="00422ACC"/>
    <w:rsid w:val="00424A90"/>
    <w:rsid w:val="00446AE6"/>
    <w:rsid w:val="004509A2"/>
    <w:rsid w:val="0046050D"/>
    <w:rsid w:val="00471590"/>
    <w:rsid w:val="004838B6"/>
    <w:rsid w:val="00491C3A"/>
    <w:rsid w:val="004B77F3"/>
    <w:rsid w:val="004C28F4"/>
    <w:rsid w:val="004D45CD"/>
    <w:rsid w:val="004F1B70"/>
    <w:rsid w:val="00513AC2"/>
    <w:rsid w:val="005405FE"/>
    <w:rsid w:val="005407EE"/>
    <w:rsid w:val="0054680D"/>
    <w:rsid w:val="00550C52"/>
    <w:rsid w:val="00552401"/>
    <w:rsid w:val="0056039E"/>
    <w:rsid w:val="0056065A"/>
    <w:rsid w:val="00564BB1"/>
    <w:rsid w:val="005735BE"/>
    <w:rsid w:val="0057361B"/>
    <w:rsid w:val="005A493A"/>
    <w:rsid w:val="005C7AE1"/>
    <w:rsid w:val="005E1C03"/>
    <w:rsid w:val="00613267"/>
    <w:rsid w:val="0062094D"/>
    <w:rsid w:val="0066343E"/>
    <w:rsid w:val="006652F7"/>
    <w:rsid w:val="006B0A9E"/>
    <w:rsid w:val="006B4D61"/>
    <w:rsid w:val="006C50C3"/>
    <w:rsid w:val="006D57D8"/>
    <w:rsid w:val="006E7FF5"/>
    <w:rsid w:val="006F4F05"/>
    <w:rsid w:val="00731D81"/>
    <w:rsid w:val="00761759"/>
    <w:rsid w:val="0076556C"/>
    <w:rsid w:val="00780396"/>
    <w:rsid w:val="0078094D"/>
    <w:rsid w:val="00792172"/>
    <w:rsid w:val="00792279"/>
    <w:rsid w:val="007A1D3B"/>
    <w:rsid w:val="007A4039"/>
    <w:rsid w:val="007D07CC"/>
    <w:rsid w:val="007D2CDE"/>
    <w:rsid w:val="007D6912"/>
    <w:rsid w:val="007E50C1"/>
    <w:rsid w:val="00801CE8"/>
    <w:rsid w:val="0080311C"/>
    <w:rsid w:val="00810C4F"/>
    <w:rsid w:val="0081157A"/>
    <w:rsid w:val="00811E4C"/>
    <w:rsid w:val="0081715A"/>
    <w:rsid w:val="00820B05"/>
    <w:rsid w:val="00825828"/>
    <w:rsid w:val="00877C51"/>
    <w:rsid w:val="00885674"/>
    <w:rsid w:val="008870C8"/>
    <w:rsid w:val="008A6E9C"/>
    <w:rsid w:val="008B3C5E"/>
    <w:rsid w:val="008D5A73"/>
    <w:rsid w:val="008E0E02"/>
    <w:rsid w:val="008F4697"/>
    <w:rsid w:val="008F78CA"/>
    <w:rsid w:val="00902C0E"/>
    <w:rsid w:val="00904D41"/>
    <w:rsid w:val="009056B1"/>
    <w:rsid w:val="00931429"/>
    <w:rsid w:val="00944FD0"/>
    <w:rsid w:val="0095549E"/>
    <w:rsid w:val="00960F3A"/>
    <w:rsid w:val="009704C5"/>
    <w:rsid w:val="009809B3"/>
    <w:rsid w:val="00981073"/>
    <w:rsid w:val="00993379"/>
    <w:rsid w:val="00993ED9"/>
    <w:rsid w:val="009B5E1D"/>
    <w:rsid w:val="009C1573"/>
    <w:rsid w:val="009C4E36"/>
    <w:rsid w:val="009F178D"/>
    <w:rsid w:val="009F6AD3"/>
    <w:rsid w:val="00A22A8A"/>
    <w:rsid w:val="00A37596"/>
    <w:rsid w:val="00A5619C"/>
    <w:rsid w:val="00A65E95"/>
    <w:rsid w:val="00A76CB1"/>
    <w:rsid w:val="00AA6A20"/>
    <w:rsid w:val="00AB7480"/>
    <w:rsid w:val="00AC09DA"/>
    <w:rsid w:val="00AC5773"/>
    <w:rsid w:val="00AC5952"/>
    <w:rsid w:val="00AF4C65"/>
    <w:rsid w:val="00AF517C"/>
    <w:rsid w:val="00AF5519"/>
    <w:rsid w:val="00B14EDE"/>
    <w:rsid w:val="00B215DC"/>
    <w:rsid w:val="00B2297B"/>
    <w:rsid w:val="00B64561"/>
    <w:rsid w:val="00B72398"/>
    <w:rsid w:val="00BA0AAE"/>
    <w:rsid w:val="00BA4C3E"/>
    <w:rsid w:val="00BC0FA8"/>
    <w:rsid w:val="00BC1988"/>
    <w:rsid w:val="00BD2123"/>
    <w:rsid w:val="00BD5CFB"/>
    <w:rsid w:val="00BE7A4F"/>
    <w:rsid w:val="00C1033D"/>
    <w:rsid w:val="00C30181"/>
    <w:rsid w:val="00C45C9F"/>
    <w:rsid w:val="00C5146C"/>
    <w:rsid w:val="00C566EC"/>
    <w:rsid w:val="00C673E3"/>
    <w:rsid w:val="00C93073"/>
    <w:rsid w:val="00C97682"/>
    <w:rsid w:val="00C979E2"/>
    <w:rsid w:val="00CB4ACD"/>
    <w:rsid w:val="00CC6ABE"/>
    <w:rsid w:val="00CD6E8C"/>
    <w:rsid w:val="00D262DE"/>
    <w:rsid w:val="00D57EC4"/>
    <w:rsid w:val="00D738DC"/>
    <w:rsid w:val="00DA22A7"/>
    <w:rsid w:val="00DA61F9"/>
    <w:rsid w:val="00DC25A1"/>
    <w:rsid w:val="00DC7E86"/>
    <w:rsid w:val="00DD0BC9"/>
    <w:rsid w:val="00DD326C"/>
    <w:rsid w:val="00DE4333"/>
    <w:rsid w:val="00DE6CF9"/>
    <w:rsid w:val="00DE6EDC"/>
    <w:rsid w:val="00E17144"/>
    <w:rsid w:val="00E21FAB"/>
    <w:rsid w:val="00E2240C"/>
    <w:rsid w:val="00E73123"/>
    <w:rsid w:val="00E81F65"/>
    <w:rsid w:val="00EB2D53"/>
    <w:rsid w:val="00EB7DEF"/>
    <w:rsid w:val="00F01F34"/>
    <w:rsid w:val="00F07E50"/>
    <w:rsid w:val="00F14F12"/>
    <w:rsid w:val="00F52A67"/>
    <w:rsid w:val="00F607EF"/>
    <w:rsid w:val="00F65856"/>
    <w:rsid w:val="00F82A54"/>
    <w:rsid w:val="00FA57C6"/>
    <w:rsid w:val="00FE7239"/>
    <w:rsid w:val="00FF1C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3E3"/>
    <w:pPr>
      <w:widowControl w:val="0"/>
      <w:jc w:val="both"/>
    </w:pPr>
  </w:style>
  <w:style w:type="paragraph" w:styleId="2">
    <w:name w:val="heading 2"/>
    <w:basedOn w:val="a"/>
    <w:link w:val="2Char"/>
    <w:uiPriority w:val="9"/>
    <w:qFormat/>
    <w:rsid w:val="00135BE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35BE8"/>
    <w:rPr>
      <w:rFonts w:ascii="宋体" w:eastAsia="宋体" w:hAnsi="宋体" w:cs="宋体"/>
      <w:b/>
      <w:bCs/>
      <w:kern w:val="0"/>
      <w:sz w:val="36"/>
      <w:szCs w:val="36"/>
    </w:rPr>
  </w:style>
  <w:style w:type="character" w:styleId="a3">
    <w:name w:val="Hyperlink"/>
    <w:basedOn w:val="a0"/>
    <w:uiPriority w:val="99"/>
    <w:unhideWhenUsed/>
    <w:rsid w:val="00135BE8"/>
    <w:rPr>
      <w:color w:val="0000FF"/>
      <w:u w:val="single"/>
    </w:rPr>
  </w:style>
  <w:style w:type="paragraph" w:styleId="a4">
    <w:name w:val="Normal (Web)"/>
    <w:basedOn w:val="a"/>
    <w:uiPriority w:val="99"/>
    <w:semiHidden/>
    <w:unhideWhenUsed/>
    <w:rsid w:val="00135BE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35BE8"/>
  </w:style>
  <w:style w:type="paragraph" w:styleId="a5">
    <w:name w:val="header"/>
    <w:basedOn w:val="a"/>
    <w:link w:val="Char"/>
    <w:uiPriority w:val="99"/>
    <w:unhideWhenUsed/>
    <w:rsid w:val="00D262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262DE"/>
    <w:rPr>
      <w:sz w:val="18"/>
      <w:szCs w:val="18"/>
    </w:rPr>
  </w:style>
  <w:style w:type="paragraph" w:styleId="a6">
    <w:name w:val="footer"/>
    <w:basedOn w:val="a"/>
    <w:link w:val="Char0"/>
    <w:uiPriority w:val="99"/>
    <w:unhideWhenUsed/>
    <w:rsid w:val="00D262DE"/>
    <w:pPr>
      <w:tabs>
        <w:tab w:val="center" w:pos="4153"/>
        <w:tab w:val="right" w:pos="8306"/>
      </w:tabs>
      <w:snapToGrid w:val="0"/>
      <w:jc w:val="left"/>
    </w:pPr>
    <w:rPr>
      <w:sz w:val="18"/>
      <w:szCs w:val="18"/>
    </w:rPr>
  </w:style>
  <w:style w:type="character" w:customStyle="1" w:styleId="Char0">
    <w:name w:val="页脚 Char"/>
    <w:basedOn w:val="a0"/>
    <w:link w:val="a6"/>
    <w:uiPriority w:val="99"/>
    <w:rsid w:val="00D262DE"/>
    <w:rPr>
      <w:sz w:val="18"/>
      <w:szCs w:val="18"/>
    </w:rPr>
  </w:style>
  <w:style w:type="paragraph" w:styleId="a7">
    <w:name w:val="Balloon Text"/>
    <w:basedOn w:val="a"/>
    <w:link w:val="Char1"/>
    <w:uiPriority w:val="99"/>
    <w:semiHidden/>
    <w:unhideWhenUsed/>
    <w:rsid w:val="00D262DE"/>
    <w:rPr>
      <w:sz w:val="18"/>
      <w:szCs w:val="18"/>
    </w:rPr>
  </w:style>
  <w:style w:type="character" w:customStyle="1" w:styleId="Char1">
    <w:name w:val="批注框文本 Char"/>
    <w:basedOn w:val="a0"/>
    <w:link w:val="a7"/>
    <w:uiPriority w:val="99"/>
    <w:semiHidden/>
    <w:rsid w:val="00D262DE"/>
    <w:rPr>
      <w:sz w:val="18"/>
      <w:szCs w:val="18"/>
    </w:rPr>
  </w:style>
  <w:style w:type="character" w:customStyle="1" w:styleId="1">
    <w:name w:val="未处理的提及1"/>
    <w:basedOn w:val="a0"/>
    <w:uiPriority w:val="99"/>
    <w:semiHidden/>
    <w:unhideWhenUsed/>
    <w:rsid w:val="00491C3A"/>
    <w:rPr>
      <w:color w:val="605E5C"/>
      <w:shd w:val="clear" w:color="auto" w:fill="E1DFDD"/>
    </w:rPr>
  </w:style>
  <w:style w:type="character" w:styleId="a8">
    <w:name w:val="annotation reference"/>
    <w:basedOn w:val="a0"/>
    <w:uiPriority w:val="99"/>
    <w:semiHidden/>
    <w:unhideWhenUsed/>
    <w:rsid w:val="00A76CB1"/>
    <w:rPr>
      <w:sz w:val="21"/>
      <w:szCs w:val="21"/>
    </w:rPr>
  </w:style>
  <w:style w:type="paragraph" w:styleId="a9">
    <w:name w:val="annotation text"/>
    <w:basedOn w:val="a"/>
    <w:link w:val="Char2"/>
    <w:uiPriority w:val="99"/>
    <w:semiHidden/>
    <w:unhideWhenUsed/>
    <w:rsid w:val="00A76CB1"/>
    <w:pPr>
      <w:jc w:val="left"/>
    </w:pPr>
  </w:style>
  <w:style w:type="character" w:customStyle="1" w:styleId="Char2">
    <w:name w:val="批注文字 Char"/>
    <w:basedOn w:val="a0"/>
    <w:link w:val="a9"/>
    <w:uiPriority w:val="99"/>
    <w:semiHidden/>
    <w:rsid w:val="00A76CB1"/>
  </w:style>
  <w:style w:type="paragraph" w:styleId="aa">
    <w:name w:val="annotation subject"/>
    <w:basedOn w:val="a9"/>
    <w:next w:val="a9"/>
    <w:link w:val="Char3"/>
    <w:uiPriority w:val="99"/>
    <w:semiHidden/>
    <w:unhideWhenUsed/>
    <w:rsid w:val="00A76CB1"/>
    <w:rPr>
      <w:b/>
      <w:bCs/>
    </w:rPr>
  </w:style>
  <w:style w:type="character" w:customStyle="1" w:styleId="Char3">
    <w:name w:val="批注主题 Char"/>
    <w:basedOn w:val="Char2"/>
    <w:link w:val="aa"/>
    <w:uiPriority w:val="99"/>
    <w:semiHidden/>
    <w:rsid w:val="00A76CB1"/>
    <w:rPr>
      <w:b/>
      <w:bCs/>
    </w:rPr>
  </w:style>
  <w:style w:type="character" w:customStyle="1" w:styleId="val9">
    <w:name w:val="val9"/>
    <w:basedOn w:val="a0"/>
    <w:rsid w:val="005A493A"/>
  </w:style>
  <w:style w:type="character" w:customStyle="1" w:styleId="UnresolvedMention">
    <w:name w:val="Unresolved Mention"/>
    <w:basedOn w:val="a0"/>
    <w:uiPriority w:val="99"/>
    <w:semiHidden/>
    <w:unhideWhenUsed/>
    <w:rsid w:val="00413B7B"/>
    <w:rPr>
      <w:color w:val="605E5C"/>
      <w:shd w:val="clear" w:color="auto" w:fill="E1DFDD"/>
    </w:rPr>
  </w:style>
  <w:style w:type="paragraph" w:styleId="ab">
    <w:name w:val="List Paragraph"/>
    <w:basedOn w:val="a"/>
    <w:uiPriority w:val="34"/>
    <w:qFormat/>
    <w:rsid w:val="00B215DC"/>
    <w:pPr>
      <w:ind w:firstLineChars="200" w:firstLine="420"/>
    </w:pPr>
  </w:style>
</w:styles>
</file>

<file path=word/webSettings.xml><?xml version="1.0" encoding="utf-8"?>
<w:webSettings xmlns:r="http://schemas.openxmlformats.org/officeDocument/2006/relationships" xmlns:w="http://schemas.openxmlformats.org/wordprocessingml/2006/main">
  <w:divs>
    <w:div w:id="919556385">
      <w:bodyDiv w:val="1"/>
      <w:marLeft w:val="0"/>
      <w:marRight w:val="0"/>
      <w:marTop w:val="0"/>
      <w:marBottom w:val="0"/>
      <w:divBdr>
        <w:top w:val="none" w:sz="0" w:space="0" w:color="auto"/>
        <w:left w:val="none" w:sz="0" w:space="0" w:color="auto"/>
        <w:bottom w:val="none" w:sz="0" w:space="0" w:color="auto"/>
        <w:right w:val="none" w:sz="0" w:space="0" w:color="auto"/>
      </w:divBdr>
    </w:div>
    <w:div w:id="1090925977">
      <w:bodyDiv w:val="1"/>
      <w:marLeft w:val="0"/>
      <w:marRight w:val="0"/>
      <w:marTop w:val="0"/>
      <w:marBottom w:val="0"/>
      <w:divBdr>
        <w:top w:val="none" w:sz="0" w:space="0" w:color="auto"/>
        <w:left w:val="none" w:sz="0" w:space="0" w:color="auto"/>
        <w:bottom w:val="none" w:sz="0" w:space="0" w:color="auto"/>
        <w:right w:val="none" w:sz="0" w:space="0" w:color="auto"/>
      </w:divBdr>
    </w:div>
    <w:div w:id="1216160628">
      <w:bodyDiv w:val="1"/>
      <w:marLeft w:val="0"/>
      <w:marRight w:val="0"/>
      <w:marTop w:val="0"/>
      <w:marBottom w:val="0"/>
      <w:divBdr>
        <w:top w:val="none" w:sz="0" w:space="0" w:color="auto"/>
        <w:left w:val="none" w:sz="0" w:space="0" w:color="auto"/>
        <w:bottom w:val="none" w:sz="0" w:space="0" w:color="auto"/>
        <w:right w:val="none" w:sz="0" w:space="0" w:color="auto"/>
      </w:divBdr>
    </w:div>
    <w:div w:id="1454445326">
      <w:bodyDiv w:val="1"/>
      <w:marLeft w:val="0"/>
      <w:marRight w:val="0"/>
      <w:marTop w:val="0"/>
      <w:marBottom w:val="0"/>
      <w:divBdr>
        <w:top w:val="none" w:sz="0" w:space="0" w:color="auto"/>
        <w:left w:val="none" w:sz="0" w:space="0" w:color="auto"/>
        <w:bottom w:val="none" w:sz="0" w:space="0" w:color="auto"/>
        <w:right w:val="none" w:sz="0" w:space="0" w:color="auto"/>
      </w:divBdr>
      <w:divsChild>
        <w:div w:id="966275670">
          <w:marLeft w:val="0"/>
          <w:marRight w:val="0"/>
          <w:marTop w:val="0"/>
          <w:marBottom w:val="0"/>
          <w:divBdr>
            <w:top w:val="none" w:sz="0" w:space="0" w:color="auto"/>
            <w:left w:val="none" w:sz="0" w:space="0" w:color="auto"/>
            <w:bottom w:val="none" w:sz="0" w:space="0" w:color="auto"/>
            <w:right w:val="none" w:sz="0" w:space="0" w:color="auto"/>
          </w:divBdr>
        </w:div>
        <w:div w:id="302006191">
          <w:marLeft w:val="0"/>
          <w:marRight w:val="0"/>
          <w:marTop w:val="0"/>
          <w:marBottom w:val="0"/>
          <w:divBdr>
            <w:top w:val="none" w:sz="0" w:space="0" w:color="auto"/>
            <w:left w:val="none" w:sz="0" w:space="0" w:color="auto"/>
            <w:bottom w:val="none" w:sz="0" w:space="0" w:color="auto"/>
            <w:right w:val="none" w:sz="0" w:space="0" w:color="auto"/>
          </w:divBdr>
        </w:div>
        <w:div w:id="801263394">
          <w:marLeft w:val="0"/>
          <w:marRight w:val="0"/>
          <w:marTop w:val="0"/>
          <w:marBottom w:val="0"/>
          <w:divBdr>
            <w:top w:val="none" w:sz="0" w:space="0" w:color="auto"/>
            <w:left w:val="none" w:sz="0" w:space="0" w:color="auto"/>
            <w:bottom w:val="none" w:sz="0" w:space="0" w:color="auto"/>
            <w:right w:val="none" w:sz="0" w:space="0" w:color="auto"/>
          </w:divBdr>
        </w:div>
        <w:div w:id="1708525976">
          <w:marLeft w:val="0"/>
          <w:marRight w:val="0"/>
          <w:marTop w:val="0"/>
          <w:marBottom w:val="0"/>
          <w:divBdr>
            <w:top w:val="none" w:sz="0" w:space="0" w:color="auto"/>
            <w:left w:val="none" w:sz="0" w:space="0" w:color="auto"/>
            <w:bottom w:val="none" w:sz="0" w:space="0" w:color="auto"/>
            <w:right w:val="none" w:sz="0" w:space="0" w:color="auto"/>
          </w:divBdr>
        </w:div>
        <w:div w:id="360592375">
          <w:marLeft w:val="0"/>
          <w:marRight w:val="0"/>
          <w:marTop w:val="0"/>
          <w:marBottom w:val="0"/>
          <w:divBdr>
            <w:top w:val="none" w:sz="0" w:space="0" w:color="auto"/>
            <w:left w:val="none" w:sz="0" w:space="0" w:color="auto"/>
            <w:bottom w:val="none" w:sz="0" w:space="0" w:color="auto"/>
            <w:right w:val="none" w:sz="0" w:space="0" w:color="auto"/>
          </w:divBdr>
        </w:div>
        <w:div w:id="631524558">
          <w:marLeft w:val="720"/>
          <w:marRight w:val="0"/>
          <w:marTop w:val="0"/>
          <w:marBottom w:val="0"/>
          <w:divBdr>
            <w:top w:val="none" w:sz="0" w:space="0" w:color="auto"/>
            <w:left w:val="none" w:sz="0" w:space="0" w:color="auto"/>
            <w:bottom w:val="none" w:sz="0" w:space="0" w:color="auto"/>
            <w:right w:val="none" w:sz="0" w:space="0" w:color="auto"/>
          </w:divBdr>
        </w:div>
        <w:div w:id="264970292">
          <w:marLeft w:val="0"/>
          <w:marRight w:val="0"/>
          <w:marTop w:val="0"/>
          <w:marBottom w:val="0"/>
          <w:divBdr>
            <w:top w:val="none" w:sz="0" w:space="0" w:color="auto"/>
            <w:left w:val="none" w:sz="0" w:space="0" w:color="auto"/>
            <w:bottom w:val="none" w:sz="0" w:space="0" w:color="auto"/>
            <w:right w:val="none" w:sz="0" w:space="0" w:color="auto"/>
          </w:divBdr>
        </w:div>
        <w:div w:id="1804738726">
          <w:marLeft w:val="0"/>
          <w:marRight w:val="0"/>
          <w:marTop w:val="0"/>
          <w:marBottom w:val="0"/>
          <w:divBdr>
            <w:top w:val="none" w:sz="0" w:space="0" w:color="auto"/>
            <w:left w:val="none" w:sz="0" w:space="0" w:color="auto"/>
            <w:bottom w:val="none" w:sz="0" w:space="0" w:color="auto"/>
            <w:right w:val="none" w:sz="0" w:space="0" w:color="auto"/>
          </w:divBdr>
        </w:div>
        <w:div w:id="10230062">
          <w:marLeft w:val="0"/>
          <w:marRight w:val="0"/>
          <w:marTop w:val="0"/>
          <w:marBottom w:val="0"/>
          <w:divBdr>
            <w:top w:val="none" w:sz="0" w:space="0" w:color="auto"/>
            <w:left w:val="none" w:sz="0" w:space="0" w:color="auto"/>
            <w:bottom w:val="none" w:sz="0" w:space="0" w:color="auto"/>
            <w:right w:val="none" w:sz="0" w:space="0" w:color="auto"/>
          </w:divBdr>
        </w:div>
        <w:div w:id="2127312412">
          <w:marLeft w:val="0"/>
          <w:marRight w:val="0"/>
          <w:marTop w:val="0"/>
          <w:marBottom w:val="0"/>
          <w:divBdr>
            <w:top w:val="none" w:sz="0" w:space="0" w:color="auto"/>
            <w:left w:val="none" w:sz="0" w:space="0" w:color="auto"/>
            <w:bottom w:val="none" w:sz="0" w:space="0" w:color="auto"/>
            <w:right w:val="none" w:sz="0" w:space="0" w:color="auto"/>
          </w:divBdr>
        </w:div>
        <w:div w:id="1745712829">
          <w:marLeft w:val="0"/>
          <w:marRight w:val="0"/>
          <w:marTop w:val="0"/>
          <w:marBottom w:val="0"/>
          <w:divBdr>
            <w:top w:val="none" w:sz="0" w:space="0" w:color="auto"/>
            <w:left w:val="none" w:sz="0" w:space="0" w:color="auto"/>
            <w:bottom w:val="none" w:sz="0" w:space="0" w:color="auto"/>
            <w:right w:val="none" w:sz="0" w:space="0" w:color="auto"/>
          </w:divBdr>
        </w:div>
        <w:div w:id="1841579110">
          <w:marLeft w:val="0"/>
          <w:marRight w:val="0"/>
          <w:marTop w:val="0"/>
          <w:marBottom w:val="0"/>
          <w:divBdr>
            <w:top w:val="none" w:sz="0" w:space="0" w:color="auto"/>
            <w:left w:val="none" w:sz="0" w:space="0" w:color="auto"/>
            <w:bottom w:val="none" w:sz="0" w:space="0" w:color="auto"/>
            <w:right w:val="none" w:sz="0" w:space="0" w:color="auto"/>
          </w:divBdr>
        </w:div>
        <w:div w:id="516969840">
          <w:marLeft w:val="0"/>
          <w:marRight w:val="0"/>
          <w:marTop w:val="0"/>
          <w:marBottom w:val="0"/>
          <w:divBdr>
            <w:top w:val="none" w:sz="0" w:space="0" w:color="auto"/>
            <w:left w:val="none" w:sz="0" w:space="0" w:color="auto"/>
            <w:bottom w:val="none" w:sz="0" w:space="0" w:color="auto"/>
            <w:right w:val="none" w:sz="0" w:space="0" w:color="auto"/>
          </w:divBdr>
        </w:div>
        <w:div w:id="1309019798">
          <w:marLeft w:val="0"/>
          <w:marRight w:val="0"/>
          <w:marTop w:val="0"/>
          <w:marBottom w:val="0"/>
          <w:divBdr>
            <w:top w:val="none" w:sz="0" w:space="0" w:color="auto"/>
            <w:left w:val="none" w:sz="0" w:space="0" w:color="auto"/>
            <w:bottom w:val="none" w:sz="0" w:space="0" w:color="auto"/>
            <w:right w:val="none" w:sz="0" w:space="0" w:color="auto"/>
          </w:divBdr>
        </w:div>
        <w:div w:id="203830568">
          <w:marLeft w:val="0"/>
          <w:marRight w:val="0"/>
          <w:marTop w:val="0"/>
          <w:marBottom w:val="0"/>
          <w:divBdr>
            <w:top w:val="none" w:sz="0" w:space="0" w:color="auto"/>
            <w:left w:val="none" w:sz="0" w:space="0" w:color="auto"/>
            <w:bottom w:val="none" w:sz="0" w:space="0" w:color="auto"/>
            <w:right w:val="none" w:sz="0" w:space="0" w:color="auto"/>
          </w:divBdr>
        </w:div>
        <w:div w:id="1766681900">
          <w:marLeft w:val="0"/>
          <w:marRight w:val="0"/>
          <w:marTop w:val="0"/>
          <w:marBottom w:val="0"/>
          <w:divBdr>
            <w:top w:val="none" w:sz="0" w:space="0" w:color="auto"/>
            <w:left w:val="none" w:sz="0" w:space="0" w:color="auto"/>
            <w:bottom w:val="none" w:sz="0" w:space="0" w:color="auto"/>
            <w:right w:val="none" w:sz="0" w:space="0" w:color="auto"/>
          </w:divBdr>
        </w:div>
        <w:div w:id="1746107890">
          <w:marLeft w:val="0"/>
          <w:marRight w:val="0"/>
          <w:marTop w:val="0"/>
          <w:marBottom w:val="0"/>
          <w:divBdr>
            <w:top w:val="none" w:sz="0" w:space="0" w:color="auto"/>
            <w:left w:val="none" w:sz="0" w:space="0" w:color="auto"/>
            <w:bottom w:val="none" w:sz="0" w:space="0" w:color="auto"/>
            <w:right w:val="none" w:sz="0" w:space="0" w:color="auto"/>
          </w:divBdr>
        </w:div>
        <w:div w:id="1496726604">
          <w:marLeft w:val="0"/>
          <w:marRight w:val="0"/>
          <w:marTop w:val="0"/>
          <w:marBottom w:val="0"/>
          <w:divBdr>
            <w:top w:val="none" w:sz="0" w:space="0" w:color="auto"/>
            <w:left w:val="none" w:sz="0" w:space="0" w:color="auto"/>
            <w:bottom w:val="none" w:sz="0" w:space="0" w:color="auto"/>
            <w:right w:val="none" w:sz="0" w:space="0" w:color="auto"/>
          </w:divBdr>
        </w:div>
        <w:div w:id="1317760989">
          <w:marLeft w:val="0"/>
          <w:marRight w:val="0"/>
          <w:marTop w:val="0"/>
          <w:marBottom w:val="0"/>
          <w:divBdr>
            <w:top w:val="none" w:sz="0" w:space="0" w:color="auto"/>
            <w:left w:val="none" w:sz="0" w:space="0" w:color="auto"/>
            <w:bottom w:val="none" w:sz="0" w:space="0" w:color="auto"/>
            <w:right w:val="none" w:sz="0" w:space="0" w:color="auto"/>
          </w:divBdr>
        </w:div>
        <w:div w:id="653989826">
          <w:marLeft w:val="0"/>
          <w:marRight w:val="0"/>
          <w:marTop w:val="0"/>
          <w:marBottom w:val="0"/>
          <w:divBdr>
            <w:top w:val="none" w:sz="0" w:space="0" w:color="auto"/>
            <w:left w:val="none" w:sz="0" w:space="0" w:color="auto"/>
            <w:bottom w:val="none" w:sz="0" w:space="0" w:color="auto"/>
            <w:right w:val="none" w:sz="0" w:space="0" w:color="auto"/>
          </w:divBdr>
        </w:div>
        <w:div w:id="262349000">
          <w:marLeft w:val="0"/>
          <w:marRight w:val="0"/>
          <w:marTop w:val="0"/>
          <w:marBottom w:val="0"/>
          <w:divBdr>
            <w:top w:val="none" w:sz="0" w:space="0" w:color="auto"/>
            <w:left w:val="none" w:sz="0" w:space="0" w:color="auto"/>
            <w:bottom w:val="none" w:sz="0" w:space="0" w:color="auto"/>
            <w:right w:val="none" w:sz="0" w:space="0" w:color="auto"/>
          </w:divBdr>
        </w:div>
        <w:div w:id="699207092">
          <w:marLeft w:val="0"/>
          <w:marRight w:val="0"/>
          <w:marTop w:val="0"/>
          <w:marBottom w:val="0"/>
          <w:divBdr>
            <w:top w:val="none" w:sz="0" w:space="0" w:color="auto"/>
            <w:left w:val="none" w:sz="0" w:space="0" w:color="auto"/>
            <w:bottom w:val="none" w:sz="0" w:space="0" w:color="auto"/>
            <w:right w:val="none" w:sz="0" w:space="0" w:color="auto"/>
          </w:divBdr>
        </w:div>
        <w:div w:id="993603493">
          <w:marLeft w:val="720"/>
          <w:marRight w:val="0"/>
          <w:marTop w:val="0"/>
          <w:marBottom w:val="0"/>
          <w:divBdr>
            <w:top w:val="none" w:sz="0" w:space="0" w:color="auto"/>
            <w:left w:val="none" w:sz="0" w:space="0" w:color="auto"/>
            <w:bottom w:val="none" w:sz="0" w:space="0" w:color="auto"/>
            <w:right w:val="none" w:sz="0" w:space="0" w:color="auto"/>
          </w:divBdr>
        </w:div>
        <w:div w:id="1826503932">
          <w:marLeft w:val="0"/>
          <w:marRight w:val="0"/>
          <w:marTop w:val="0"/>
          <w:marBottom w:val="0"/>
          <w:divBdr>
            <w:top w:val="none" w:sz="0" w:space="0" w:color="auto"/>
            <w:left w:val="none" w:sz="0" w:space="0" w:color="auto"/>
            <w:bottom w:val="none" w:sz="0" w:space="0" w:color="auto"/>
            <w:right w:val="none" w:sz="0" w:space="0" w:color="auto"/>
          </w:divBdr>
        </w:div>
        <w:div w:id="842167722">
          <w:marLeft w:val="0"/>
          <w:marRight w:val="0"/>
          <w:marTop w:val="0"/>
          <w:marBottom w:val="0"/>
          <w:divBdr>
            <w:top w:val="none" w:sz="0" w:space="0" w:color="auto"/>
            <w:left w:val="none" w:sz="0" w:space="0" w:color="auto"/>
            <w:bottom w:val="none" w:sz="0" w:space="0" w:color="auto"/>
            <w:right w:val="none" w:sz="0" w:space="0" w:color="auto"/>
          </w:divBdr>
        </w:div>
        <w:div w:id="386610946">
          <w:marLeft w:val="0"/>
          <w:marRight w:val="0"/>
          <w:marTop w:val="0"/>
          <w:marBottom w:val="0"/>
          <w:divBdr>
            <w:top w:val="none" w:sz="0" w:space="0" w:color="auto"/>
            <w:left w:val="none" w:sz="0" w:space="0" w:color="auto"/>
            <w:bottom w:val="none" w:sz="0" w:space="0" w:color="auto"/>
            <w:right w:val="none" w:sz="0" w:space="0" w:color="auto"/>
          </w:divBdr>
        </w:div>
        <w:div w:id="1326199943">
          <w:marLeft w:val="0"/>
          <w:marRight w:val="0"/>
          <w:marTop w:val="0"/>
          <w:marBottom w:val="0"/>
          <w:divBdr>
            <w:top w:val="none" w:sz="0" w:space="0" w:color="auto"/>
            <w:left w:val="none" w:sz="0" w:space="0" w:color="auto"/>
            <w:bottom w:val="none" w:sz="0" w:space="0" w:color="auto"/>
            <w:right w:val="none" w:sz="0" w:space="0" w:color="auto"/>
          </w:divBdr>
        </w:div>
        <w:div w:id="1016543154">
          <w:marLeft w:val="0"/>
          <w:marRight w:val="0"/>
          <w:marTop w:val="0"/>
          <w:marBottom w:val="0"/>
          <w:divBdr>
            <w:top w:val="none" w:sz="0" w:space="0" w:color="auto"/>
            <w:left w:val="none" w:sz="0" w:space="0" w:color="auto"/>
            <w:bottom w:val="none" w:sz="0" w:space="0" w:color="auto"/>
            <w:right w:val="none" w:sz="0" w:space="0" w:color="auto"/>
          </w:divBdr>
        </w:div>
        <w:div w:id="1072124456">
          <w:marLeft w:val="0"/>
          <w:marRight w:val="0"/>
          <w:marTop w:val="0"/>
          <w:marBottom w:val="0"/>
          <w:divBdr>
            <w:top w:val="none" w:sz="0" w:space="0" w:color="auto"/>
            <w:left w:val="none" w:sz="0" w:space="0" w:color="auto"/>
            <w:bottom w:val="none" w:sz="0" w:space="0" w:color="auto"/>
            <w:right w:val="none" w:sz="0" w:space="0" w:color="auto"/>
          </w:divBdr>
        </w:div>
        <w:div w:id="1681345732">
          <w:marLeft w:val="0"/>
          <w:marRight w:val="0"/>
          <w:marTop w:val="0"/>
          <w:marBottom w:val="0"/>
          <w:divBdr>
            <w:top w:val="none" w:sz="0" w:space="0" w:color="auto"/>
            <w:left w:val="none" w:sz="0" w:space="0" w:color="auto"/>
            <w:bottom w:val="none" w:sz="0" w:space="0" w:color="auto"/>
            <w:right w:val="none" w:sz="0" w:space="0" w:color="auto"/>
          </w:divBdr>
        </w:div>
        <w:div w:id="662200919">
          <w:marLeft w:val="0"/>
          <w:marRight w:val="0"/>
          <w:marTop w:val="0"/>
          <w:marBottom w:val="0"/>
          <w:divBdr>
            <w:top w:val="none" w:sz="0" w:space="0" w:color="auto"/>
            <w:left w:val="none" w:sz="0" w:space="0" w:color="auto"/>
            <w:bottom w:val="none" w:sz="0" w:space="0" w:color="auto"/>
            <w:right w:val="none" w:sz="0" w:space="0" w:color="auto"/>
          </w:divBdr>
        </w:div>
        <w:div w:id="1247766963">
          <w:marLeft w:val="0"/>
          <w:marRight w:val="0"/>
          <w:marTop w:val="0"/>
          <w:marBottom w:val="0"/>
          <w:divBdr>
            <w:top w:val="none" w:sz="0" w:space="0" w:color="auto"/>
            <w:left w:val="none" w:sz="0" w:space="0" w:color="auto"/>
            <w:bottom w:val="none" w:sz="0" w:space="0" w:color="auto"/>
            <w:right w:val="none" w:sz="0" w:space="0" w:color="auto"/>
          </w:divBdr>
        </w:div>
        <w:div w:id="681857427">
          <w:marLeft w:val="0"/>
          <w:marRight w:val="0"/>
          <w:marTop w:val="0"/>
          <w:marBottom w:val="0"/>
          <w:divBdr>
            <w:top w:val="none" w:sz="0" w:space="0" w:color="auto"/>
            <w:left w:val="none" w:sz="0" w:space="0" w:color="auto"/>
            <w:bottom w:val="none" w:sz="0" w:space="0" w:color="auto"/>
            <w:right w:val="none" w:sz="0" w:space="0" w:color="auto"/>
          </w:divBdr>
        </w:div>
        <w:div w:id="279460438">
          <w:marLeft w:val="0"/>
          <w:marRight w:val="0"/>
          <w:marTop w:val="0"/>
          <w:marBottom w:val="0"/>
          <w:divBdr>
            <w:top w:val="none" w:sz="0" w:space="0" w:color="auto"/>
            <w:left w:val="none" w:sz="0" w:space="0" w:color="auto"/>
            <w:bottom w:val="none" w:sz="0" w:space="0" w:color="auto"/>
            <w:right w:val="none" w:sz="0" w:space="0" w:color="auto"/>
          </w:divBdr>
        </w:div>
        <w:div w:id="492260174">
          <w:marLeft w:val="0"/>
          <w:marRight w:val="0"/>
          <w:marTop w:val="0"/>
          <w:marBottom w:val="0"/>
          <w:divBdr>
            <w:top w:val="none" w:sz="0" w:space="0" w:color="auto"/>
            <w:left w:val="none" w:sz="0" w:space="0" w:color="auto"/>
            <w:bottom w:val="none" w:sz="0" w:space="0" w:color="auto"/>
            <w:right w:val="none" w:sz="0" w:space="0" w:color="auto"/>
          </w:divBdr>
        </w:div>
        <w:div w:id="225460242">
          <w:marLeft w:val="0"/>
          <w:marRight w:val="0"/>
          <w:marTop w:val="0"/>
          <w:marBottom w:val="0"/>
          <w:divBdr>
            <w:top w:val="none" w:sz="0" w:space="0" w:color="auto"/>
            <w:left w:val="none" w:sz="0" w:space="0" w:color="auto"/>
            <w:bottom w:val="none" w:sz="0" w:space="0" w:color="auto"/>
            <w:right w:val="none" w:sz="0" w:space="0" w:color="auto"/>
          </w:divBdr>
        </w:div>
        <w:div w:id="482742720">
          <w:marLeft w:val="0"/>
          <w:marRight w:val="0"/>
          <w:marTop w:val="0"/>
          <w:marBottom w:val="0"/>
          <w:divBdr>
            <w:top w:val="none" w:sz="0" w:space="0" w:color="auto"/>
            <w:left w:val="none" w:sz="0" w:space="0" w:color="auto"/>
            <w:bottom w:val="none" w:sz="0" w:space="0" w:color="auto"/>
            <w:right w:val="none" w:sz="0" w:space="0" w:color="auto"/>
          </w:divBdr>
        </w:div>
        <w:div w:id="1999110975">
          <w:marLeft w:val="0"/>
          <w:marRight w:val="0"/>
          <w:marTop w:val="0"/>
          <w:marBottom w:val="0"/>
          <w:divBdr>
            <w:top w:val="none" w:sz="0" w:space="0" w:color="auto"/>
            <w:left w:val="none" w:sz="0" w:space="0" w:color="auto"/>
            <w:bottom w:val="none" w:sz="0" w:space="0" w:color="auto"/>
            <w:right w:val="none" w:sz="0" w:space="0" w:color="auto"/>
          </w:divBdr>
        </w:div>
        <w:div w:id="575362278">
          <w:marLeft w:val="0"/>
          <w:marRight w:val="0"/>
          <w:marTop w:val="0"/>
          <w:marBottom w:val="0"/>
          <w:divBdr>
            <w:top w:val="none" w:sz="0" w:space="0" w:color="auto"/>
            <w:left w:val="none" w:sz="0" w:space="0" w:color="auto"/>
            <w:bottom w:val="none" w:sz="0" w:space="0" w:color="auto"/>
            <w:right w:val="none" w:sz="0" w:space="0" w:color="auto"/>
          </w:divBdr>
        </w:div>
        <w:div w:id="1700542143">
          <w:marLeft w:val="720"/>
          <w:marRight w:val="0"/>
          <w:marTop w:val="0"/>
          <w:marBottom w:val="0"/>
          <w:divBdr>
            <w:top w:val="none" w:sz="0" w:space="0" w:color="auto"/>
            <w:left w:val="none" w:sz="0" w:space="0" w:color="auto"/>
            <w:bottom w:val="none" w:sz="0" w:space="0" w:color="auto"/>
            <w:right w:val="none" w:sz="0" w:space="0" w:color="auto"/>
          </w:divBdr>
        </w:div>
        <w:div w:id="1322999804">
          <w:marLeft w:val="0"/>
          <w:marRight w:val="0"/>
          <w:marTop w:val="0"/>
          <w:marBottom w:val="0"/>
          <w:divBdr>
            <w:top w:val="none" w:sz="0" w:space="0" w:color="auto"/>
            <w:left w:val="none" w:sz="0" w:space="0" w:color="auto"/>
            <w:bottom w:val="none" w:sz="0" w:space="0" w:color="auto"/>
            <w:right w:val="none" w:sz="0" w:space="0" w:color="auto"/>
          </w:divBdr>
        </w:div>
        <w:div w:id="1980188453">
          <w:marLeft w:val="0"/>
          <w:marRight w:val="0"/>
          <w:marTop w:val="0"/>
          <w:marBottom w:val="0"/>
          <w:divBdr>
            <w:top w:val="none" w:sz="0" w:space="0" w:color="auto"/>
            <w:left w:val="none" w:sz="0" w:space="0" w:color="auto"/>
            <w:bottom w:val="none" w:sz="0" w:space="0" w:color="auto"/>
            <w:right w:val="none" w:sz="0" w:space="0" w:color="auto"/>
          </w:divBdr>
        </w:div>
        <w:div w:id="1796676441">
          <w:marLeft w:val="0"/>
          <w:marRight w:val="0"/>
          <w:marTop w:val="0"/>
          <w:marBottom w:val="0"/>
          <w:divBdr>
            <w:top w:val="none" w:sz="0" w:space="0" w:color="auto"/>
            <w:left w:val="none" w:sz="0" w:space="0" w:color="auto"/>
            <w:bottom w:val="none" w:sz="0" w:space="0" w:color="auto"/>
            <w:right w:val="none" w:sz="0" w:space="0" w:color="auto"/>
          </w:divBdr>
        </w:div>
        <w:div w:id="1181318165">
          <w:marLeft w:val="0"/>
          <w:marRight w:val="0"/>
          <w:marTop w:val="0"/>
          <w:marBottom w:val="0"/>
          <w:divBdr>
            <w:top w:val="none" w:sz="0" w:space="0" w:color="auto"/>
            <w:left w:val="none" w:sz="0" w:space="0" w:color="auto"/>
            <w:bottom w:val="none" w:sz="0" w:space="0" w:color="auto"/>
            <w:right w:val="none" w:sz="0" w:space="0" w:color="auto"/>
          </w:divBdr>
        </w:div>
        <w:div w:id="1564870920">
          <w:marLeft w:val="0"/>
          <w:marRight w:val="0"/>
          <w:marTop w:val="0"/>
          <w:marBottom w:val="0"/>
          <w:divBdr>
            <w:top w:val="none" w:sz="0" w:space="0" w:color="auto"/>
            <w:left w:val="none" w:sz="0" w:space="0" w:color="auto"/>
            <w:bottom w:val="none" w:sz="0" w:space="0" w:color="auto"/>
            <w:right w:val="none" w:sz="0" w:space="0" w:color="auto"/>
          </w:divBdr>
        </w:div>
        <w:div w:id="353846286">
          <w:marLeft w:val="0"/>
          <w:marRight w:val="0"/>
          <w:marTop w:val="0"/>
          <w:marBottom w:val="0"/>
          <w:divBdr>
            <w:top w:val="none" w:sz="0" w:space="0" w:color="auto"/>
            <w:left w:val="none" w:sz="0" w:space="0" w:color="auto"/>
            <w:bottom w:val="none" w:sz="0" w:space="0" w:color="auto"/>
            <w:right w:val="none" w:sz="0" w:space="0" w:color="auto"/>
          </w:divBdr>
        </w:div>
        <w:div w:id="1502816613">
          <w:marLeft w:val="0"/>
          <w:marRight w:val="0"/>
          <w:marTop w:val="0"/>
          <w:marBottom w:val="0"/>
          <w:divBdr>
            <w:top w:val="none" w:sz="0" w:space="0" w:color="auto"/>
            <w:left w:val="none" w:sz="0" w:space="0" w:color="auto"/>
            <w:bottom w:val="none" w:sz="0" w:space="0" w:color="auto"/>
            <w:right w:val="none" w:sz="0" w:space="0" w:color="auto"/>
          </w:divBdr>
        </w:div>
        <w:div w:id="583806442">
          <w:marLeft w:val="0"/>
          <w:marRight w:val="0"/>
          <w:marTop w:val="0"/>
          <w:marBottom w:val="0"/>
          <w:divBdr>
            <w:top w:val="none" w:sz="0" w:space="0" w:color="auto"/>
            <w:left w:val="none" w:sz="0" w:space="0" w:color="auto"/>
            <w:bottom w:val="none" w:sz="0" w:space="0" w:color="auto"/>
            <w:right w:val="none" w:sz="0" w:space="0" w:color="auto"/>
          </w:divBdr>
        </w:div>
        <w:div w:id="1962227894">
          <w:marLeft w:val="0"/>
          <w:marRight w:val="0"/>
          <w:marTop w:val="0"/>
          <w:marBottom w:val="0"/>
          <w:divBdr>
            <w:top w:val="none" w:sz="0" w:space="0" w:color="auto"/>
            <w:left w:val="none" w:sz="0" w:space="0" w:color="auto"/>
            <w:bottom w:val="none" w:sz="0" w:space="0" w:color="auto"/>
            <w:right w:val="none" w:sz="0" w:space="0" w:color="auto"/>
          </w:divBdr>
        </w:div>
        <w:div w:id="824980324">
          <w:marLeft w:val="0"/>
          <w:marRight w:val="0"/>
          <w:marTop w:val="0"/>
          <w:marBottom w:val="0"/>
          <w:divBdr>
            <w:top w:val="none" w:sz="0" w:space="0" w:color="auto"/>
            <w:left w:val="none" w:sz="0" w:space="0" w:color="auto"/>
            <w:bottom w:val="none" w:sz="0" w:space="0" w:color="auto"/>
            <w:right w:val="none" w:sz="0" w:space="0" w:color="auto"/>
          </w:divBdr>
        </w:div>
        <w:div w:id="293946865">
          <w:marLeft w:val="0"/>
          <w:marRight w:val="0"/>
          <w:marTop w:val="0"/>
          <w:marBottom w:val="0"/>
          <w:divBdr>
            <w:top w:val="none" w:sz="0" w:space="0" w:color="auto"/>
            <w:left w:val="none" w:sz="0" w:space="0" w:color="auto"/>
            <w:bottom w:val="none" w:sz="0" w:space="0" w:color="auto"/>
            <w:right w:val="none" w:sz="0" w:space="0" w:color="auto"/>
          </w:divBdr>
        </w:div>
        <w:div w:id="1163201265">
          <w:marLeft w:val="0"/>
          <w:marRight w:val="0"/>
          <w:marTop w:val="0"/>
          <w:marBottom w:val="0"/>
          <w:divBdr>
            <w:top w:val="none" w:sz="0" w:space="0" w:color="auto"/>
            <w:left w:val="none" w:sz="0" w:space="0" w:color="auto"/>
            <w:bottom w:val="none" w:sz="0" w:space="0" w:color="auto"/>
            <w:right w:val="none" w:sz="0" w:space="0" w:color="auto"/>
          </w:divBdr>
        </w:div>
        <w:div w:id="1098867147">
          <w:marLeft w:val="0"/>
          <w:marRight w:val="0"/>
          <w:marTop w:val="0"/>
          <w:marBottom w:val="0"/>
          <w:divBdr>
            <w:top w:val="none" w:sz="0" w:space="0" w:color="auto"/>
            <w:left w:val="none" w:sz="0" w:space="0" w:color="auto"/>
            <w:bottom w:val="none" w:sz="0" w:space="0" w:color="auto"/>
            <w:right w:val="none" w:sz="0" w:space="0" w:color="auto"/>
          </w:divBdr>
        </w:div>
        <w:div w:id="1506047504">
          <w:marLeft w:val="0"/>
          <w:marRight w:val="0"/>
          <w:marTop w:val="0"/>
          <w:marBottom w:val="0"/>
          <w:divBdr>
            <w:top w:val="none" w:sz="0" w:space="0" w:color="auto"/>
            <w:left w:val="none" w:sz="0" w:space="0" w:color="auto"/>
            <w:bottom w:val="none" w:sz="0" w:space="0" w:color="auto"/>
            <w:right w:val="none" w:sz="0" w:space="0" w:color="auto"/>
          </w:divBdr>
        </w:div>
        <w:div w:id="1626693035">
          <w:marLeft w:val="720"/>
          <w:marRight w:val="0"/>
          <w:marTop w:val="0"/>
          <w:marBottom w:val="0"/>
          <w:divBdr>
            <w:top w:val="none" w:sz="0" w:space="0" w:color="auto"/>
            <w:left w:val="none" w:sz="0" w:space="0" w:color="auto"/>
            <w:bottom w:val="none" w:sz="0" w:space="0" w:color="auto"/>
            <w:right w:val="none" w:sz="0" w:space="0" w:color="auto"/>
          </w:divBdr>
        </w:div>
        <w:div w:id="371153121">
          <w:marLeft w:val="0"/>
          <w:marRight w:val="0"/>
          <w:marTop w:val="0"/>
          <w:marBottom w:val="0"/>
          <w:divBdr>
            <w:top w:val="none" w:sz="0" w:space="0" w:color="auto"/>
            <w:left w:val="none" w:sz="0" w:space="0" w:color="auto"/>
            <w:bottom w:val="none" w:sz="0" w:space="0" w:color="auto"/>
            <w:right w:val="none" w:sz="0" w:space="0" w:color="auto"/>
          </w:divBdr>
        </w:div>
        <w:div w:id="1395737766">
          <w:marLeft w:val="0"/>
          <w:marRight w:val="0"/>
          <w:marTop w:val="0"/>
          <w:marBottom w:val="0"/>
          <w:divBdr>
            <w:top w:val="none" w:sz="0" w:space="0" w:color="auto"/>
            <w:left w:val="none" w:sz="0" w:space="0" w:color="auto"/>
            <w:bottom w:val="none" w:sz="0" w:space="0" w:color="auto"/>
            <w:right w:val="none" w:sz="0" w:space="0" w:color="auto"/>
          </w:divBdr>
        </w:div>
        <w:div w:id="518736526">
          <w:marLeft w:val="0"/>
          <w:marRight w:val="0"/>
          <w:marTop w:val="0"/>
          <w:marBottom w:val="0"/>
          <w:divBdr>
            <w:top w:val="none" w:sz="0" w:space="0" w:color="auto"/>
            <w:left w:val="none" w:sz="0" w:space="0" w:color="auto"/>
            <w:bottom w:val="none" w:sz="0" w:space="0" w:color="auto"/>
            <w:right w:val="none" w:sz="0" w:space="0" w:color="auto"/>
          </w:divBdr>
        </w:div>
        <w:div w:id="1174227457">
          <w:marLeft w:val="0"/>
          <w:marRight w:val="0"/>
          <w:marTop w:val="0"/>
          <w:marBottom w:val="0"/>
          <w:divBdr>
            <w:top w:val="none" w:sz="0" w:space="0" w:color="auto"/>
            <w:left w:val="none" w:sz="0" w:space="0" w:color="auto"/>
            <w:bottom w:val="none" w:sz="0" w:space="0" w:color="auto"/>
            <w:right w:val="none" w:sz="0" w:space="0" w:color="auto"/>
          </w:divBdr>
        </w:div>
        <w:div w:id="643700961">
          <w:marLeft w:val="0"/>
          <w:marRight w:val="0"/>
          <w:marTop w:val="0"/>
          <w:marBottom w:val="0"/>
          <w:divBdr>
            <w:top w:val="none" w:sz="0" w:space="0" w:color="auto"/>
            <w:left w:val="none" w:sz="0" w:space="0" w:color="auto"/>
            <w:bottom w:val="none" w:sz="0" w:space="0" w:color="auto"/>
            <w:right w:val="none" w:sz="0" w:space="0" w:color="auto"/>
          </w:divBdr>
        </w:div>
        <w:div w:id="1913390954">
          <w:marLeft w:val="0"/>
          <w:marRight w:val="0"/>
          <w:marTop w:val="0"/>
          <w:marBottom w:val="0"/>
          <w:divBdr>
            <w:top w:val="none" w:sz="0" w:space="0" w:color="auto"/>
            <w:left w:val="none" w:sz="0" w:space="0" w:color="auto"/>
            <w:bottom w:val="none" w:sz="0" w:space="0" w:color="auto"/>
            <w:right w:val="none" w:sz="0" w:space="0" w:color="auto"/>
          </w:divBdr>
        </w:div>
        <w:div w:id="1736006521">
          <w:marLeft w:val="0"/>
          <w:marRight w:val="0"/>
          <w:marTop w:val="0"/>
          <w:marBottom w:val="0"/>
          <w:divBdr>
            <w:top w:val="none" w:sz="0" w:space="0" w:color="auto"/>
            <w:left w:val="none" w:sz="0" w:space="0" w:color="auto"/>
            <w:bottom w:val="none" w:sz="0" w:space="0" w:color="auto"/>
            <w:right w:val="none" w:sz="0" w:space="0" w:color="auto"/>
          </w:divBdr>
        </w:div>
        <w:div w:id="1582566973">
          <w:marLeft w:val="0"/>
          <w:marRight w:val="0"/>
          <w:marTop w:val="0"/>
          <w:marBottom w:val="0"/>
          <w:divBdr>
            <w:top w:val="none" w:sz="0" w:space="0" w:color="auto"/>
            <w:left w:val="none" w:sz="0" w:space="0" w:color="auto"/>
            <w:bottom w:val="none" w:sz="0" w:space="0" w:color="auto"/>
            <w:right w:val="none" w:sz="0" w:space="0" w:color="auto"/>
          </w:divBdr>
        </w:div>
        <w:div w:id="1419981307">
          <w:marLeft w:val="0"/>
          <w:marRight w:val="0"/>
          <w:marTop w:val="0"/>
          <w:marBottom w:val="0"/>
          <w:divBdr>
            <w:top w:val="none" w:sz="0" w:space="0" w:color="auto"/>
            <w:left w:val="none" w:sz="0" w:space="0" w:color="auto"/>
            <w:bottom w:val="none" w:sz="0" w:space="0" w:color="auto"/>
            <w:right w:val="none" w:sz="0" w:space="0" w:color="auto"/>
          </w:divBdr>
        </w:div>
        <w:div w:id="176165512">
          <w:marLeft w:val="0"/>
          <w:marRight w:val="0"/>
          <w:marTop w:val="0"/>
          <w:marBottom w:val="0"/>
          <w:divBdr>
            <w:top w:val="none" w:sz="0" w:space="0" w:color="auto"/>
            <w:left w:val="none" w:sz="0" w:space="0" w:color="auto"/>
            <w:bottom w:val="none" w:sz="0" w:space="0" w:color="auto"/>
            <w:right w:val="none" w:sz="0" w:space="0" w:color="auto"/>
          </w:divBdr>
        </w:div>
        <w:div w:id="1913007216">
          <w:marLeft w:val="0"/>
          <w:marRight w:val="0"/>
          <w:marTop w:val="0"/>
          <w:marBottom w:val="0"/>
          <w:divBdr>
            <w:top w:val="none" w:sz="0" w:space="0" w:color="auto"/>
            <w:left w:val="none" w:sz="0" w:space="0" w:color="auto"/>
            <w:bottom w:val="none" w:sz="0" w:space="0" w:color="auto"/>
            <w:right w:val="none" w:sz="0" w:space="0" w:color="auto"/>
          </w:divBdr>
        </w:div>
        <w:div w:id="1194733470">
          <w:marLeft w:val="0"/>
          <w:marRight w:val="0"/>
          <w:marTop w:val="0"/>
          <w:marBottom w:val="0"/>
          <w:divBdr>
            <w:top w:val="none" w:sz="0" w:space="0" w:color="auto"/>
            <w:left w:val="none" w:sz="0" w:space="0" w:color="auto"/>
            <w:bottom w:val="none" w:sz="0" w:space="0" w:color="auto"/>
            <w:right w:val="none" w:sz="0" w:space="0" w:color="auto"/>
          </w:divBdr>
        </w:div>
        <w:div w:id="1141776698">
          <w:marLeft w:val="0"/>
          <w:marRight w:val="0"/>
          <w:marTop w:val="0"/>
          <w:marBottom w:val="0"/>
          <w:divBdr>
            <w:top w:val="none" w:sz="0" w:space="0" w:color="auto"/>
            <w:left w:val="none" w:sz="0" w:space="0" w:color="auto"/>
            <w:bottom w:val="none" w:sz="0" w:space="0" w:color="auto"/>
            <w:right w:val="none" w:sz="0" w:space="0" w:color="auto"/>
          </w:divBdr>
        </w:div>
        <w:div w:id="763578325">
          <w:marLeft w:val="0"/>
          <w:marRight w:val="0"/>
          <w:marTop w:val="0"/>
          <w:marBottom w:val="0"/>
          <w:divBdr>
            <w:top w:val="none" w:sz="0" w:space="0" w:color="auto"/>
            <w:left w:val="none" w:sz="0" w:space="0" w:color="auto"/>
            <w:bottom w:val="none" w:sz="0" w:space="0" w:color="auto"/>
            <w:right w:val="none" w:sz="0" w:space="0" w:color="auto"/>
          </w:divBdr>
        </w:div>
        <w:div w:id="450172969">
          <w:marLeft w:val="720"/>
          <w:marRight w:val="0"/>
          <w:marTop w:val="0"/>
          <w:marBottom w:val="0"/>
          <w:divBdr>
            <w:top w:val="none" w:sz="0" w:space="0" w:color="auto"/>
            <w:left w:val="none" w:sz="0" w:space="0" w:color="auto"/>
            <w:bottom w:val="none" w:sz="0" w:space="0" w:color="auto"/>
            <w:right w:val="none" w:sz="0" w:space="0" w:color="auto"/>
          </w:divBdr>
        </w:div>
        <w:div w:id="1757240702">
          <w:marLeft w:val="0"/>
          <w:marRight w:val="0"/>
          <w:marTop w:val="0"/>
          <w:marBottom w:val="0"/>
          <w:divBdr>
            <w:top w:val="none" w:sz="0" w:space="0" w:color="auto"/>
            <w:left w:val="none" w:sz="0" w:space="0" w:color="auto"/>
            <w:bottom w:val="none" w:sz="0" w:space="0" w:color="auto"/>
            <w:right w:val="none" w:sz="0" w:space="0" w:color="auto"/>
          </w:divBdr>
        </w:div>
        <w:div w:id="1009142082">
          <w:marLeft w:val="0"/>
          <w:marRight w:val="0"/>
          <w:marTop w:val="0"/>
          <w:marBottom w:val="0"/>
          <w:divBdr>
            <w:top w:val="none" w:sz="0" w:space="0" w:color="auto"/>
            <w:left w:val="none" w:sz="0" w:space="0" w:color="auto"/>
            <w:bottom w:val="none" w:sz="0" w:space="0" w:color="auto"/>
            <w:right w:val="none" w:sz="0" w:space="0" w:color="auto"/>
          </w:divBdr>
        </w:div>
        <w:div w:id="132329357">
          <w:marLeft w:val="0"/>
          <w:marRight w:val="0"/>
          <w:marTop w:val="0"/>
          <w:marBottom w:val="0"/>
          <w:divBdr>
            <w:top w:val="none" w:sz="0" w:space="0" w:color="auto"/>
            <w:left w:val="none" w:sz="0" w:space="0" w:color="auto"/>
            <w:bottom w:val="none" w:sz="0" w:space="0" w:color="auto"/>
            <w:right w:val="none" w:sz="0" w:space="0" w:color="auto"/>
          </w:divBdr>
        </w:div>
        <w:div w:id="1476609506">
          <w:marLeft w:val="0"/>
          <w:marRight w:val="0"/>
          <w:marTop w:val="0"/>
          <w:marBottom w:val="0"/>
          <w:divBdr>
            <w:top w:val="none" w:sz="0" w:space="0" w:color="auto"/>
            <w:left w:val="none" w:sz="0" w:space="0" w:color="auto"/>
            <w:bottom w:val="none" w:sz="0" w:space="0" w:color="auto"/>
            <w:right w:val="none" w:sz="0" w:space="0" w:color="auto"/>
          </w:divBdr>
        </w:div>
        <w:div w:id="2040084916">
          <w:marLeft w:val="0"/>
          <w:marRight w:val="0"/>
          <w:marTop w:val="0"/>
          <w:marBottom w:val="0"/>
          <w:divBdr>
            <w:top w:val="none" w:sz="0" w:space="0" w:color="auto"/>
            <w:left w:val="none" w:sz="0" w:space="0" w:color="auto"/>
            <w:bottom w:val="none" w:sz="0" w:space="0" w:color="auto"/>
            <w:right w:val="none" w:sz="0" w:space="0" w:color="auto"/>
          </w:divBdr>
        </w:div>
        <w:div w:id="1427312095">
          <w:marLeft w:val="0"/>
          <w:marRight w:val="0"/>
          <w:marTop w:val="0"/>
          <w:marBottom w:val="0"/>
          <w:divBdr>
            <w:top w:val="none" w:sz="0" w:space="0" w:color="auto"/>
            <w:left w:val="none" w:sz="0" w:space="0" w:color="auto"/>
            <w:bottom w:val="none" w:sz="0" w:space="0" w:color="auto"/>
            <w:right w:val="none" w:sz="0" w:space="0" w:color="auto"/>
          </w:divBdr>
        </w:div>
        <w:div w:id="599803731">
          <w:marLeft w:val="0"/>
          <w:marRight w:val="0"/>
          <w:marTop w:val="0"/>
          <w:marBottom w:val="0"/>
          <w:divBdr>
            <w:top w:val="none" w:sz="0" w:space="0" w:color="auto"/>
            <w:left w:val="none" w:sz="0" w:space="0" w:color="auto"/>
            <w:bottom w:val="none" w:sz="0" w:space="0" w:color="auto"/>
            <w:right w:val="none" w:sz="0" w:space="0" w:color="auto"/>
          </w:divBdr>
        </w:div>
        <w:div w:id="1210654222">
          <w:marLeft w:val="0"/>
          <w:marRight w:val="0"/>
          <w:marTop w:val="0"/>
          <w:marBottom w:val="0"/>
          <w:divBdr>
            <w:top w:val="none" w:sz="0" w:space="0" w:color="auto"/>
            <w:left w:val="none" w:sz="0" w:space="0" w:color="auto"/>
            <w:bottom w:val="none" w:sz="0" w:space="0" w:color="auto"/>
            <w:right w:val="none" w:sz="0" w:space="0" w:color="auto"/>
          </w:divBdr>
        </w:div>
        <w:div w:id="362290769">
          <w:marLeft w:val="0"/>
          <w:marRight w:val="0"/>
          <w:marTop w:val="0"/>
          <w:marBottom w:val="0"/>
          <w:divBdr>
            <w:top w:val="none" w:sz="0" w:space="0" w:color="auto"/>
            <w:left w:val="none" w:sz="0" w:space="0" w:color="auto"/>
            <w:bottom w:val="none" w:sz="0" w:space="0" w:color="auto"/>
            <w:right w:val="none" w:sz="0" w:space="0" w:color="auto"/>
          </w:divBdr>
        </w:div>
        <w:div w:id="759059391">
          <w:marLeft w:val="0"/>
          <w:marRight w:val="0"/>
          <w:marTop w:val="0"/>
          <w:marBottom w:val="0"/>
          <w:divBdr>
            <w:top w:val="none" w:sz="0" w:space="0" w:color="auto"/>
            <w:left w:val="none" w:sz="0" w:space="0" w:color="auto"/>
            <w:bottom w:val="none" w:sz="0" w:space="0" w:color="auto"/>
            <w:right w:val="none" w:sz="0" w:space="0" w:color="auto"/>
          </w:divBdr>
        </w:div>
        <w:div w:id="1491094005">
          <w:marLeft w:val="0"/>
          <w:marRight w:val="0"/>
          <w:marTop w:val="0"/>
          <w:marBottom w:val="0"/>
          <w:divBdr>
            <w:top w:val="none" w:sz="0" w:space="0" w:color="auto"/>
            <w:left w:val="none" w:sz="0" w:space="0" w:color="auto"/>
            <w:bottom w:val="none" w:sz="0" w:space="0" w:color="auto"/>
            <w:right w:val="none" w:sz="0" w:space="0" w:color="auto"/>
          </w:divBdr>
        </w:div>
        <w:div w:id="1657417241">
          <w:marLeft w:val="0"/>
          <w:marRight w:val="0"/>
          <w:marTop w:val="0"/>
          <w:marBottom w:val="0"/>
          <w:divBdr>
            <w:top w:val="none" w:sz="0" w:space="0" w:color="auto"/>
            <w:left w:val="none" w:sz="0" w:space="0" w:color="auto"/>
            <w:bottom w:val="none" w:sz="0" w:space="0" w:color="auto"/>
            <w:right w:val="none" w:sz="0" w:space="0" w:color="auto"/>
          </w:divBdr>
        </w:div>
        <w:div w:id="366222488">
          <w:marLeft w:val="0"/>
          <w:marRight w:val="0"/>
          <w:marTop w:val="0"/>
          <w:marBottom w:val="0"/>
          <w:divBdr>
            <w:top w:val="none" w:sz="0" w:space="0" w:color="auto"/>
            <w:left w:val="none" w:sz="0" w:space="0" w:color="auto"/>
            <w:bottom w:val="none" w:sz="0" w:space="0" w:color="auto"/>
            <w:right w:val="none" w:sz="0" w:space="0" w:color="auto"/>
          </w:divBdr>
        </w:div>
        <w:div w:id="1983464997">
          <w:marLeft w:val="0"/>
          <w:marRight w:val="0"/>
          <w:marTop w:val="0"/>
          <w:marBottom w:val="0"/>
          <w:divBdr>
            <w:top w:val="none" w:sz="0" w:space="0" w:color="auto"/>
            <w:left w:val="none" w:sz="0" w:space="0" w:color="auto"/>
            <w:bottom w:val="none" w:sz="0" w:space="0" w:color="auto"/>
            <w:right w:val="none" w:sz="0" w:space="0" w:color="auto"/>
          </w:divBdr>
        </w:div>
        <w:div w:id="663821598">
          <w:marLeft w:val="720"/>
          <w:marRight w:val="0"/>
          <w:marTop w:val="0"/>
          <w:marBottom w:val="0"/>
          <w:divBdr>
            <w:top w:val="none" w:sz="0" w:space="0" w:color="auto"/>
            <w:left w:val="none" w:sz="0" w:space="0" w:color="auto"/>
            <w:bottom w:val="none" w:sz="0" w:space="0" w:color="auto"/>
            <w:right w:val="none" w:sz="0" w:space="0" w:color="auto"/>
          </w:divBdr>
        </w:div>
        <w:div w:id="328102097">
          <w:marLeft w:val="0"/>
          <w:marRight w:val="0"/>
          <w:marTop w:val="0"/>
          <w:marBottom w:val="0"/>
          <w:divBdr>
            <w:top w:val="none" w:sz="0" w:space="0" w:color="auto"/>
            <w:left w:val="none" w:sz="0" w:space="0" w:color="auto"/>
            <w:bottom w:val="none" w:sz="0" w:space="0" w:color="auto"/>
            <w:right w:val="none" w:sz="0" w:space="0" w:color="auto"/>
          </w:divBdr>
        </w:div>
        <w:div w:id="1047685931">
          <w:marLeft w:val="0"/>
          <w:marRight w:val="0"/>
          <w:marTop w:val="0"/>
          <w:marBottom w:val="0"/>
          <w:divBdr>
            <w:top w:val="none" w:sz="0" w:space="0" w:color="auto"/>
            <w:left w:val="none" w:sz="0" w:space="0" w:color="auto"/>
            <w:bottom w:val="none" w:sz="0" w:space="0" w:color="auto"/>
            <w:right w:val="none" w:sz="0" w:space="0" w:color="auto"/>
          </w:divBdr>
        </w:div>
        <w:div w:id="6098144">
          <w:marLeft w:val="0"/>
          <w:marRight w:val="0"/>
          <w:marTop w:val="0"/>
          <w:marBottom w:val="0"/>
          <w:divBdr>
            <w:top w:val="none" w:sz="0" w:space="0" w:color="auto"/>
            <w:left w:val="none" w:sz="0" w:space="0" w:color="auto"/>
            <w:bottom w:val="none" w:sz="0" w:space="0" w:color="auto"/>
            <w:right w:val="none" w:sz="0" w:space="0" w:color="auto"/>
          </w:divBdr>
        </w:div>
        <w:div w:id="173228698">
          <w:marLeft w:val="0"/>
          <w:marRight w:val="0"/>
          <w:marTop w:val="0"/>
          <w:marBottom w:val="0"/>
          <w:divBdr>
            <w:top w:val="none" w:sz="0" w:space="0" w:color="auto"/>
            <w:left w:val="none" w:sz="0" w:space="0" w:color="auto"/>
            <w:bottom w:val="none" w:sz="0" w:space="0" w:color="auto"/>
            <w:right w:val="none" w:sz="0" w:space="0" w:color="auto"/>
          </w:divBdr>
        </w:div>
        <w:div w:id="1007948325">
          <w:marLeft w:val="0"/>
          <w:marRight w:val="0"/>
          <w:marTop w:val="0"/>
          <w:marBottom w:val="0"/>
          <w:divBdr>
            <w:top w:val="none" w:sz="0" w:space="0" w:color="auto"/>
            <w:left w:val="none" w:sz="0" w:space="0" w:color="auto"/>
            <w:bottom w:val="none" w:sz="0" w:space="0" w:color="auto"/>
            <w:right w:val="none" w:sz="0" w:space="0" w:color="auto"/>
          </w:divBdr>
        </w:div>
        <w:div w:id="882408301">
          <w:marLeft w:val="0"/>
          <w:marRight w:val="0"/>
          <w:marTop w:val="0"/>
          <w:marBottom w:val="0"/>
          <w:divBdr>
            <w:top w:val="none" w:sz="0" w:space="0" w:color="auto"/>
            <w:left w:val="none" w:sz="0" w:space="0" w:color="auto"/>
            <w:bottom w:val="none" w:sz="0" w:space="0" w:color="auto"/>
            <w:right w:val="none" w:sz="0" w:space="0" w:color="auto"/>
          </w:divBdr>
        </w:div>
        <w:div w:id="966155475">
          <w:marLeft w:val="0"/>
          <w:marRight w:val="0"/>
          <w:marTop w:val="0"/>
          <w:marBottom w:val="0"/>
          <w:divBdr>
            <w:top w:val="none" w:sz="0" w:space="0" w:color="auto"/>
            <w:left w:val="none" w:sz="0" w:space="0" w:color="auto"/>
            <w:bottom w:val="none" w:sz="0" w:space="0" w:color="auto"/>
            <w:right w:val="none" w:sz="0" w:space="0" w:color="auto"/>
          </w:divBdr>
        </w:div>
        <w:div w:id="1071269658">
          <w:marLeft w:val="0"/>
          <w:marRight w:val="0"/>
          <w:marTop w:val="0"/>
          <w:marBottom w:val="0"/>
          <w:divBdr>
            <w:top w:val="none" w:sz="0" w:space="0" w:color="auto"/>
            <w:left w:val="none" w:sz="0" w:space="0" w:color="auto"/>
            <w:bottom w:val="none" w:sz="0" w:space="0" w:color="auto"/>
            <w:right w:val="none" w:sz="0" w:space="0" w:color="auto"/>
          </w:divBdr>
        </w:div>
        <w:div w:id="1319310714">
          <w:marLeft w:val="0"/>
          <w:marRight w:val="0"/>
          <w:marTop w:val="0"/>
          <w:marBottom w:val="0"/>
          <w:divBdr>
            <w:top w:val="none" w:sz="0" w:space="0" w:color="auto"/>
            <w:left w:val="none" w:sz="0" w:space="0" w:color="auto"/>
            <w:bottom w:val="none" w:sz="0" w:space="0" w:color="auto"/>
            <w:right w:val="none" w:sz="0" w:space="0" w:color="auto"/>
          </w:divBdr>
        </w:div>
        <w:div w:id="2094426145">
          <w:marLeft w:val="0"/>
          <w:marRight w:val="0"/>
          <w:marTop w:val="0"/>
          <w:marBottom w:val="0"/>
          <w:divBdr>
            <w:top w:val="none" w:sz="0" w:space="0" w:color="auto"/>
            <w:left w:val="none" w:sz="0" w:space="0" w:color="auto"/>
            <w:bottom w:val="none" w:sz="0" w:space="0" w:color="auto"/>
            <w:right w:val="none" w:sz="0" w:space="0" w:color="auto"/>
          </w:divBdr>
        </w:div>
        <w:div w:id="1460878198">
          <w:marLeft w:val="0"/>
          <w:marRight w:val="0"/>
          <w:marTop w:val="0"/>
          <w:marBottom w:val="0"/>
          <w:divBdr>
            <w:top w:val="none" w:sz="0" w:space="0" w:color="auto"/>
            <w:left w:val="none" w:sz="0" w:space="0" w:color="auto"/>
            <w:bottom w:val="none" w:sz="0" w:space="0" w:color="auto"/>
            <w:right w:val="none" w:sz="0" w:space="0" w:color="auto"/>
          </w:divBdr>
        </w:div>
        <w:div w:id="1030106016">
          <w:marLeft w:val="0"/>
          <w:marRight w:val="0"/>
          <w:marTop w:val="0"/>
          <w:marBottom w:val="0"/>
          <w:divBdr>
            <w:top w:val="none" w:sz="0" w:space="0" w:color="auto"/>
            <w:left w:val="none" w:sz="0" w:space="0" w:color="auto"/>
            <w:bottom w:val="none" w:sz="0" w:space="0" w:color="auto"/>
            <w:right w:val="none" w:sz="0" w:space="0" w:color="auto"/>
          </w:divBdr>
        </w:div>
        <w:div w:id="890262761">
          <w:marLeft w:val="0"/>
          <w:marRight w:val="0"/>
          <w:marTop w:val="0"/>
          <w:marBottom w:val="0"/>
          <w:divBdr>
            <w:top w:val="none" w:sz="0" w:space="0" w:color="auto"/>
            <w:left w:val="none" w:sz="0" w:space="0" w:color="auto"/>
            <w:bottom w:val="none" w:sz="0" w:space="0" w:color="auto"/>
            <w:right w:val="none" w:sz="0" w:space="0" w:color="auto"/>
          </w:divBdr>
        </w:div>
        <w:div w:id="294599921">
          <w:marLeft w:val="0"/>
          <w:marRight w:val="0"/>
          <w:marTop w:val="0"/>
          <w:marBottom w:val="0"/>
          <w:divBdr>
            <w:top w:val="none" w:sz="0" w:space="0" w:color="auto"/>
            <w:left w:val="none" w:sz="0" w:space="0" w:color="auto"/>
            <w:bottom w:val="none" w:sz="0" w:space="0" w:color="auto"/>
            <w:right w:val="none" w:sz="0" w:space="0" w:color="auto"/>
          </w:divBdr>
        </w:div>
        <w:div w:id="1004749810">
          <w:marLeft w:val="720"/>
          <w:marRight w:val="0"/>
          <w:marTop w:val="0"/>
          <w:marBottom w:val="0"/>
          <w:divBdr>
            <w:top w:val="none" w:sz="0" w:space="0" w:color="auto"/>
            <w:left w:val="none" w:sz="0" w:space="0" w:color="auto"/>
            <w:bottom w:val="none" w:sz="0" w:space="0" w:color="auto"/>
            <w:right w:val="none" w:sz="0" w:space="0" w:color="auto"/>
          </w:divBdr>
        </w:div>
        <w:div w:id="1146314240">
          <w:marLeft w:val="240"/>
          <w:marRight w:val="0"/>
          <w:marTop w:val="0"/>
          <w:marBottom w:val="0"/>
          <w:divBdr>
            <w:top w:val="none" w:sz="0" w:space="0" w:color="auto"/>
            <w:left w:val="none" w:sz="0" w:space="0" w:color="auto"/>
            <w:bottom w:val="none" w:sz="0" w:space="0" w:color="auto"/>
            <w:right w:val="none" w:sz="0" w:space="0" w:color="auto"/>
          </w:divBdr>
        </w:div>
        <w:div w:id="1151487411">
          <w:marLeft w:val="0"/>
          <w:marRight w:val="0"/>
          <w:marTop w:val="0"/>
          <w:marBottom w:val="0"/>
          <w:divBdr>
            <w:top w:val="none" w:sz="0" w:space="0" w:color="auto"/>
            <w:left w:val="none" w:sz="0" w:space="0" w:color="auto"/>
            <w:bottom w:val="none" w:sz="0" w:space="0" w:color="auto"/>
            <w:right w:val="none" w:sz="0" w:space="0" w:color="auto"/>
          </w:divBdr>
        </w:div>
        <w:div w:id="1561867314">
          <w:marLeft w:val="360"/>
          <w:marRight w:val="0"/>
          <w:marTop w:val="0"/>
          <w:marBottom w:val="0"/>
          <w:divBdr>
            <w:top w:val="none" w:sz="0" w:space="0" w:color="auto"/>
            <w:left w:val="none" w:sz="0" w:space="0" w:color="auto"/>
            <w:bottom w:val="none" w:sz="0" w:space="0" w:color="auto"/>
            <w:right w:val="none" w:sz="0" w:space="0" w:color="auto"/>
          </w:divBdr>
        </w:div>
        <w:div w:id="2028755453">
          <w:marLeft w:val="0"/>
          <w:marRight w:val="-76"/>
          <w:marTop w:val="0"/>
          <w:marBottom w:val="0"/>
          <w:divBdr>
            <w:top w:val="none" w:sz="0" w:space="0" w:color="auto"/>
            <w:left w:val="none" w:sz="0" w:space="0" w:color="auto"/>
            <w:bottom w:val="none" w:sz="0" w:space="0" w:color="auto"/>
            <w:right w:val="none" w:sz="0" w:space="0" w:color="auto"/>
          </w:divBdr>
        </w:div>
        <w:div w:id="1549953666">
          <w:marLeft w:val="0"/>
          <w:marRight w:val="-76"/>
          <w:marTop w:val="0"/>
          <w:marBottom w:val="0"/>
          <w:divBdr>
            <w:top w:val="none" w:sz="0" w:space="0" w:color="auto"/>
            <w:left w:val="none" w:sz="0" w:space="0" w:color="auto"/>
            <w:bottom w:val="none" w:sz="0" w:space="0" w:color="auto"/>
            <w:right w:val="none" w:sz="0" w:space="0" w:color="auto"/>
          </w:divBdr>
        </w:div>
        <w:div w:id="833764178">
          <w:marLeft w:val="0"/>
          <w:marRight w:val="-76"/>
          <w:marTop w:val="0"/>
          <w:marBottom w:val="0"/>
          <w:divBdr>
            <w:top w:val="none" w:sz="0" w:space="0" w:color="auto"/>
            <w:left w:val="none" w:sz="0" w:space="0" w:color="auto"/>
            <w:bottom w:val="none" w:sz="0" w:space="0" w:color="auto"/>
            <w:right w:val="none" w:sz="0" w:space="0" w:color="auto"/>
          </w:divBdr>
        </w:div>
      </w:divsChild>
    </w:div>
    <w:div w:id="1465151240">
      <w:bodyDiv w:val="1"/>
      <w:marLeft w:val="0"/>
      <w:marRight w:val="0"/>
      <w:marTop w:val="0"/>
      <w:marBottom w:val="0"/>
      <w:divBdr>
        <w:top w:val="none" w:sz="0" w:space="0" w:color="auto"/>
        <w:left w:val="none" w:sz="0" w:space="0" w:color="auto"/>
        <w:bottom w:val="none" w:sz="0" w:space="0" w:color="auto"/>
        <w:right w:val="none" w:sz="0" w:space="0" w:color="auto"/>
      </w:divBdr>
    </w:div>
    <w:div w:id="196275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290</Words>
  <Characters>1653</Characters>
  <Application>Microsoft Office Word</Application>
  <DocSecurity>4</DocSecurity>
  <Lines>13</Lines>
  <Paragraphs>3</Paragraphs>
  <ScaleCrop>false</ScaleCrop>
  <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dc:creator>
  <cp:lastModifiedBy>ZHONGM</cp:lastModifiedBy>
  <cp:revision>2</cp:revision>
  <cp:lastPrinted>2020-07-14T07:10:00Z</cp:lastPrinted>
  <dcterms:created xsi:type="dcterms:W3CDTF">2024-06-27T16:00:00Z</dcterms:created>
  <dcterms:modified xsi:type="dcterms:W3CDTF">2024-06-27T16:00:00Z</dcterms:modified>
</cp:coreProperties>
</file>