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0" w:rsidRPr="00DD1795" w:rsidRDefault="00FD1AC0" w:rsidP="001B7A82">
      <w:pPr>
        <w:widowControl w:val="0"/>
        <w:spacing w:line="360" w:lineRule="auto"/>
        <w:jc w:val="center"/>
        <w:rPr>
          <w:rFonts w:asciiTheme="minorEastAsia" w:eastAsiaTheme="minorEastAsia" w:hAnsiTheme="minorEastAsia"/>
          <w:szCs w:val="48"/>
        </w:rPr>
      </w:pPr>
      <w:r w:rsidRPr="00DD1795">
        <w:rPr>
          <w:rFonts w:asciiTheme="minorEastAsia" w:eastAsiaTheme="minorEastAsia" w:hAnsiTheme="minorEastAsia" w:cs="宋体" w:hint="eastAsia"/>
          <w:b/>
          <w:bCs/>
          <w:szCs w:val="48"/>
        </w:rPr>
        <w:t>鹏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华基金管理有限公司关于旗下部分基金2024年</w:t>
      </w:r>
      <w:r w:rsidR="00C141FA">
        <w:rPr>
          <w:rFonts w:asciiTheme="minorEastAsia" w:eastAsiaTheme="minorEastAsia" w:hAnsiTheme="minorEastAsia" w:cs="宋体"/>
          <w:b/>
          <w:bCs/>
          <w:szCs w:val="48"/>
        </w:rPr>
        <w:t>7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月</w:t>
      </w:r>
      <w:r w:rsidR="00C141FA">
        <w:rPr>
          <w:rFonts w:asciiTheme="minorEastAsia" w:eastAsiaTheme="minorEastAsia" w:hAnsiTheme="minorEastAsia" w:cs="宋体"/>
          <w:b/>
          <w:bCs/>
          <w:szCs w:val="48"/>
        </w:rPr>
        <w:t>1</w:t>
      </w:r>
      <w:r w:rsidR="00FB388B" w:rsidRPr="00FB388B">
        <w:rPr>
          <w:rFonts w:asciiTheme="minorEastAsia" w:eastAsiaTheme="minorEastAsia" w:hAnsiTheme="minorEastAsia" w:cs="宋体" w:hint="eastAsia"/>
          <w:b/>
          <w:bCs/>
          <w:szCs w:val="48"/>
        </w:rPr>
        <w:t>日因非港股通交易日暂停申购、赎回、转换及定期定额投资业务的提示性公告</w:t>
      </w:r>
    </w:p>
    <w:p w:rsidR="000E4E52" w:rsidRPr="00DD1795" w:rsidRDefault="000E4E52" w:rsidP="00B66560">
      <w:pPr>
        <w:widowControl w:val="0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</w:p>
    <w:p w:rsidR="00B66560" w:rsidRPr="00AF5F00" w:rsidRDefault="00FD1AC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 w:cs="宋体"/>
          <w:sz w:val="21"/>
          <w:szCs w:val="21"/>
        </w:rPr>
      </w:pP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为了保护持有人利益，保障基金平稳运作，根据《公开募集证券投资基金运作管理办法》、《公开募集证券投资基金信息披露管理办法》、《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关于2023年岁末及2024年沪港通下港股通交易日安排的通知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》</w:t>
      </w:r>
      <w:r w:rsidR="00CB6BFC" w:rsidRPr="00DD1795">
        <w:rPr>
          <w:rFonts w:asciiTheme="minorEastAsia" w:eastAsiaTheme="minorEastAsia" w:hAnsiTheme="minorEastAsia" w:cs="宋体" w:hint="eastAsia"/>
          <w:sz w:val="21"/>
          <w:szCs w:val="21"/>
        </w:rPr>
        <w:t>、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《</w:t>
      </w:r>
      <w:r w:rsidR="00D654C1" w:rsidRPr="00D654C1">
        <w:rPr>
          <w:rFonts w:asciiTheme="minorEastAsia" w:eastAsiaTheme="minorEastAsia" w:hAnsiTheme="minorEastAsia" w:cs="宋体" w:hint="eastAsia"/>
          <w:sz w:val="21"/>
          <w:szCs w:val="21"/>
        </w:rPr>
        <w:t>关于2023年底及2024年深港通下的港股通交易日有关安排的通知</w:t>
      </w:r>
      <w:r w:rsidR="00CB6BFC" w:rsidRPr="00DD1795">
        <w:rPr>
          <w:rFonts w:asciiTheme="minorEastAsia" w:eastAsiaTheme="minorEastAsia" w:hAnsiTheme="minorEastAsia" w:cs="宋体"/>
          <w:sz w:val="21"/>
          <w:szCs w:val="21"/>
        </w:rPr>
        <w:t>》</w:t>
      </w:r>
      <w:r w:rsidRPr="00DD1795">
        <w:rPr>
          <w:rFonts w:asciiTheme="minorEastAsia" w:eastAsiaTheme="minorEastAsia" w:hAnsiTheme="minorEastAsia" w:cs="宋体" w:hint="eastAsia"/>
          <w:sz w:val="21"/>
          <w:szCs w:val="21"/>
        </w:rPr>
        <w:t>相关规定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以及鹏华基金管理有限公司（以下简称</w:t>
      </w:r>
      <w:r w:rsidRPr="00AF5F00">
        <w:rPr>
          <w:rFonts w:asciiTheme="minorEastAsia" w:eastAsiaTheme="minorEastAsia" w:hAnsiTheme="minorEastAsia"/>
          <w:sz w:val="21"/>
          <w:szCs w:val="21"/>
        </w:rPr>
        <w:t>“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”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）旗下基金的基金合同约定，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因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C141FA">
        <w:rPr>
          <w:rFonts w:asciiTheme="minorEastAsia" w:eastAsiaTheme="minorEastAsia" w:hAnsiTheme="minorEastAsia" w:cs="宋体"/>
          <w:b/>
          <w:sz w:val="21"/>
          <w:szCs w:val="21"/>
        </w:rPr>
        <w:t>7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C141FA">
        <w:rPr>
          <w:rFonts w:asciiTheme="minorEastAsia" w:eastAsiaTheme="minorEastAsia" w:hAnsiTheme="minorEastAsia" w:cs="宋体"/>
          <w:b/>
          <w:sz w:val="21"/>
          <w:szCs w:val="21"/>
        </w:rPr>
        <w:t>1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（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星期</w:t>
      </w:r>
      <w:r w:rsidR="00C141FA">
        <w:rPr>
          <w:rFonts w:asciiTheme="minorEastAsia" w:eastAsiaTheme="minorEastAsia" w:hAnsiTheme="minorEastAsia" w:cs="宋体" w:hint="eastAsia"/>
          <w:b/>
          <w:sz w:val="21"/>
          <w:szCs w:val="21"/>
        </w:rPr>
        <w:t>一</w:t>
      </w:r>
      <w:r w:rsidR="00C4031B" w:rsidRPr="00A104AA">
        <w:rPr>
          <w:rFonts w:asciiTheme="minorEastAsia" w:eastAsiaTheme="minorEastAsia" w:hAnsiTheme="minorEastAsia" w:cs="宋体"/>
          <w:b/>
          <w:sz w:val="21"/>
          <w:szCs w:val="21"/>
        </w:rPr>
        <w:t>）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为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非港股通交易日，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本公司决定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对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本公司旗下部分基金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于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上述日期暂停办理</w:t>
      </w:r>
      <w:r w:rsidRPr="00AF5F00">
        <w:rPr>
          <w:rFonts w:asciiTheme="minorEastAsia" w:eastAsiaTheme="minorEastAsia" w:hAnsiTheme="minorEastAsia" w:cs="宋体" w:hint="eastAsia"/>
          <w:sz w:val="21"/>
          <w:szCs w:val="21"/>
        </w:rPr>
        <w:t>申购、赎回、转换及定期定额投资业务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（具体业务类型和开放状态以各基金实际情况为准）</w:t>
      </w:r>
      <w:bookmarkStart w:id="0" w:name="t_3_1_1_table"/>
      <w:bookmarkEnd w:id="0"/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，</w:t>
      </w:r>
      <w:r w:rsidR="00C4031B" w:rsidRPr="00AF5F00">
        <w:rPr>
          <w:rFonts w:asciiTheme="minorEastAsia" w:eastAsiaTheme="minorEastAsia" w:hAnsiTheme="minorEastAsia" w:cs="宋体"/>
          <w:sz w:val="21"/>
          <w:szCs w:val="21"/>
        </w:rPr>
        <w:t>并</w:t>
      </w:r>
      <w:r w:rsidR="00C4031B" w:rsidRPr="00AF5F00">
        <w:rPr>
          <w:rFonts w:asciiTheme="minorEastAsia" w:eastAsiaTheme="minorEastAsia" w:hAnsiTheme="minorEastAsia" w:cs="宋体" w:hint="eastAsia"/>
          <w:sz w:val="21"/>
          <w:szCs w:val="21"/>
        </w:rPr>
        <w:t>自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202</w:t>
      </w:r>
      <w:r w:rsidR="00AF5F00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4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C141FA">
        <w:rPr>
          <w:rFonts w:asciiTheme="minorEastAsia" w:eastAsiaTheme="minorEastAsia" w:hAnsiTheme="minorEastAsia" w:cs="宋体"/>
          <w:b/>
          <w:sz w:val="21"/>
          <w:szCs w:val="21"/>
        </w:rPr>
        <w:t>7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C141FA">
        <w:rPr>
          <w:rFonts w:asciiTheme="minorEastAsia" w:eastAsiaTheme="minorEastAsia" w:hAnsiTheme="minorEastAsia" w:cs="宋体"/>
          <w:b/>
          <w:sz w:val="21"/>
          <w:szCs w:val="21"/>
        </w:rPr>
        <w:t>2</w:t>
      </w:r>
      <w:r w:rsidR="00C4031B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（星期</w:t>
      </w:r>
      <w:r w:rsidR="00C141FA">
        <w:rPr>
          <w:rFonts w:asciiTheme="minorEastAsia" w:eastAsiaTheme="minorEastAsia" w:hAnsiTheme="minorEastAsia" w:cs="宋体" w:hint="eastAsia"/>
          <w:b/>
          <w:sz w:val="21"/>
          <w:szCs w:val="21"/>
        </w:rPr>
        <w:t>二</w:t>
      </w:r>
      <w:r w:rsidR="00015547" w:rsidRPr="00A104AA">
        <w:rPr>
          <w:rFonts w:asciiTheme="minorEastAsia" w:eastAsiaTheme="minorEastAsia" w:hAnsiTheme="minorEastAsia" w:cs="宋体" w:hint="eastAsia"/>
          <w:b/>
          <w:sz w:val="21"/>
          <w:szCs w:val="21"/>
        </w:rPr>
        <w:t>）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起恢复办理上述业务</w:t>
      </w:r>
      <w:r w:rsidR="00015547" w:rsidRPr="00AF5F00">
        <w:rPr>
          <w:rFonts w:asciiTheme="minorEastAsia" w:eastAsiaTheme="minorEastAsia" w:hAnsiTheme="minorEastAsia" w:cs="宋体" w:hint="eastAsia"/>
          <w:sz w:val="21"/>
          <w:szCs w:val="21"/>
        </w:rPr>
        <w:t>，届时</w:t>
      </w:r>
      <w:r w:rsidR="00015547" w:rsidRPr="00AF5F00">
        <w:rPr>
          <w:rFonts w:asciiTheme="minorEastAsia" w:eastAsiaTheme="minorEastAsia" w:hAnsiTheme="minorEastAsia" w:cs="宋体"/>
          <w:sz w:val="21"/>
          <w:szCs w:val="21"/>
        </w:rPr>
        <w:t>不再另行公告。</w:t>
      </w:r>
    </w:p>
    <w:p w:rsidR="00FD1AC0" w:rsidRPr="00AF5F00" w:rsidRDefault="00D878F5" w:rsidP="00FD1AC0">
      <w:pPr>
        <w:widowControl w:val="0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一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适用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基金</w:t>
      </w:r>
      <w:r w:rsidR="00015547" w:rsidRPr="00AF5F00">
        <w:rPr>
          <w:rFonts w:asciiTheme="minorEastAsia" w:eastAsiaTheme="minorEastAsia" w:hAnsiTheme="minorEastAsia" w:hint="eastAsia"/>
          <w:b/>
          <w:sz w:val="21"/>
          <w:szCs w:val="21"/>
        </w:rPr>
        <w:t>如下</w:t>
      </w:r>
      <w:r w:rsidR="00015547" w:rsidRPr="00AF5F00">
        <w:rPr>
          <w:rFonts w:asciiTheme="minorEastAsia" w:eastAsiaTheme="minorEastAsia" w:hAnsiTheme="minorEastAsia"/>
          <w:b/>
          <w:sz w:val="21"/>
          <w:szCs w:val="21"/>
        </w:rPr>
        <w:t>：</w:t>
      </w:r>
    </w:p>
    <w:tbl>
      <w:tblPr>
        <w:tblW w:w="9923" w:type="dxa"/>
        <w:tblInd w:w="-344" w:type="dxa"/>
        <w:tblCellMar>
          <w:left w:w="0" w:type="dxa"/>
          <w:right w:w="0" w:type="dxa"/>
        </w:tblCellMar>
        <w:tblLook w:val="04A0"/>
      </w:tblPr>
      <w:tblGrid>
        <w:gridCol w:w="861"/>
        <w:gridCol w:w="1550"/>
        <w:gridCol w:w="4252"/>
        <w:gridCol w:w="3260"/>
      </w:tblGrid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基金代码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暂停办理的业务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A类501025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C类010365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鹏华港股通中证香港银行投资指数证券投资基金（LOF）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004292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鹏华沪深港互联网股票型证券投资基金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A类160646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类012809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鹏华中证沪港深科技龙头指数证券投资基金（LOF）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类006296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Y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鹏华养老目标日期2035三年持有期混合型基金中基金（FOF）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005967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鹏华创新驱动混合型证券投资基金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006230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鹏华研究驱动混合型证券投资基金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</w:t>
            </w:r>
            <w:r w:rsidR="008C7B7F"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005812</w:t>
            </w:r>
          </w:p>
          <w:p w:rsidR="00F646AD" w:rsidRPr="00AF5F00" w:rsidRDefault="00F646AD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类019776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鹏华产业精选灵活配置混合型证券投资基金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类006526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类012997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鹏华优选回报灵活配置混合型证券投资基金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类006976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</w:t>
            </w: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类017732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鹏华核心优势混合型证券投资基金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008811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鹏华科技创新混合型证券投资基金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008132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鹏华价值驱动混合型证券投资基金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申购、赎回、转换、</w:t>
            </w: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定期定额投资</w:t>
            </w:r>
          </w:p>
        </w:tc>
      </w:tr>
      <w:tr w:rsidR="008C7B7F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A类016952</w:t>
            </w:r>
          </w:p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C类016953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鹏华中证港股通消费主题交易型开放式指数证券投资基金联接基金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7F" w:rsidRPr="00AF5F00" w:rsidRDefault="008C7B7F" w:rsidP="00A157C2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、赎回、定期定额投资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513590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鹏华中证港股通消费主题交易型开放式指数证券投资基金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sz w:val="21"/>
                <w:szCs w:val="21"/>
              </w:rPr>
              <w:t>513700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鹏华中证港股通医药卫生综合交易型开放式指数证券投资基金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  <w:tr w:rsidR="00DD1795" w:rsidRPr="00AF5F00" w:rsidTr="00DD1795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="宋体" w:hAnsi="宋体"/>
                <w:sz w:val="21"/>
                <w:szCs w:val="21"/>
              </w:rPr>
              <w:t>159751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F5F00">
              <w:rPr>
                <w:rFonts w:ascii="宋体" w:hAnsi="宋体" w:cs="宋体" w:hint="eastAsia"/>
                <w:sz w:val="21"/>
                <w:szCs w:val="21"/>
              </w:rPr>
              <w:t>鹏华中证港股通科技交易型开放式指数证券投资基金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95" w:rsidRPr="00AF5F00" w:rsidRDefault="00DD1795" w:rsidP="00DD1795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5F0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申购</w:t>
            </w:r>
            <w:r w:rsidRPr="00AF5F0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、赎回</w:t>
            </w:r>
          </w:p>
        </w:tc>
      </w:tr>
    </w:tbl>
    <w:p w:rsidR="00015547" w:rsidRPr="00AF5F00" w:rsidRDefault="00015547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D878F5" w:rsidP="00DD1795">
      <w:pPr>
        <w:widowControl w:val="0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b/>
          <w:sz w:val="21"/>
          <w:szCs w:val="21"/>
        </w:rPr>
        <w:t>二</w:t>
      </w:r>
      <w:r w:rsidRPr="00AF5F00">
        <w:rPr>
          <w:rFonts w:asciiTheme="minorEastAsia" w:eastAsiaTheme="minorEastAsia" w:hAnsiTheme="minorEastAsia"/>
          <w:b/>
          <w:sz w:val="21"/>
          <w:szCs w:val="21"/>
        </w:rPr>
        <w:t>、</w:t>
      </w:r>
      <w:r w:rsidR="00B66560" w:rsidRPr="00AF5F00">
        <w:rPr>
          <w:rFonts w:asciiTheme="minorEastAsia" w:eastAsiaTheme="minorEastAsia" w:hAnsiTheme="minorEastAsia"/>
          <w:b/>
          <w:sz w:val="21"/>
          <w:szCs w:val="21"/>
        </w:rPr>
        <w:t>其他需要提示的事项</w:t>
      </w:r>
    </w:p>
    <w:p w:rsidR="001B7A82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1、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上述</w:t>
      </w:r>
      <w:r w:rsidRPr="00AF5F00">
        <w:rPr>
          <w:rFonts w:asciiTheme="minorEastAsia" w:eastAsiaTheme="minorEastAsia" w:hAnsiTheme="minorEastAsia"/>
          <w:sz w:val="21"/>
          <w:szCs w:val="21"/>
        </w:rPr>
        <w:t>基金是否开通申购、赎回、转换和定期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定额</w:t>
      </w:r>
      <w:r w:rsidRPr="00AF5F00">
        <w:rPr>
          <w:rFonts w:asciiTheme="minorEastAsia" w:eastAsiaTheme="minorEastAsia" w:hAnsiTheme="minorEastAsia"/>
          <w:sz w:val="21"/>
          <w:szCs w:val="21"/>
        </w:rPr>
        <w:t>投资业务，详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见</w:t>
      </w:r>
      <w:r w:rsidR="003921EB" w:rsidRPr="00AF5F00">
        <w:rPr>
          <w:rFonts w:asciiTheme="minorEastAsia" w:eastAsiaTheme="minorEastAsia" w:hAnsiTheme="minorEastAsia" w:hint="eastAsia"/>
          <w:sz w:val="21"/>
          <w:szCs w:val="21"/>
        </w:rPr>
        <w:t>本公司</w:t>
      </w:r>
      <w:r w:rsidRPr="00AF5F00">
        <w:rPr>
          <w:rFonts w:asciiTheme="minorEastAsia" w:eastAsiaTheme="minorEastAsia" w:hAnsiTheme="minorEastAsia"/>
          <w:sz w:val="21"/>
          <w:szCs w:val="21"/>
        </w:rPr>
        <w:t>发布的相关公告；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2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、上述部分</w:t>
      </w:r>
      <w:r w:rsidRPr="00AF5F00">
        <w:rPr>
          <w:rFonts w:asciiTheme="minorEastAsia" w:eastAsiaTheme="minorEastAsia" w:hAnsiTheme="minorEastAsia"/>
          <w:sz w:val="21"/>
          <w:szCs w:val="21"/>
        </w:rPr>
        <w:t>基金如有在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上海证券交易所或深圳证券交易所上市</w:t>
      </w:r>
      <w:r w:rsidRPr="00AF5F00">
        <w:rPr>
          <w:rFonts w:asciiTheme="minorEastAsia" w:eastAsiaTheme="minorEastAsia" w:hAnsiTheme="minorEastAsia"/>
          <w:sz w:val="21"/>
          <w:szCs w:val="21"/>
        </w:rPr>
        <w:t>交易，则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在上海证券交易所、深圳证券交易所</w:t>
      </w:r>
      <w:r w:rsidR="0076318F" w:rsidRPr="00AF5F00">
        <w:rPr>
          <w:rFonts w:asciiTheme="minorEastAsia" w:eastAsiaTheme="minorEastAsia" w:hAnsiTheme="minorEastAsia" w:hint="eastAsia"/>
          <w:sz w:val="21"/>
          <w:szCs w:val="21"/>
        </w:rPr>
        <w:t>正常交易日的交易时间投资者仍可进行二级市场交易；</w:t>
      </w:r>
    </w:p>
    <w:p w:rsidR="00D878F5" w:rsidRPr="00AF5F00" w:rsidRDefault="001B7A82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/>
          <w:sz w:val="21"/>
          <w:szCs w:val="21"/>
        </w:rPr>
        <w:t>3</w:t>
      </w:r>
      <w:r w:rsidR="00D878F5" w:rsidRPr="00AF5F00">
        <w:rPr>
          <w:rFonts w:asciiTheme="minorEastAsia" w:eastAsiaTheme="minorEastAsia" w:hAnsiTheme="minorEastAsia" w:hint="eastAsia"/>
          <w:sz w:val="21"/>
          <w:szCs w:val="21"/>
        </w:rPr>
        <w:t>、本公告主要为非港股通交易日暂停及后续恢复相关业务的说明，如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遇上述基金因其他原因暂停相关业务的，具体业务办理以相关公告为准。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投资者可登录本基金管理人网站（www.phfund.com</w:t>
      </w:r>
      <w:r w:rsidR="004C73CD" w:rsidRPr="00AF5F00">
        <w:rPr>
          <w:rFonts w:asciiTheme="minorEastAsia" w:eastAsiaTheme="minorEastAsia" w:hAnsiTheme="minorEastAsia"/>
          <w:sz w:val="21"/>
          <w:szCs w:val="21"/>
        </w:rPr>
        <w:t>.cn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），或拨打客户服务电话（400-6788-533）咨询相关信息。</w:t>
      </w:r>
    </w:p>
    <w:p w:rsidR="00D878F5" w:rsidRPr="00AF5F00" w:rsidRDefault="00D878F5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</w:t>
      </w:r>
      <w:r w:rsidR="00563BD8" w:rsidRPr="00563BD8">
        <w:rPr>
          <w:rFonts w:asciiTheme="minorEastAsia" w:eastAsiaTheme="minorEastAsia" w:hAnsiTheme="minorEastAsia" w:hint="eastAsia"/>
          <w:sz w:val="21"/>
          <w:szCs w:val="21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AF5F00">
        <w:rPr>
          <w:rFonts w:asciiTheme="minorEastAsia" w:eastAsiaTheme="minorEastAsia" w:hAnsiTheme="minorEastAsia" w:hint="eastAsia"/>
          <w:sz w:val="21"/>
          <w:szCs w:val="21"/>
        </w:rPr>
        <w:t>投资者投资于本基金前应认真阅读基金的基金合同、招募说明书（更新）、基金产品资料概要（更新）等文件，并根据自身风险承受能力选择适合自己的基金产品。</w:t>
      </w:r>
    </w:p>
    <w:p w:rsidR="00B66560" w:rsidRPr="00AF5F00" w:rsidRDefault="00B66560" w:rsidP="00DD1795">
      <w:pPr>
        <w:widowControl w:val="0"/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hint="eastAsia"/>
          <w:sz w:val="21"/>
          <w:szCs w:val="21"/>
        </w:rPr>
        <w:t>特此公告。</w:t>
      </w:r>
    </w:p>
    <w:p w:rsidR="00B66560" w:rsidRPr="00AF5F00" w:rsidRDefault="00B66560" w:rsidP="00B6656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p w:rsidR="00B66560" w:rsidRPr="00AF5F00" w:rsidRDefault="00B66560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鹏华基金管理有限公司</w:t>
      </w:r>
    </w:p>
    <w:p w:rsidR="00B66560" w:rsidRPr="00DD1795" w:rsidRDefault="008C7B7F" w:rsidP="00B66560">
      <w:pPr>
        <w:widowControl w:val="0"/>
        <w:spacing w:line="336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AF5F00">
        <w:rPr>
          <w:rFonts w:asciiTheme="minorEastAsia" w:eastAsiaTheme="minorEastAsia" w:hAnsiTheme="minorEastAsia" w:cs="宋体"/>
          <w:sz w:val="21"/>
          <w:szCs w:val="21"/>
        </w:rPr>
        <w:t>202</w:t>
      </w:r>
      <w:r w:rsidR="00AF5F00" w:rsidRPr="00AF5F00">
        <w:rPr>
          <w:rFonts w:asciiTheme="minorEastAsia" w:eastAsiaTheme="minorEastAsia" w:hAnsiTheme="minorEastAsia" w:cs="宋体" w:hint="eastAsia"/>
          <w:sz w:val="21"/>
          <w:szCs w:val="21"/>
        </w:rPr>
        <w:t>4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年</w:t>
      </w:r>
      <w:r w:rsidR="00E278CD">
        <w:rPr>
          <w:rFonts w:asciiTheme="minorEastAsia" w:eastAsiaTheme="minorEastAsia" w:hAnsiTheme="minorEastAsia" w:cs="宋体"/>
          <w:sz w:val="21"/>
          <w:szCs w:val="21"/>
        </w:rPr>
        <w:t>6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月</w:t>
      </w:r>
      <w:r w:rsidR="00E278CD">
        <w:rPr>
          <w:rFonts w:asciiTheme="minorEastAsia" w:eastAsiaTheme="minorEastAsia" w:hAnsiTheme="minorEastAsia" w:cs="宋体"/>
          <w:sz w:val="21"/>
          <w:szCs w:val="21"/>
        </w:rPr>
        <w:t>27</w:t>
      </w:r>
      <w:r w:rsidR="00B66560" w:rsidRPr="00AF5F00">
        <w:rPr>
          <w:rFonts w:asciiTheme="minorEastAsia" w:eastAsiaTheme="minorEastAsia" w:hAnsiTheme="minorEastAsia" w:cs="宋体"/>
          <w:sz w:val="21"/>
          <w:szCs w:val="21"/>
        </w:rPr>
        <w:t>日</w:t>
      </w:r>
      <w:bookmarkStart w:id="1" w:name="_GoBack"/>
      <w:bookmarkEnd w:id="1"/>
    </w:p>
    <w:p w:rsidR="00B66560" w:rsidRPr="00DD1795" w:rsidRDefault="00B66560" w:rsidP="00FD1AC0">
      <w:pPr>
        <w:widowControl w:val="0"/>
        <w:rPr>
          <w:rFonts w:asciiTheme="minorEastAsia" w:eastAsiaTheme="minorEastAsia" w:hAnsiTheme="minorEastAsia"/>
          <w:sz w:val="21"/>
          <w:szCs w:val="21"/>
        </w:rPr>
      </w:pPr>
    </w:p>
    <w:sectPr w:rsidR="00B66560" w:rsidRPr="00DD1795" w:rsidSect="001E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7A" w:rsidRDefault="004C4E7A" w:rsidP="00FD1AC0">
      <w:r>
        <w:separator/>
      </w:r>
    </w:p>
  </w:endnote>
  <w:endnote w:type="continuationSeparator" w:id="0">
    <w:p w:rsidR="004C4E7A" w:rsidRDefault="004C4E7A" w:rsidP="00FD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7A" w:rsidRDefault="004C4E7A" w:rsidP="00FD1AC0">
      <w:r>
        <w:separator/>
      </w:r>
    </w:p>
  </w:footnote>
  <w:footnote w:type="continuationSeparator" w:id="0">
    <w:p w:rsidR="004C4E7A" w:rsidRDefault="004C4E7A" w:rsidP="00FD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872"/>
    <w:rsid w:val="00015547"/>
    <w:rsid w:val="000B1F9E"/>
    <w:rsid w:val="000E4E52"/>
    <w:rsid w:val="00193DA9"/>
    <w:rsid w:val="001B7A82"/>
    <w:rsid w:val="001C22A6"/>
    <w:rsid w:val="001E1B00"/>
    <w:rsid w:val="002A780E"/>
    <w:rsid w:val="002B4B6E"/>
    <w:rsid w:val="002F5DA1"/>
    <w:rsid w:val="002F7A47"/>
    <w:rsid w:val="00373872"/>
    <w:rsid w:val="003921EB"/>
    <w:rsid w:val="0041317C"/>
    <w:rsid w:val="004C4E7A"/>
    <w:rsid w:val="004C73CD"/>
    <w:rsid w:val="004F0094"/>
    <w:rsid w:val="00515FB0"/>
    <w:rsid w:val="005203A0"/>
    <w:rsid w:val="00563BD8"/>
    <w:rsid w:val="00575C29"/>
    <w:rsid w:val="006111F0"/>
    <w:rsid w:val="0066205D"/>
    <w:rsid w:val="006F7E3D"/>
    <w:rsid w:val="00702E82"/>
    <w:rsid w:val="007239B4"/>
    <w:rsid w:val="0076318F"/>
    <w:rsid w:val="007762F9"/>
    <w:rsid w:val="007A0992"/>
    <w:rsid w:val="00814D49"/>
    <w:rsid w:val="008B3E71"/>
    <w:rsid w:val="008C7B7F"/>
    <w:rsid w:val="00961E8A"/>
    <w:rsid w:val="00A104AA"/>
    <w:rsid w:val="00A157C2"/>
    <w:rsid w:val="00A175DA"/>
    <w:rsid w:val="00A71606"/>
    <w:rsid w:val="00AC6472"/>
    <w:rsid w:val="00AF5F00"/>
    <w:rsid w:val="00B02252"/>
    <w:rsid w:val="00B42C4B"/>
    <w:rsid w:val="00B66560"/>
    <w:rsid w:val="00BB7EB5"/>
    <w:rsid w:val="00C141FA"/>
    <w:rsid w:val="00C4031B"/>
    <w:rsid w:val="00CB6BFC"/>
    <w:rsid w:val="00D654C1"/>
    <w:rsid w:val="00D878F5"/>
    <w:rsid w:val="00DD1795"/>
    <w:rsid w:val="00E278CD"/>
    <w:rsid w:val="00E73194"/>
    <w:rsid w:val="00F40E26"/>
    <w:rsid w:val="00F646AD"/>
    <w:rsid w:val="00F67002"/>
    <w:rsid w:val="00FA722E"/>
    <w:rsid w:val="00FB388B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0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"/>
    <w:link w:val="2Char"/>
    <w:qFormat/>
    <w:rsid w:val="00FD1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A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A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AC0"/>
    <w:rPr>
      <w:sz w:val="18"/>
      <w:szCs w:val="18"/>
    </w:rPr>
  </w:style>
  <w:style w:type="character" w:customStyle="1" w:styleId="2Char">
    <w:name w:val="标题 2 Char"/>
    <w:basedOn w:val="a0"/>
    <w:link w:val="2"/>
    <w:rsid w:val="00FD1AC0"/>
    <w:rPr>
      <w:rFonts w:ascii="Arial" w:eastAsia="宋体" w:hAnsi="Arial" w:cs="Arial"/>
      <w:b/>
      <w:bCs/>
      <w:i/>
      <w:iCs/>
      <w:kern w:val="0"/>
      <w:sz w:val="28"/>
      <w:szCs w:val="28"/>
    </w:rPr>
  </w:style>
  <w:style w:type="table" w:styleId="a5">
    <w:name w:val="Table Grid"/>
    <w:basedOn w:val="a1"/>
    <w:uiPriority w:val="39"/>
    <w:rsid w:val="00F40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42C4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42C4B"/>
  </w:style>
  <w:style w:type="character" w:customStyle="1" w:styleId="Char1">
    <w:name w:val="批注文字 Char"/>
    <w:basedOn w:val="a0"/>
    <w:link w:val="a7"/>
    <w:uiPriority w:val="99"/>
    <w:semiHidden/>
    <w:rsid w:val="00B42C4B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42C4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42C4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B42C4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42C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4</DocSecurity>
  <Lines>11</Lines>
  <Paragraphs>3</Paragraphs>
  <ScaleCrop>false</ScaleCrop>
  <Company>PHFUND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2024-06-26T16:03:00Z</dcterms:created>
  <dcterms:modified xsi:type="dcterms:W3CDTF">2024-06-26T16:03:00Z</dcterms:modified>
</cp:coreProperties>
</file>